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D14" w:rsidRPr="00DF5D14" w:rsidRDefault="00DF5D14" w:rsidP="00DF5D14">
      <w:pPr>
        <w:pageBreakBefore/>
        <w:tabs>
          <w:tab w:val="center" w:pos="0"/>
          <w:tab w:val="right" w:pos="9072"/>
        </w:tabs>
        <w:snapToGrid w:val="0"/>
        <w:spacing w:line="276" w:lineRule="auto"/>
        <w:jc w:val="right"/>
        <w:rPr>
          <w:rFonts w:ascii="Verdana" w:hAnsi="Verdana" w:cs="Calibri"/>
          <w:b/>
        </w:rPr>
      </w:pPr>
      <w:r w:rsidRPr="00DF5D14">
        <w:rPr>
          <w:rFonts w:ascii="Verdana" w:hAnsi="Verdana" w:cs="Calibri"/>
          <w:iCs/>
          <w:color w:val="000000"/>
          <w:shd w:val="clear" w:color="auto" w:fill="FFFFFF"/>
          <w:lang w:eastAsia="ar-SA"/>
        </w:rPr>
        <w:t xml:space="preserve">Załącznik nr 1 </w:t>
      </w:r>
      <w:r>
        <w:rPr>
          <w:rFonts w:ascii="Verdana" w:hAnsi="Verdana" w:cs="Calibri"/>
          <w:iCs/>
          <w:color w:val="000000"/>
          <w:shd w:val="clear" w:color="auto" w:fill="FFFFFF"/>
          <w:lang w:eastAsia="ar-SA"/>
        </w:rPr>
        <w:t>do SWZ</w:t>
      </w:r>
    </w:p>
    <w:p w:rsidR="00DF5D14" w:rsidRPr="00DF5D14" w:rsidRDefault="00DF5D14" w:rsidP="00DF5D14">
      <w:pPr>
        <w:pStyle w:val="IRozdziapoz1"/>
        <w:numPr>
          <w:ilvl w:val="0"/>
          <w:numId w:val="0"/>
        </w:numPr>
        <w:spacing w:before="240" w:after="240"/>
        <w:rPr>
          <w:rFonts w:ascii="Verdana" w:hAnsi="Verdana" w:cs="Calibri"/>
          <w:i w:val="0"/>
          <w:sz w:val="24"/>
          <w:szCs w:val="24"/>
        </w:rPr>
      </w:pPr>
      <w:r w:rsidRPr="00DF5D14">
        <w:rPr>
          <w:rFonts w:ascii="Verdana" w:hAnsi="Verdana" w:cs="Calibri"/>
          <w:i w:val="0"/>
          <w:sz w:val="24"/>
          <w:szCs w:val="24"/>
        </w:rPr>
        <w:t>Opis przedmiotu zamówienia</w:t>
      </w:r>
    </w:p>
    <w:tbl>
      <w:tblPr>
        <w:tblW w:w="0" w:type="auto"/>
        <w:tblInd w:w="137" w:type="dxa"/>
        <w:tblLayout w:type="fixed"/>
        <w:tblLook w:val="0000" w:firstRow="0" w:lastRow="0" w:firstColumn="0" w:lastColumn="0" w:noHBand="0" w:noVBand="0"/>
      </w:tblPr>
      <w:tblGrid>
        <w:gridCol w:w="1985"/>
        <w:gridCol w:w="6662"/>
      </w:tblGrid>
      <w:tr w:rsidR="00DF5D14" w:rsidRPr="00DF5D14" w:rsidTr="004737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DF5D14" w:rsidRPr="00DF5D14" w:rsidRDefault="00DF5D14" w:rsidP="00D44061">
            <w:pPr>
              <w:pStyle w:val="INagwektabeli"/>
              <w:snapToGrid w:val="0"/>
              <w:rPr>
                <w:rFonts w:ascii="Verdana" w:hAnsi="Verdana" w:cs="Calibri"/>
                <w:szCs w:val="22"/>
              </w:rPr>
            </w:pPr>
            <w:r w:rsidRPr="00DF5D14">
              <w:rPr>
                <w:rFonts w:ascii="Verdana" w:hAnsi="Verdana" w:cs="Calibri"/>
                <w:szCs w:val="22"/>
              </w:rPr>
              <w:t>Parametr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DF5D14" w:rsidRPr="00DF5D14" w:rsidRDefault="00DF5D14" w:rsidP="00D44061">
            <w:pPr>
              <w:pStyle w:val="INagwektabeli"/>
              <w:snapToGrid w:val="0"/>
              <w:rPr>
                <w:rFonts w:ascii="Verdana" w:hAnsi="Verdana" w:cs="Calibri"/>
                <w:szCs w:val="22"/>
              </w:rPr>
            </w:pPr>
            <w:r w:rsidRPr="00DF5D14">
              <w:rPr>
                <w:rFonts w:ascii="Verdana" w:hAnsi="Verdana" w:cs="Calibri"/>
                <w:szCs w:val="22"/>
              </w:rPr>
              <w:t>Opis parametru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Zastosowanie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eastAsia="Calibri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Serwer aplikacyjny dla oprogramowania GIS służącego do stworzenia węzła infrastruktury informacji przestrzennej. Publikacja usług danych przestrzennych (WMS, WMTS, WFS, CSW) oraz aplikacji webowych prezentujących wybrane dane przestrzenne (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geoportali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>).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Obudowa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Obudowa przystosowana do montażu w szafie typu „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rack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>” 19’’ o wysokości nie większej niż 2U</w:t>
            </w:r>
            <w:r w:rsidRPr="00DF5D14"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DF5D14">
              <w:rPr>
                <w:rFonts w:ascii="Verdana" w:hAnsi="Verdana" w:cs="Calibri"/>
                <w:sz w:val="22"/>
                <w:szCs w:val="22"/>
              </w:rPr>
              <w:t xml:space="preserve">z możliwością instalacji min. 10 dysków 2,5” Hot-Plug wraz z kompletem wysuwanych szyn umożliwiających montaż </w:t>
            </w:r>
            <w:r w:rsidR="00473785">
              <w:rPr>
                <w:rFonts w:ascii="Verdana" w:hAnsi="Verdana" w:cs="Calibri"/>
                <w:sz w:val="22"/>
                <w:szCs w:val="22"/>
              </w:rPr>
              <w:br/>
            </w:r>
            <w:r w:rsidRPr="00DF5D14">
              <w:rPr>
                <w:rFonts w:ascii="Verdana" w:hAnsi="Verdana" w:cs="Calibri"/>
                <w:sz w:val="22"/>
                <w:szCs w:val="22"/>
              </w:rPr>
              <w:t>w szafie i wysuwanie serwera do celów serwisowych. Obudowa musi mieć możliwość wyposażenia w kartę umożliwiającą dostęp bezpośredni poprzez urządzenia mobilne - serwer musi posiadać możliwość konfiguracji oraz monitoringu najważniejszych komponentów serwera przy użyciu dedykowanej aplikacji mobilnej min. (Android/ Apple iOS) przy użyciu jednego z protokołów NFC/ BLE/ WIFI.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System operacyjny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64-bitowy Microsoft Windows Server 2025 Standard </w:t>
            </w:r>
            <w:r w:rsidR="00473785">
              <w:rPr>
                <w:rFonts w:ascii="Verdana" w:hAnsi="Verdana" w:cs="Calibri"/>
                <w:sz w:val="22"/>
                <w:szCs w:val="22"/>
              </w:rPr>
              <w:br/>
            </w:r>
            <w:r w:rsidRPr="00DF5D14">
              <w:rPr>
                <w:rFonts w:ascii="Verdana" w:hAnsi="Verdana" w:cs="Calibri"/>
                <w:sz w:val="22"/>
                <w:szCs w:val="22"/>
              </w:rPr>
              <w:t>w wersji polskiej, preinstalowany na serwerze na wydzielonym woluminie dedykowanym dla systemu operacyjnego (zgodnie z opisem w pozycji „Dyski twarde”), dostarczony wraz z licencją dla wszystkich rdzeni i min. 5 użytkowników.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Płyta główna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Płyta główna z możliwością zainstalowania dwóch procesorów,  zaprojektowana przez producenta serwera </w:t>
            </w:r>
            <w:r w:rsidR="00473785">
              <w:rPr>
                <w:rFonts w:ascii="Verdana" w:hAnsi="Verdana" w:cs="Calibri"/>
                <w:sz w:val="22"/>
                <w:szCs w:val="22"/>
              </w:rPr>
              <w:br/>
            </w:r>
            <w:r w:rsidRPr="00DF5D14">
              <w:rPr>
                <w:rFonts w:ascii="Verdana" w:hAnsi="Verdana" w:cs="Calibri"/>
                <w:sz w:val="22"/>
                <w:szCs w:val="22"/>
              </w:rPr>
              <w:t>i oznaczona jego znakiem firmowym.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Chipset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Dedykowany przez producenta procesora do pracy </w:t>
            </w:r>
            <w:r w:rsidR="00473785">
              <w:rPr>
                <w:rFonts w:ascii="Verdana" w:hAnsi="Verdana" w:cs="Calibri"/>
                <w:sz w:val="22"/>
                <w:szCs w:val="22"/>
              </w:rPr>
              <w:br/>
            </w:r>
            <w:r w:rsidRPr="00DF5D14">
              <w:rPr>
                <w:rFonts w:ascii="Verdana" w:hAnsi="Verdana" w:cs="Calibri"/>
                <w:sz w:val="22"/>
                <w:szCs w:val="22"/>
              </w:rPr>
              <w:t>w serwerach dwuprocesorowych.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Procesor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Zainstalowane dwa procesory szesnastordzeniowe x86-64 o min. taktowaniu bazowym 2.4GHz i taktowaniu Turbo min. do 4.0 GHz, o szczytowym poborze mocy nie większym niż 210W, dedykowane do pracy z zaoferowanym serwerem, umożliwiające osiągnięcie wyniku min. </w:t>
            </w:r>
            <w:r w:rsidRPr="00DF5D14">
              <w:rPr>
                <w:rFonts w:ascii="Verdana" w:hAnsi="Verdana" w:cs="Calibri"/>
                <w:b/>
                <w:sz w:val="22"/>
                <w:szCs w:val="22"/>
              </w:rPr>
              <w:t>430</w:t>
            </w:r>
            <w:r w:rsidRPr="00DF5D14">
              <w:rPr>
                <w:rFonts w:ascii="Verdana" w:hAnsi="Verdana" w:cs="Calibri"/>
                <w:sz w:val="22"/>
                <w:szCs w:val="22"/>
              </w:rPr>
              <w:t xml:space="preserve"> punktów w teście SPEC CPU 2017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Floating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Point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Rates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- Base dostępnym na stronie  </w:t>
            </w:r>
            <w:hyperlink r:id="rId7" w:tgtFrame="_blank" w:history="1">
              <w:r w:rsidRPr="00DF5D14">
                <w:rPr>
                  <w:rFonts w:ascii="Verdana" w:hAnsi="Verdana" w:cs="Calibri"/>
                  <w:color w:val="0070C0"/>
                  <w:sz w:val="22"/>
                  <w:szCs w:val="22"/>
                  <w:u w:val="single"/>
                </w:rPr>
                <w:t>www.spec.org</w:t>
              </w:r>
            </w:hyperlink>
            <w:r w:rsidRPr="00DF5D14">
              <w:rPr>
                <w:rFonts w:ascii="Verdana" w:hAnsi="Verdana" w:cs="Calibri"/>
                <w:sz w:val="22"/>
                <w:szCs w:val="22"/>
              </w:rPr>
              <w:t>. Dopuszcza się przeprowadzenie testów w środowisku Linux.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473785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Pamięć RAM</w:t>
            </w:r>
          </w:p>
          <w:p w:rsidR="00473785" w:rsidRPr="00473785" w:rsidRDefault="00473785" w:rsidP="00473785">
            <w:pPr>
              <w:rPr>
                <w:lang w:eastAsia="ar-SA"/>
              </w:rPr>
            </w:pPr>
          </w:p>
          <w:p w:rsidR="00473785" w:rsidRPr="00473785" w:rsidRDefault="00473785" w:rsidP="00473785">
            <w:pPr>
              <w:rPr>
                <w:lang w:eastAsia="ar-SA"/>
              </w:rPr>
            </w:pPr>
          </w:p>
          <w:p w:rsidR="00DF5D14" w:rsidRPr="00473785" w:rsidRDefault="00DF5D14" w:rsidP="00473785">
            <w:pPr>
              <w:jc w:val="center"/>
              <w:rPr>
                <w:lang w:eastAsia="ar-SA"/>
              </w:rPr>
            </w:pP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min. 128GB DDR5 RDIMM min. 4400MT/s, Dual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Rank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>, min. jeden moduł na procesor (min. 2x64GB). Na płycie głównej powi</w:t>
            </w:r>
            <w:bookmarkStart w:id="0" w:name="_GoBack"/>
            <w:bookmarkEnd w:id="0"/>
            <w:r w:rsidRPr="00DF5D14">
              <w:rPr>
                <w:rFonts w:ascii="Verdana" w:hAnsi="Verdana" w:cs="Calibri"/>
                <w:sz w:val="22"/>
                <w:szCs w:val="22"/>
              </w:rPr>
              <w:t>nno znajdować się minimum 8 wolnych slotów przeznaczonych do rozbudowy pamięci. Płyta główna powinna obsługiwać min. 2TB pamięci RAM.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eastAsia="Times New Roman" w:hAnsi="Verdana" w:cs="Calibri"/>
                <w:color w:val="222222"/>
                <w:sz w:val="22"/>
                <w:szCs w:val="22"/>
                <w:lang w:eastAsia="pl-PL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lastRenderedPageBreak/>
              <w:t>Funkcjonalność pamięci RAM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eastAsia="Times New Roman" w:hAnsi="Verdana" w:cs="Calibri"/>
                <w:color w:val="222222"/>
                <w:sz w:val="22"/>
                <w:szCs w:val="22"/>
                <w:lang w:eastAsia="pl-PL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Memory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Rank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Sparing, Memory Mirror,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Failed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DIMM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isolation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, Memory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Address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Parity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Protection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, Memory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Thermal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Throttling</w:t>
            </w:r>
            <w:proofErr w:type="spellEnd"/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eastAsia="Times New Roman" w:hAnsi="Verdana" w:cs="Calibri"/>
                <w:color w:val="222222"/>
                <w:sz w:val="22"/>
                <w:szCs w:val="22"/>
                <w:lang w:eastAsia="pl-PL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Gniazda PCI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eastAsia="Times New Roman" w:hAnsi="Verdana" w:cs="Calibri"/>
                <w:color w:val="222222"/>
                <w:sz w:val="22"/>
                <w:szCs w:val="22"/>
                <w:lang w:eastAsia="pl-PL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Min. 4 slotów generacji min. 4 w tym min. 1 x16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Interfejsy sieciowe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Zainstalowana karta sieciowa 2 x 25Gb ze złączami SFP28 wraz z okablowaniem optycznym (komplet dla 2 portów). Dostarczona karta powinna pozwalać na połączenie dostarczonego serwera z istniejącą infrastrukturą sieciową Zamawiającego. Połączenie musi być realizowane z prędkością 10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GbE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>, z wykorzystaniem zainstalowanych w dostarczonym serwerze kart sieciowych z portami SFP28 25GbE, na odległości 10m do urządzenia sieciowego Zamawiającego CISCO WS-C4500X-32 z oprogramowaniem w wersji 03.06.06.E.</w:t>
            </w:r>
          </w:p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Zainstalowana karta sieciowa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FibreChannel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z 2 portami 32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Gb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>/s.</w:t>
            </w:r>
          </w:p>
        </w:tc>
      </w:tr>
      <w:tr w:rsidR="00DF5D14" w:rsidRPr="00DF5D14" w:rsidTr="0047378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Dyski twarde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Możliwość instalacji dysków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NVMe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, SATA, SAS (HDD </w:t>
            </w:r>
            <w:r w:rsidR="00473785">
              <w:rPr>
                <w:rFonts w:ascii="Verdana" w:hAnsi="Verdana" w:cs="Calibri"/>
                <w:sz w:val="22"/>
                <w:szCs w:val="22"/>
              </w:rPr>
              <w:br/>
            </w:r>
            <w:r w:rsidRPr="00DF5D14">
              <w:rPr>
                <w:rFonts w:ascii="Verdana" w:hAnsi="Verdana" w:cs="Calibri"/>
                <w:sz w:val="22"/>
                <w:szCs w:val="22"/>
              </w:rPr>
              <w:t>i SSD). Serwer powinien być wyposażony w zatokę na min. 10 dysków 2,5’’.</w:t>
            </w:r>
          </w:p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Dyski:</w:t>
            </w:r>
          </w:p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6 dysków HDD SAS Read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Intensive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o pojemności min. 1.92TB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HotPlug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24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Gb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>/s.</w:t>
            </w:r>
          </w:p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5 dysków zainstalowanych w zatokach + 1 dysk zapasowy dostarczony w oryginalnym opakowaniu producenta.</w:t>
            </w:r>
          </w:p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Skonfigurowana macierz RAID5 na 5 dyskach zainstalowanych w zatokach w konfiguracji: wolumin C: - 1TB dla systemu operacyjnego, wolumin D: pozostała dostępna przestrzeń.</w:t>
            </w:r>
          </w:p>
        </w:tc>
      </w:tr>
      <w:tr w:rsidR="00DF5D14" w:rsidRPr="00DF5D14" w:rsidTr="00473785"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Kontroler RAID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Sprzętowy kontroler dyskowy, posiadający min. 8GB nieulotnej pamięci cache, dedykowany dla interfejsów: SAS 24 GB/s /SATA, możliwe konfiguracje poziomów RAID: 0, 1, 5, 6, 10, 50, 60.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Video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Zintegrowana karta graficzna umożliwiająca wyświetlenie w rozdzielczości min. 1280x1024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Wbudowane porty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Min. 3 porty USB (w tym min. 1 USB 3.0), min. 1 port VGA.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Wentylatory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Redundantne, Hot-Plug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Zasilacze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Redundantne, Hot-Plug min. 1100W każdy, zapewniający optymalną sprawność i wystarczający zapas mocy do zasilenia wszystkich półek dyskowych i min. 16 gniazd pamięci. Dedykowany przewód zasilający o długości min. 2 m.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Bezpieczeństwo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Zainstalowany  moduł TPM w wersji 2.0</w:t>
            </w:r>
          </w:p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Wbudowany czujnik otwarcia obudowy współpracujący </w:t>
            </w:r>
            <w:r w:rsidR="00473785">
              <w:rPr>
                <w:rFonts w:ascii="Verdana" w:hAnsi="Verdana" w:cs="Calibri"/>
                <w:sz w:val="22"/>
                <w:szCs w:val="22"/>
              </w:rPr>
              <w:br/>
            </w:r>
            <w:r w:rsidRPr="00DF5D14">
              <w:rPr>
                <w:rFonts w:ascii="Verdana" w:hAnsi="Verdana" w:cs="Calibri"/>
                <w:sz w:val="22"/>
                <w:szCs w:val="22"/>
              </w:rPr>
              <w:t>z BIOS i kartą zarządzającą.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lastRenderedPageBreak/>
              <w:t>Diagnostyka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Panel LCD umieszczony na froncie obudowy lub kontrolki diagnostyczne informujące min. o: awarii dysków, przegrzaniu serwera, awarii zasilania, awarii pamięci RAM.</w:t>
            </w:r>
          </w:p>
        </w:tc>
      </w:tr>
      <w:tr w:rsidR="00DF5D14" w:rsidRPr="00DF5D14" w:rsidTr="00473785"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eastAsia="Times New Roman" w:hAnsi="Verdana" w:cs="Calibri"/>
                <w:color w:val="222222"/>
                <w:sz w:val="22"/>
                <w:szCs w:val="22"/>
                <w:lang w:eastAsia="pl-PL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Karta Zarządzania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Niezależna od zainstalowanego na serwerze systemu operacyjnego posiadająca dedykowany port Gigabit Ethernet RJ-45 i umożliwiająca: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tabs>
                <w:tab w:val="left" w:pos="368"/>
              </w:tabs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zdalny dostęp do graficznego interfejsu Web karty zarządzającej;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zdalne monitorowanie i informowanie o statusie serwera (m.in. prędkości obrotowej wentylatorów, konfiguracji serwera);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szyfrowane połączenie (TLS) oraz autentykację </w:t>
            </w:r>
            <w:r w:rsidR="00473785">
              <w:rPr>
                <w:rFonts w:ascii="Verdana" w:hAnsi="Verdana" w:cs="Calibri"/>
                <w:sz w:val="22"/>
                <w:szCs w:val="22"/>
              </w:rPr>
              <w:br/>
            </w:r>
            <w:r w:rsidRPr="00DF5D14">
              <w:rPr>
                <w:rFonts w:ascii="Verdana" w:hAnsi="Verdana" w:cs="Calibri"/>
                <w:sz w:val="22"/>
                <w:szCs w:val="22"/>
              </w:rPr>
              <w:t>i autoryzację użytkownika;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możliwość podmontowania zdalnych wirtualnych napędów;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wirtualną konsolę z dostępem do myszy, klawiatury;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wsparcie dla IPv6;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wsparcie dla WSMAN (Web Service for Management); SNMP; IPMI2.0, SSH,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Redfish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>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możliwość zdalnego monitorowania w czasie rzeczywistym poboru prądu przez serwer;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możliwość zdalnego ustawienia limitu poboru prądu przez konkretny serwer;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integracja z Active Directory;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możliwość obsługi przez dwóch administratorów jednocześnie;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wsparcie dla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dynamic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DNS;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wysyłanie do administratora maila z powiadomieniem o awarii lub zmianie konfiguracji sprzętowej.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możliwość bezpośredniego zarządzania poprzez dedykowany port USB na przednim panelu serwera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możliwość zarządzania do 100 serwerów bezpośrednio z konsoli karty zarządzającej pojedynczego serwera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2"/>
              </w:numPr>
              <w:snapToGrid w:val="0"/>
              <w:rPr>
                <w:rFonts w:ascii="Verdana" w:eastAsia="Times New Roman" w:hAnsi="Verdana" w:cs="Calibri"/>
                <w:color w:val="222222"/>
                <w:sz w:val="22"/>
                <w:szCs w:val="22"/>
                <w:lang w:eastAsia="pl-PL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karta z możliwością wyposażenia we wbudowaną wewnętrzną pamięć SD lub USB o pojemności 16GB do przechowywania sterowników i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firmware'ów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komponentów serwera, umożliwiająca szybką instalację wspieranych systemów operacyjnych.</w:t>
            </w:r>
          </w:p>
        </w:tc>
      </w:tr>
      <w:tr w:rsidR="00DF5D14" w:rsidRPr="00DF5D14" w:rsidTr="0047378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Gwarancja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14" w:rsidRPr="00DF5D14" w:rsidRDefault="00DF5D14" w:rsidP="00DF5D14">
            <w:pPr>
              <w:pStyle w:val="IPoletabeli"/>
              <w:numPr>
                <w:ilvl w:val="6"/>
                <w:numId w:val="4"/>
              </w:numPr>
              <w:snapToGrid w:val="0"/>
              <w:ind w:left="229" w:hanging="229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Min. 3-letnia gwarancja na prawidłowe działanie sprzętu.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4"/>
              </w:numPr>
              <w:snapToGrid w:val="0"/>
              <w:ind w:left="229" w:hanging="229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Wszystkie zastosowane w dostarczonym serwerze podzespoły </w:t>
            </w:r>
            <w:r w:rsidRPr="00DF5D14">
              <w:rPr>
                <w:rFonts w:ascii="Verdana" w:hAnsi="Verdana" w:cs="Calibri"/>
                <w:b/>
                <w:sz w:val="22"/>
                <w:szCs w:val="22"/>
              </w:rPr>
              <w:t xml:space="preserve">muszą być fabrycznie nowe i w pełni </w:t>
            </w:r>
            <w:r w:rsidRPr="00DF5D14">
              <w:rPr>
                <w:rFonts w:ascii="Verdana" w:hAnsi="Verdana" w:cs="Calibri"/>
                <w:b/>
                <w:sz w:val="22"/>
                <w:szCs w:val="22"/>
              </w:rPr>
              <w:lastRenderedPageBreak/>
              <w:t>sprawne</w:t>
            </w:r>
            <w:r w:rsidRPr="00DF5D14">
              <w:rPr>
                <w:rFonts w:ascii="Verdana" w:hAnsi="Verdana" w:cs="Calibri"/>
                <w:sz w:val="22"/>
                <w:szCs w:val="22"/>
              </w:rPr>
              <w:t>. Zamawiający nie udziela zgody na wyposażenie serwera w podzespoły odnowione.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4"/>
              </w:numPr>
              <w:snapToGrid w:val="0"/>
              <w:ind w:left="229" w:hanging="229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Wykonawca powinien przedstawić szczegółowe warunki serwisu oraz gwarancji na terytorium Polski, na podstawie następujących wymagań szczegółowych: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5"/>
              </w:numPr>
              <w:ind w:left="655" w:hanging="426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Możliwość zgłaszania awarii 24x7x365 poprzez linię telefoniczną producenta.</w:t>
            </w:r>
            <w:r w:rsidRPr="00DF5D14"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pl-PL"/>
              </w:rPr>
              <w:t xml:space="preserve"> 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5"/>
              </w:numPr>
              <w:ind w:left="655" w:hanging="426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Wykonawca/producent podejmie kroki by przywrócić prawidłowe działanie sprzętu po otrzymaniu zgłoszenia o uszkodzeniu.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5"/>
              </w:numPr>
              <w:ind w:left="655" w:hanging="426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Rozpoczęcie naprawy nie później niż następnego dnia roboczego po zgłoszeniu.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5"/>
              </w:numPr>
              <w:ind w:left="655" w:hanging="426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Zakończenie naprawy nie później niż w ciągu 48 h (w przypadku awarii serwera), licząc od daty zgłoszenia awarii.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5"/>
              </w:numPr>
              <w:ind w:left="655" w:hanging="426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 przypadku gdy przewidywany czas naprawy sprzętu będzie dłuższy niż 48 h (w przypadku awarii serwera), następnego dnia roboczego Wykonawca dostarczy na własny koszt Sprzęt zastępczy (o co najmniej tych samych parametrach i funkcjach użytkowych).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5"/>
              </w:numPr>
              <w:ind w:left="655" w:hanging="426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Czas naprawy wyłączony z okresu gwarancyjnego. Czas trwania gwarancji będzie automatycznie wydłużony o czas trwania naprawy.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5"/>
              </w:numPr>
              <w:ind w:left="655" w:hanging="426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 przypadku gdy naprawa sprzętu potrwa dłużej niż 6 tygodni lub gdy sprzęt będzie naprawiany trzykrotnie podczas okresu gwarancyjnego, Wykonawca wymieni na własny koszt naprawiany sprzęt na nowy, o co najmniej takich samych parametrach i funkcjach użytkowych.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5"/>
              </w:numPr>
              <w:ind w:left="655" w:hanging="426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 przypadku awarii dyski pozostają własnością Zamawiającego (opcja zachowania dysków twardych).</w:t>
            </w:r>
          </w:p>
          <w:p w:rsidR="00DF5D14" w:rsidRPr="00DF5D14" w:rsidRDefault="00DF5D14" w:rsidP="00DF5D14">
            <w:pPr>
              <w:pStyle w:val="IPoletabeli"/>
              <w:numPr>
                <w:ilvl w:val="6"/>
                <w:numId w:val="5"/>
              </w:numPr>
              <w:ind w:left="655" w:hanging="426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Możliwość sprawdzenia statusu gwarancji poprzez stronę producenta podając unikatowy numer urządzenia, oraz pobieranie uaktualnień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mikrokodu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i sterowników nawet w przypadku wygaśnięcia gwarancji systemu.</w:t>
            </w:r>
          </w:p>
        </w:tc>
      </w:tr>
      <w:tr w:rsidR="00DF5D14" w:rsidRPr="00DF5D14" w:rsidTr="0047378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lastRenderedPageBreak/>
              <w:t>Dokumentacja użytkownika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Zamawiający wymaga dokumentacji w języku polskim lub angielskim.</w:t>
            </w:r>
          </w:p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Możliwość telefonicznego sprawdzenia konfiguracji sprzętowej systemu oraz warunków gwarancji po podaniu numeru seryjnego bezpośrednio u producenta lub jego przedstawiciela.</w:t>
            </w:r>
          </w:p>
        </w:tc>
      </w:tr>
      <w:tr w:rsidR="00DF5D14" w:rsidRPr="00DF5D14" w:rsidTr="0047378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14" w:rsidRPr="00DF5D14" w:rsidRDefault="00DF5D14" w:rsidP="00D44061">
            <w:pPr>
              <w:pStyle w:val="IPoletabeli"/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Informacje dodatkowe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14" w:rsidRPr="00DF5D14" w:rsidRDefault="00DF5D14" w:rsidP="00DF5D14">
            <w:pPr>
              <w:pStyle w:val="IPoletabeli"/>
              <w:numPr>
                <w:ilvl w:val="0"/>
                <w:numId w:val="3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W przypadku braku dostarczonej konfiguracji serwera w bazie wyników testu SPECrate2017_int_base, należy dostarczyć wyniki takiego testu wykonane nie wcześniej niż 2 tygodnie przed upływem terminu składania ofert.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3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lastRenderedPageBreak/>
              <w:t>Firma serwisująca musi posiadać ISO 9001:2015 na świadczenie usług serwisowych oraz posiadać autoryzacje producenta infrastruktury – dokumenty potwierdzające należy załączyć do oferty.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3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>Serwer musi być wyprodukowany zgodnie z normą ISO-9001:2015, ISO-14001:2015 oraz ISO-50001: 2018.</w:t>
            </w:r>
          </w:p>
          <w:p w:rsidR="00DF5D14" w:rsidRPr="00DF5D14" w:rsidRDefault="00DF5D14" w:rsidP="00DF5D14">
            <w:pPr>
              <w:pStyle w:val="IPoletabeli"/>
              <w:numPr>
                <w:ilvl w:val="0"/>
                <w:numId w:val="3"/>
              </w:numPr>
              <w:snapToGrid w:val="0"/>
              <w:rPr>
                <w:rFonts w:ascii="Verdana" w:hAnsi="Verdana" w:cs="Calibri"/>
                <w:sz w:val="22"/>
                <w:szCs w:val="22"/>
              </w:rPr>
            </w:pPr>
            <w:r w:rsidRPr="00DF5D14">
              <w:rPr>
                <w:rFonts w:ascii="Verdana" w:hAnsi="Verdana" w:cs="Calibri"/>
                <w:sz w:val="22"/>
                <w:szCs w:val="22"/>
              </w:rPr>
              <w:t xml:space="preserve">Serwer musi spełniać normę co najmniej </w:t>
            </w:r>
            <w:proofErr w:type="spellStart"/>
            <w:r w:rsidRPr="00DF5D14">
              <w:rPr>
                <w:rFonts w:ascii="Verdana" w:hAnsi="Verdana" w:cs="Calibri"/>
                <w:sz w:val="22"/>
                <w:szCs w:val="22"/>
              </w:rPr>
              <w:t>Epeat</w:t>
            </w:r>
            <w:proofErr w:type="spellEnd"/>
            <w:r w:rsidRPr="00DF5D14">
              <w:rPr>
                <w:rFonts w:ascii="Verdana" w:hAnsi="Verdana" w:cs="Calibri"/>
                <w:sz w:val="22"/>
                <w:szCs w:val="22"/>
              </w:rPr>
              <w:t xml:space="preserve"> Silver według normy wprowadzonej w 2019 r.</w:t>
            </w:r>
          </w:p>
        </w:tc>
      </w:tr>
    </w:tbl>
    <w:p w:rsidR="00DF5D14" w:rsidRPr="00DF5D14" w:rsidRDefault="00DF5D14" w:rsidP="00DF5D14">
      <w:pPr>
        <w:suppressAutoHyphens w:val="0"/>
        <w:spacing w:line="276" w:lineRule="auto"/>
        <w:rPr>
          <w:rFonts w:ascii="Verdana" w:hAnsi="Verdana" w:cs="Calibri"/>
          <w:spacing w:val="2"/>
        </w:rPr>
      </w:pPr>
    </w:p>
    <w:p w:rsidR="0016550A" w:rsidRPr="00DF5D14" w:rsidRDefault="0016550A">
      <w:pPr>
        <w:rPr>
          <w:rFonts w:ascii="Verdana" w:hAnsi="Verdana"/>
        </w:rPr>
      </w:pPr>
    </w:p>
    <w:sectPr w:rsidR="0016550A" w:rsidRPr="00DF5D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BD7" w:rsidRDefault="005A6BD7" w:rsidP="00473785">
      <w:pPr>
        <w:spacing w:after="0" w:line="240" w:lineRule="auto"/>
      </w:pPr>
      <w:r>
        <w:separator/>
      </w:r>
    </w:p>
  </w:endnote>
  <w:endnote w:type="continuationSeparator" w:id="0">
    <w:p w:rsidR="005A6BD7" w:rsidRDefault="005A6BD7" w:rsidP="0047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785" w:rsidRDefault="00473785">
    <w:pPr>
      <w:pStyle w:val="Stopka"/>
    </w:pPr>
    <w:r w:rsidRPr="00B50291">
      <w:rPr>
        <w:rFonts w:ascii="Verdana" w:hAnsi="Verdana"/>
        <w:sz w:val="16"/>
        <w:szCs w:val="16"/>
      </w:rPr>
      <w:t>IZ.271.</w:t>
    </w:r>
    <w:r>
      <w:rPr>
        <w:rFonts w:ascii="Verdana" w:hAnsi="Verdana"/>
        <w:sz w:val="16"/>
        <w:szCs w:val="16"/>
      </w:rPr>
      <w:t xml:space="preserve">71.2026                                                                                                                 </w:t>
    </w:r>
    <w:r>
      <w:rPr>
        <w:rFonts w:ascii="Verdana" w:hAnsi="Verdana"/>
        <w:sz w:val="16"/>
        <w:szCs w:val="16"/>
      </w:rPr>
      <w:tab/>
    </w:r>
    <w:r>
      <w:rPr>
        <w:rFonts w:ascii="Verdana" w:hAnsi="Verdana" w:cs="Verdana"/>
        <w:sz w:val="16"/>
        <w:szCs w:val="16"/>
      </w:rPr>
      <w:t xml:space="preserve">Strona </w:t>
    </w:r>
    <w:r>
      <w:rPr>
        <w:rFonts w:ascii="Verdana" w:hAnsi="Verdana" w:cs="Verdana"/>
        <w:bCs/>
        <w:sz w:val="16"/>
        <w:szCs w:val="16"/>
      </w:rPr>
      <w:fldChar w:fldCharType="begin"/>
    </w:r>
    <w:r>
      <w:rPr>
        <w:rFonts w:ascii="Verdana" w:hAnsi="Verdana" w:cs="Verdana"/>
        <w:bCs/>
        <w:sz w:val="16"/>
        <w:szCs w:val="16"/>
      </w:rPr>
      <w:instrText xml:space="preserve"> PAGE </w:instrText>
    </w:r>
    <w:r>
      <w:rPr>
        <w:rFonts w:ascii="Verdana" w:hAnsi="Verdana" w:cs="Verdana"/>
        <w:bCs/>
        <w:sz w:val="16"/>
        <w:szCs w:val="16"/>
      </w:rPr>
      <w:fldChar w:fldCharType="separate"/>
    </w:r>
    <w:r>
      <w:rPr>
        <w:rFonts w:ascii="Verdana" w:hAnsi="Verdana" w:cs="Verdana"/>
        <w:bCs/>
        <w:noProof/>
        <w:sz w:val="16"/>
        <w:szCs w:val="16"/>
      </w:rPr>
      <w:t>4</w:t>
    </w:r>
    <w:r>
      <w:rPr>
        <w:rFonts w:ascii="Verdana" w:hAnsi="Verdana" w:cs="Verdana"/>
        <w:bCs/>
        <w:sz w:val="16"/>
        <w:szCs w:val="16"/>
      </w:rPr>
      <w:fldChar w:fldCharType="end"/>
    </w:r>
    <w:r>
      <w:rPr>
        <w:rFonts w:ascii="Verdana" w:hAnsi="Verdana" w:cs="Verdana"/>
        <w:sz w:val="16"/>
        <w:szCs w:val="16"/>
      </w:rPr>
      <w:t xml:space="preserve"> z </w:t>
    </w:r>
    <w:r>
      <w:rPr>
        <w:rFonts w:ascii="Verdana" w:hAnsi="Verdana" w:cs="Verdana"/>
        <w:bCs/>
        <w:sz w:val="16"/>
        <w:szCs w:val="16"/>
      </w:rPr>
      <w:fldChar w:fldCharType="begin"/>
    </w:r>
    <w:r>
      <w:rPr>
        <w:rFonts w:ascii="Verdana" w:hAnsi="Verdana" w:cs="Verdana"/>
        <w:bCs/>
        <w:sz w:val="16"/>
        <w:szCs w:val="16"/>
      </w:rPr>
      <w:instrText xml:space="preserve"> NUMPAGES \* ARABIC </w:instrText>
    </w:r>
    <w:r>
      <w:rPr>
        <w:rFonts w:ascii="Verdana" w:hAnsi="Verdana" w:cs="Verdana"/>
        <w:bCs/>
        <w:sz w:val="16"/>
        <w:szCs w:val="16"/>
      </w:rPr>
      <w:fldChar w:fldCharType="separate"/>
    </w:r>
    <w:r>
      <w:rPr>
        <w:rFonts w:ascii="Verdana" w:hAnsi="Verdana" w:cs="Verdana"/>
        <w:bCs/>
        <w:noProof/>
        <w:sz w:val="16"/>
        <w:szCs w:val="16"/>
      </w:rPr>
      <w:t>5</w:t>
    </w:r>
    <w:r>
      <w:rPr>
        <w:rFonts w:ascii="Verdana" w:hAnsi="Verdana" w:cs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BD7" w:rsidRDefault="005A6BD7" w:rsidP="00473785">
      <w:pPr>
        <w:spacing w:after="0" w:line="240" w:lineRule="auto"/>
      </w:pPr>
      <w:r>
        <w:separator/>
      </w:r>
    </w:p>
  </w:footnote>
  <w:footnote w:type="continuationSeparator" w:id="0">
    <w:p w:rsidR="005A6BD7" w:rsidRDefault="005A6BD7" w:rsidP="0047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785" w:rsidRPr="00473785" w:rsidRDefault="00473785" w:rsidP="00473785">
    <w:pPr>
      <w:pStyle w:val="Nagwek"/>
      <w:jc w:val="center"/>
      <w:rPr>
        <w:rFonts w:ascii="Verdana" w:hAnsi="Verdana" w:cs="Verdana"/>
        <w:bCs/>
        <w:sz w:val="16"/>
        <w:szCs w:val="16"/>
      </w:rPr>
    </w:pPr>
    <w:r w:rsidRPr="005819AA">
      <w:rPr>
        <w:rFonts w:ascii="Verdana" w:hAnsi="Verdana"/>
        <w:sz w:val="16"/>
        <w:szCs w:val="16"/>
      </w:rPr>
      <w:t xml:space="preserve">Postępowanie prowadzone w trybie podstawowym bez przeprowadzenia negocjacji treści złożonych ofert </w:t>
    </w:r>
    <w:r w:rsidRPr="005819AA">
      <w:rPr>
        <w:rFonts w:ascii="Verdana" w:eastAsia="Lucida Sans Unicode" w:hAnsi="Verdana" w:cs="Arial"/>
        <w:bCs/>
        <w:color w:val="000000"/>
        <w:sz w:val="16"/>
        <w:szCs w:val="16"/>
        <w:lang/>
      </w:rPr>
      <w:t>na </w:t>
    </w:r>
    <w:r w:rsidRPr="005819AA">
      <w:rPr>
        <w:rFonts w:ascii="Verdana" w:hAnsi="Verdana" w:cs="Arial"/>
        <w:bCs/>
        <w:iCs/>
        <w:sz w:val="16"/>
        <w:szCs w:val="16"/>
      </w:rPr>
      <w:t xml:space="preserve"> zakup i </w:t>
    </w:r>
    <w:r w:rsidRPr="005819AA">
      <w:rPr>
        <w:rFonts w:ascii="Verdana" w:hAnsi="Verdana" w:cs="Arial"/>
        <w:bCs/>
        <w:sz w:val="16"/>
        <w:szCs w:val="16"/>
      </w:rPr>
      <w:t>dostawę serwera na potrzeby Wydziału Geodezji i Kartografii Urzędu Miasta Częstochow</w:t>
    </w:r>
    <w:r>
      <w:rPr>
        <w:rFonts w:ascii="Verdana" w:hAnsi="Verdana" w:cs="Arial"/>
        <w:bCs/>
        <w:sz w:val="16"/>
        <w:szCs w:val="16"/>
      </w:rPr>
      <w:t>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37756"/>
    <w:multiLevelType w:val="multilevel"/>
    <w:tmpl w:val="C1EAC07C"/>
    <w:lvl w:ilvl="0">
      <w:start w:val="1"/>
      <w:numFmt w:val="decimal"/>
      <w:pStyle w:val="IRozdziapoz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FC6198E"/>
    <w:multiLevelType w:val="hybridMultilevel"/>
    <w:tmpl w:val="D5502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6747EF4">
      <w:start w:val="1"/>
      <w:numFmt w:val="decimal"/>
      <w:lvlText w:val="%2)"/>
      <w:lvlJc w:val="left"/>
      <w:pPr>
        <w:ind w:left="1440" w:hanging="360"/>
      </w:pPr>
      <w:rPr>
        <w:rFonts w:eastAsia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E238D"/>
    <w:multiLevelType w:val="hybridMultilevel"/>
    <w:tmpl w:val="293C6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50925"/>
    <w:multiLevelType w:val="hybridMultilevel"/>
    <w:tmpl w:val="EDBCC4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eastAsia="Aria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04150011">
      <w:start w:val="1"/>
      <w:numFmt w:val="decimal"/>
      <w:lvlText w:val="%7)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62727"/>
    <w:multiLevelType w:val="hybridMultilevel"/>
    <w:tmpl w:val="5EFC3D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14"/>
    <w:rsid w:val="0016550A"/>
    <w:rsid w:val="00473785"/>
    <w:rsid w:val="005A6BD7"/>
    <w:rsid w:val="00DF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37C"/>
  <w15:chartTrackingRefBased/>
  <w15:docId w15:val="{D95C7E4A-C4E5-41D9-B80B-A8DA16FC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5D14"/>
    <w:pPr>
      <w:suppressAutoHyphens/>
      <w:spacing w:line="252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Rozdziapoz1">
    <w:name w:val="IRozdział(poz.1)"/>
    <w:next w:val="Normalny"/>
    <w:rsid w:val="00DF5D14"/>
    <w:pPr>
      <w:numPr>
        <w:numId w:val="1"/>
      </w:numPr>
      <w:suppressAutoHyphens/>
      <w:spacing w:before="360" w:after="360" w:line="240" w:lineRule="auto"/>
      <w:jc w:val="center"/>
    </w:pPr>
    <w:rPr>
      <w:rFonts w:ascii="Arial" w:eastAsia="Arial" w:hAnsi="Arial" w:cs="Times New Roman"/>
      <w:b/>
      <w:i/>
      <w:sz w:val="36"/>
      <w:szCs w:val="20"/>
      <w:lang w:eastAsia="ar-SA"/>
    </w:rPr>
  </w:style>
  <w:style w:type="paragraph" w:customStyle="1" w:styleId="INagwektabeli">
    <w:name w:val="INagłówek tabeli"/>
    <w:rsid w:val="00DF5D14"/>
    <w:pPr>
      <w:keepNext/>
      <w:suppressAutoHyphens/>
      <w:spacing w:before="80" w:after="40" w:line="240" w:lineRule="auto"/>
    </w:pPr>
    <w:rPr>
      <w:rFonts w:ascii="Arial" w:eastAsia="Arial" w:hAnsi="Arial" w:cs="Times New Roman"/>
      <w:b/>
      <w:szCs w:val="20"/>
      <w:lang w:eastAsia="ar-SA"/>
    </w:rPr>
  </w:style>
  <w:style w:type="paragraph" w:customStyle="1" w:styleId="IPoletabeli">
    <w:name w:val="IPole tabeli"/>
    <w:rsid w:val="00DF5D14"/>
    <w:pPr>
      <w:suppressAutoHyphens/>
      <w:spacing w:before="40" w:after="40" w:line="240" w:lineRule="auto"/>
    </w:pPr>
    <w:rPr>
      <w:rFonts w:ascii="Arial" w:eastAsia="Arial" w:hAnsi="Arial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qFormat/>
    <w:rsid w:val="004737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785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nhideWhenUsed/>
    <w:rsid w:val="004737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785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ec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1199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Lemańska</dc:creator>
  <cp:keywords/>
  <dc:description/>
  <cp:lastModifiedBy>Emilia Lemańska</cp:lastModifiedBy>
  <cp:revision>2</cp:revision>
  <dcterms:created xsi:type="dcterms:W3CDTF">2026-10-13T12:14:00Z</dcterms:created>
  <dcterms:modified xsi:type="dcterms:W3CDTF">2026-10-14T08:50:00Z</dcterms:modified>
</cp:coreProperties>
</file>