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end"/>
        <w:rPr>
          <w:rFonts w:ascii="Arial" w:hAnsi="Arial" w:cs="Arial"/>
          <w:lang w:eastAsia="zxx" w:bidi="zxx"/>
        </w:rPr>
      </w:pPr>
      <w:r>
        <w:rPr>
          <w:rFonts w:cs="Arial" w:ascii="Arial" w:hAnsi="Arial"/>
          <w:lang w:eastAsia="zxx" w:bidi="zxx"/>
        </w:rPr>
        <w:t xml:space="preserve">Załącznik nr 1B </w:t>
      </w:r>
    </w:p>
    <w:p>
      <w:pPr>
        <w:pStyle w:val="Normal"/>
        <w:jc w:val="end"/>
        <w:rPr>
          <w:rFonts w:ascii="Arial" w:hAnsi="Arial" w:cs="Arial"/>
          <w:lang w:eastAsia="zxx" w:bidi="zxx"/>
        </w:rPr>
      </w:pPr>
      <w:r>
        <w:rPr>
          <w:rFonts w:cs="Arial" w:ascii="Arial" w:hAnsi="Arial"/>
          <w:lang w:eastAsia="zxx" w:bidi="zxx"/>
        </w:rPr>
      </w:r>
    </w:p>
    <w:p>
      <w:pPr>
        <w:pStyle w:val="Normal"/>
        <w:jc w:val="end"/>
        <w:rPr>
          <w:rFonts w:ascii="Arial" w:hAnsi="Arial" w:cs="Arial"/>
          <w:lang w:eastAsia="zxx" w:bidi="zxx"/>
        </w:rPr>
      </w:pPr>
      <w:r>
        <w:rPr>
          <w:rFonts w:cs="Arial" w:ascii="Arial" w:hAnsi="Arial"/>
          <w:lang w:eastAsia="zxx" w:bidi="zxx"/>
        </w:rPr>
      </w:r>
    </w:p>
    <w:p>
      <w:pPr>
        <w:pStyle w:val="Normal"/>
        <w:jc w:val="end"/>
        <w:rPr>
          <w:rFonts w:ascii="Arial" w:hAnsi="Arial" w:cs="Arial"/>
          <w:lang w:eastAsia="zxx" w:bidi="zxx"/>
        </w:rPr>
      </w:pPr>
      <w:r>
        <w:rPr>
          <w:rFonts w:cs="Arial" w:ascii="Arial" w:hAnsi="Arial"/>
          <w:lang w:eastAsia="zxx" w:bidi="zxx"/>
        </w:rPr>
      </w:r>
    </w:p>
    <w:p>
      <w:pPr>
        <w:pStyle w:val="Normal"/>
        <w:jc w:val="end"/>
        <w:rPr>
          <w:rFonts w:ascii="Arial" w:hAnsi="Arial" w:cs="Arial"/>
          <w:lang w:eastAsia="zxx" w:bidi="zxx"/>
        </w:rPr>
      </w:pPr>
      <w:r>
        <w:rPr>
          <w:rFonts w:cs="Arial" w:ascii="Arial" w:hAnsi="Arial"/>
          <w:lang w:eastAsia="zxx" w:bidi="zxx"/>
        </w:rPr>
      </w:r>
    </w:p>
    <w:p>
      <w:pPr>
        <w:pStyle w:val="Normal"/>
        <w:jc w:val="center"/>
        <w:rPr>
          <w:rFonts w:ascii="Arial" w:hAnsi="Arial" w:cs="Arial"/>
          <w:u w:val="single"/>
          <w:lang w:eastAsia="zxx" w:bidi="zxx"/>
        </w:rPr>
      </w:pPr>
      <w:r>
        <w:rPr>
          <w:rFonts w:cs="Arial" w:ascii="Arial" w:hAnsi="Arial"/>
          <w:b/>
          <w:bCs/>
          <w:lang w:eastAsia="zxx" w:bidi="zxx"/>
        </w:rPr>
        <w:t xml:space="preserve">  </w:t>
      </w:r>
      <w:r>
        <w:rPr>
          <w:rFonts w:cs="Arial" w:ascii="Arial" w:hAnsi="Arial"/>
          <w:b/>
          <w:bCs/>
          <w:u w:val="single"/>
          <w:lang w:eastAsia="zxx" w:bidi="zxx"/>
        </w:rPr>
        <w:t>PRZEDMIOT  ZAMÓWIENIA WRAZ  Z TABELĄ CENOWĄ</w:t>
      </w:r>
      <w:r>
        <w:rPr>
          <w:rFonts w:cs="Arial" w:ascii="Arial" w:hAnsi="Arial"/>
          <w:b/>
          <w:bCs/>
          <w:lang w:eastAsia="zxx" w:bidi="zxx"/>
        </w:rPr>
        <w:t>:</w:t>
      </w:r>
    </w:p>
    <w:p>
      <w:pPr>
        <w:pStyle w:val="Normal"/>
        <w:jc w:val="center"/>
        <w:rPr>
          <w:rFonts w:ascii="Arial" w:hAnsi="Arial" w:cs="Arial"/>
          <w:u w:val="single"/>
          <w:lang w:eastAsia="zxx" w:bidi="zxx"/>
        </w:rPr>
      </w:pPr>
      <w:r>
        <w:rPr>
          <w:rFonts w:cs="Arial" w:ascii="Arial" w:hAnsi="Arial"/>
          <w:u w:val="single"/>
          <w:lang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200"/>
        <w:jc w:val="center"/>
        <w:rPr>
          <w:rFonts w:ascii="Arial" w:hAnsi="Arial" w:cs="Arial"/>
          <w:i/>
          <w:iCs/>
          <w:u w:val="single"/>
          <w:lang w:eastAsia="zxx" w:bidi="zxx"/>
        </w:rPr>
      </w:pPr>
      <w:r>
        <w:rPr>
          <w:rFonts w:cs="Arial" w:ascii="Arial" w:hAnsi="Arial"/>
          <w:i/>
          <w:iCs/>
          <w:u w:val="single"/>
          <w:lang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200"/>
        <w:jc w:val="center"/>
        <w:rPr>
          <w:rFonts w:ascii="Arial" w:hAnsi="Arial" w:cs="Arial"/>
          <w:i/>
          <w:iCs/>
          <w:u w:val="single"/>
          <w:lang w:eastAsia="zxx" w:bidi="zxx"/>
        </w:rPr>
      </w:pPr>
      <w:r>
        <w:rPr>
          <w:rFonts w:cs="Arial" w:ascii="Arial" w:hAnsi="Arial"/>
          <w:i/>
          <w:iCs/>
          <w:u w:val="single"/>
          <w:lang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uto" w:line="360"/>
        <w:jc w:val="center"/>
        <w:rPr>
          <w:rFonts w:ascii="Arial" w:hAnsi="Arial" w:cs="Arial"/>
          <w:i/>
          <w:iCs/>
          <w:u w:val="single"/>
          <w:lang w:eastAsia="zxx" w:bidi="zxx"/>
        </w:rPr>
      </w:pPr>
      <w:r>
        <w:rPr>
          <w:rFonts w:cs="Arial" w:ascii="Arial" w:hAnsi="Arial"/>
          <w:i/>
          <w:iCs/>
          <w:u w:val="single"/>
          <w:lang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200"/>
        <w:rPr>
          <w:rFonts w:ascii="Arial" w:hAnsi="Arial" w:cs="Arial"/>
          <w:b/>
          <w:bCs/>
          <w:lang w:eastAsia="zxx" w:bidi="zxx"/>
        </w:rPr>
      </w:pPr>
      <w:r>
        <w:rPr>
          <w:rFonts w:cs="Arial" w:ascii="Arial" w:hAnsi="Arial"/>
          <w:b/>
          <w:bCs/>
          <w:lang w:eastAsia="zxx" w:bidi="zxx"/>
        </w:rPr>
        <w:t xml:space="preserve">ZADANIE NR 1: </w:t>
      </w:r>
    </w:p>
    <w:p>
      <w:pPr>
        <w:pStyle w:val="Normal"/>
        <w:tabs>
          <w:tab w:val="clear" w:pos="709"/>
          <w:tab w:val="left" w:pos="720" w:leader="none"/>
        </w:tabs>
        <w:spacing w:lineRule="atLeast" w:line="200"/>
        <w:rPr>
          <w:rFonts w:ascii="Arial" w:hAnsi="Arial" w:cs="Arial"/>
          <w:b/>
          <w:bCs/>
          <w:lang w:eastAsia="zxx" w:bidi="zxx"/>
        </w:rPr>
      </w:pPr>
      <w:r>
        <w:rPr>
          <w:rFonts w:cs="Arial" w:ascii="Arial" w:hAnsi="Arial"/>
          <w:b/>
          <w:bCs/>
          <w:lang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200"/>
        <w:rPr>
          <w:rFonts w:ascii="Arial" w:hAnsi="Arial" w:cs="Arial"/>
          <w:lang w:eastAsia="zxx" w:bidi="zxx"/>
        </w:rPr>
      </w:pPr>
      <w:r>
        <w:rPr>
          <w:rFonts w:cs="Arial" w:ascii="Arial" w:hAnsi="Arial"/>
          <w:b/>
          <w:bCs/>
          <w:lang w:eastAsia="zxx" w:bidi="zxx"/>
        </w:rPr>
        <w:t xml:space="preserve">                          </w:t>
      </w:r>
      <w:r>
        <w:rPr>
          <w:rFonts w:cs="Arial" w:ascii="Arial" w:hAnsi="Arial"/>
          <w:b/>
          <w:bCs/>
          <w:shadow/>
          <w:lang w:eastAsia="zxx" w:bidi="zxx"/>
        </w:rPr>
        <w:t xml:space="preserve">Dzierżawa stacji </w:t>
      </w:r>
      <w:r>
        <w:rPr>
          <w:rFonts w:eastAsia="Arial Unicode MS" w:cs="Arial" w:ascii="Arial" w:hAnsi="Arial"/>
          <w:b/>
          <w:bCs/>
          <w:shadow/>
          <w:color w:val="000000"/>
          <w:lang w:eastAsia="pl-PL" w:bidi="pl-PL"/>
        </w:rPr>
        <w:t xml:space="preserve">zagazowania </w:t>
      </w:r>
      <w:r>
        <w:rPr>
          <w:rFonts w:eastAsia="Arial Unicode MS" w:cs="Arial" w:ascii="Arial" w:hAnsi="Arial"/>
          <w:b/>
          <w:bCs/>
          <w:shadow/>
          <w:color w:val="000000"/>
          <w:lang w:eastAsia="zxx" w:bidi="zxx"/>
        </w:rPr>
        <w:t>ciekłym tlenem wraz z dostawą ciekłego tlenu</w:t>
      </w:r>
    </w:p>
    <w:p>
      <w:pPr>
        <w:pStyle w:val="Normal"/>
        <w:tabs>
          <w:tab w:val="clear" w:pos="709"/>
          <w:tab w:val="left" w:pos="720" w:leader="none"/>
        </w:tabs>
        <w:spacing w:lineRule="atLeast" w:line="200"/>
        <w:rPr>
          <w:rFonts w:ascii="Arial" w:hAnsi="Arial" w:cs="Arial"/>
          <w:lang w:eastAsia="zxx" w:bidi="zxx"/>
        </w:rPr>
      </w:pPr>
      <w:r>
        <w:rPr>
          <w:rFonts w:cs="Arial" w:ascii="Arial" w:hAnsi="Arial"/>
          <w:lang w:eastAsia="zxx" w:bidi="zxx"/>
        </w:rPr>
      </w:r>
    </w:p>
    <w:tbl>
      <w:tblPr>
        <w:tblW w:w="14611" w:type="dxa"/>
        <w:jc w:val="start"/>
        <w:tblInd w:w="37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926"/>
        <w:gridCol w:w="1209"/>
        <w:gridCol w:w="1606"/>
        <w:gridCol w:w="1278"/>
        <w:gridCol w:w="1277"/>
        <w:gridCol w:w="1407"/>
        <w:gridCol w:w="1408"/>
        <w:gridCol w:w="1241"/>
        <w:gridCol w:w="1259"/>
      </w:tblGrid>
      <w:tr>
        <w:trPr>
          <w:trHeight w:val="750" w:hRule="exact"/>
          <w:cantSplit/>
        </w:trPr>
        <w:tc>
          <w:tcPr>
            <w:tcW w:w="3926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eastAsia="zxx" w:bidi="zxx"/>
              </w:rPr>
              <w:t xml:space="preserve">PRZEDMIOT </w:t>
            </w:r>
          </w:p>
        </w:tc>
        <w:tc>
          <w:tcPr>
            <w:tcW w:w="1209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eastAsia="zxx" w:bidi="zxx"/>
              </w:rPr>
              <w:t xml:space="preserve">ROZMIAR </w:t>
            </w:r>
          </w:p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eastAsia="zxx" w:bidi="zxx"/>
              </w:rPr>
              <w:t>zbiornika/</w:t>
            </w:r>
          </w:p>
          <w:p>
            <w:pPr>
              <w:pStyle w:val="Zawartotabeli"/>
              <w:snapToGrid w:val="false"/>
              <w:jc w:val="center"/>
              <w:rPr/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eastAsia="zxx" w:bidi="zxx"/>
              </w:rPr>
              <w:t>butli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eastAsia="zxx" w:bidi="zxx"/>
              </w:rPr>
              <w:t>Zapotrzebowanie miesięczne</w:t>
            </w:r>
          </w:p>
          <w:p>
            <w:pPr>
              <w:pStyle w:val="Zawartotabeli"/>
              <w:snapToGrid w:val="false"/>
              <w:jc w:val="center"/>
              <w:rPr/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eastAsia="zxx" w:bidi="zxx"/>
              </w:rPr>
              <w:t>ILOŚĆ</w:t>
            </w:r>
          </w:p>
        </w:tc>
        <w:tc>
          <w:tcPr>
            <w:tcW w:w="1278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  <w:t xml:space="preserve">CENA JEDNOSTKOWA NETTO </w:t>
            </w:r>
          </w:p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eastAsia="zxx" w:bidi="zxx"/>
              </w:rPr>
            </w:r>
          </w:p>
        </w:tc>
        <w:tc>
          <w:tcPr>
            <w:tcW w:w="1277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  <w:t>CENA JEDNOSTKOWA BRUTTO</w:t>
            </w:r>
          </w:p>
          <w:p>
            <w:pPr>
              <w:pStyle w:val="Normal"/>
              <w:snapToGrid w:val="false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</w:r>
          </w:p>
        </w:tc>
        <w:tc>
          <w:tcPr>
            <w:tcW w:w="2815" w:type="dxa"/>
            <w:gridSpan w:val="2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u w:val="single"/>
                <w:lang w:eastAsia="zxx" w:bidi="zxx"/>
              </w:rPr>
              <w:t>Wartość netto</w:t>
            </w:r>
          </w:p>
          <w:p>
            <w:pPr>
              <w:pStyle w:val="Normal"/>
              <w:snapToGrid w:val="false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  <w:t>(CENA X ILOŚĆ NETTO)</w:t>
            </w:r>
          </w:p>
        </w:tc>
        <w:tc>
          <w:tcPr>
            <w:tcW w:w="2500" w:type="dxa"/>
            <w:gridSpan w:val="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u w:val="single"/>
                <w:lang w:eastAsia="zxx" w:bidi="zxx"/>
              </w:rPr>
              <w:t>Wartość brutto</w:t>
            </w: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  <w:t>(</w:t>
            </w:r>
          </w:p>
          <w:p>
            <w:pPr>
              <w:pStyle w:val="Normal"/>
              <w:snapToGrid w:val="false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  <w:t>CENA X ILOŚĆ BRUTTO)</w:t>
            </w:r>
          </w:p>
        </w:tc>
      </w:tr>
      <w:tr>
        <w:trPr>
          <w:cantSplit/>
        </w:trPr>
        <w:tc>
          <w:tcPr>
            <w:tcW w:w="3926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209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606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278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277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40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  <w:t>1 m-c</w:t>
            </w:r>
          </w:p>
        </w:tc>
        <w:tc>
          <w:tcPr>
            <w:tcW w:w="140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  <w:t>36 m-cy</w:t>
            </w:r>
          </w:p>
        </w:tc>
        <w:tc>
          <w:tcPr>
            <w:tcW w:w="124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  <w:t>1m-c</w:t>
            </w:r>
          </w:p>
        </w:tc>
        <w:tc>
          <w:tcPr>
            <w:tcW w:w="125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  <w:t>36 m-cy</w:t>
            </w:r>
          </w:p>
        </w:tc>
      </w:tr>
      <w:tr>
        <w:trPr/>
        <w:tc>
          <w:tcPr>
            <w:tcW w:w="39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tabs>
                <w:tab w:val="clear" w:pos="709"/>
                <w:tab w:val="left" w:pos="720" w:leader="none"/>
              </w:tabs>
              <w:snapToGrid w:val="false"/>
              <w:rPr/>
            </w:pPr>
            <w:r>
              <w:rPr>
                <w:rFonts w:cs="Arial" w:ascii="Arial" w:hAnsi="Arial"/>
                <w:lang w:eastAsia="zxx" w:bidi="zxx"/>
              </w:rPr>
              <w:t xml:space="preserve">Dostawa tlenu medycznego wraz z transportem </w:t>
            </w:r>
          </w:p>
        </w:tc>
        <w:tc>
          <w:tcPr>
            <w:tcW w:w="120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kg</w:t>
            </w:r>
          </w:p>
        </w:tc>
        <w:tc>
          <w:tcPr>
            <w:tcW w:w="160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4 000</w:t>
            </w:r>
          </w:p>
        </w:tc>
        <w:tc>
          <w:tcPr>
            <w:tcW w:w="127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7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0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0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4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5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</w:tr>
      <w:tr>
        <w:trPr/>
        <w:tc>
          <w:tcPr>
            <w:tcW w:w="39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tabs>
                <w:tab w:val="clear" w:pos="709"/>
                <w:tab w:val="left" w:pos="720" w:leader="none"/>
              </w:tabs>
              <w:snapToGrid w:val="false"/>
              <w:rPr/>
            </w:pPr>
            <w:r>
              <w:rPr>
                <w:rFonts w:eastAsia="Times New Roman" w:cs="Arial" w:ascii="Arial" w:hAnsi="Arial"/>
                <w:color w:val="111111"/>
                <w:lang w:eastAsia="zxx" w:bidi="zxx"/>
              </w:rPr>
              <w:t xml:space="preserve">Koszt dzierżawy stacji </w:t>
            </w:r>
            <w:r>
              <w:rPr>
                <w:rFonts w:eastAsia="Arial Unicode MS" w:cs="Arial" w:ascii="Arial" w:hAnsi="Arial"/>
                <w:color w:val="111111"/>
                <w:lang w:eastAsia="pl-PL" w:bidi="pl-PL"/>
              </w:rPr>
              <w:t xml:space="preserve">zagazowania </w:t>
            </w:r>
            <w:r>
              <w:rPr>
                <w:rFonts w:eastAsia="Arial Unicode MS" w:cs="Arial" w:ascii="Arial" w:hAnsi="Arial"/>
                <w:color w:val="111111"/>
                <w:lang w:eastAsia="zxx" w:bidi="zxx"/>
              </w:rPr>
              <w:t>ciekłym tlenem (2 zbiorniki) o wydajności parownicy min.100m</w:t>
            </w:r>
            <w:r>
              <w:rPr>
                <w:rFonts w:eastAsia="Arial Unicode MS" w:cs="Arial" w:ascii="Arial" w:hAnsi="Arial"/>
                <w:color w:val="111111"/>
                <w:vertAlign w:val="superscript"/>
                <w:lang w:eastAsia="zxx" w:bidi="zxx"/>
              </w:rPr>
              <w:t>3</w:t>
            </w:r>
            <w:r>
              <w:rPr>
                <w:rFonts w:eastAsia="Arial Unicode MS" w:cs="Arial" w:ascii="Arial" w:hAnsi="Arial"/>
                <w:color w:val="111111"/>
                <w:lang w:eastAsia="zxx" w:bidi="zxx"/>
              </w:rPr>
              <w:t>/h</w:t>
            </w:r>
            <w:r>
              <w:rPr>
                <w:rFonts w:eastAsia="Arial Unicode MS" w:cs="Arial" w:ascii="Arial" w:hAnsi="Arial"/>
                <w:color w:val="FF0000"/>
                <w:lang w:eastAsia="zxx" w:bidi="zxx"/>
              </w:rPr>
              <w:t xml:space="preserve"> </w:t>
            </w:r>
          </w:p>
        </w:tc>
        <w:tc>
          <w:tcPr>
            <w:tcW w:w="1209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tabs>
                <w:tab w:val="clear" w:pos="709"/>
                <w:tab w:val="left" w:pos="720" w:leader="none"/>
              </w:tabs>
              <w:snapToGrid w:val="false"/>
              <w:rPr/>
            </w:pPr>
            <w:r>
              <w:rPr>
                <w:rFonts w:eastAsia="Times New Roman" w:cs="Arial" w:ascii="Arial" w:hAnsi="Arial"/>
                <w:sz w:val="22"/>
                <w:szCs w:val="22"/>
                <w:lang w:eastAsia="zxx" w:bidi="zxx"/>
              </w:rPr>
              <w:t>miesięczny</w:t>
            </w:r>
          </w:p>
        </w:tc>
        <w:tc>
          <w:tcPr>
            <w:tcW w:w="160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1m-c</w:t>
            </w:r>
          </w:p>
        </w:tc>
        <w:tc>
          <w:tcPr>
            <w:tcW w:w="127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7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0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0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4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5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</w:tr>
      <w:tr>
        <w:trPr/>
        <w:tc>
          <w:tcPr>
            <w:tcW w:w="3926" w:type="dxa"/>
            <w:tcBorders/>
          </w:tcPr>
          <w:p>
            <w:pPr>
              <w:pStyle w:val="Zawartotabeli"/>
              <w:tabs>
                <w:tab w:val="clear" w:pos="709"/>
                <w:tab w:val="left" w:pos="720" w:leader="none"/>
              </w:tabs>
              <w:snapToGrid w:val="false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09" w:type="dxa"/>
            <w:tcBorders/>
          </w:tcPr>
          <w:p>
            <w:pPr>
              <w:pStyle w:val="Zawartotabeli"/>
              <w:tabs>
                <w:tab w:val="clear" w:pos="709"/>
                <w:tab w:val="left" w:pos="720" w:leader="none"/>
              </w:tabs>
              <w:snapToGrid w:val="false"/>
              <w:rPr>
                <w:rFonts w:ascii="Arial" w:hAnsi="Arial" w:eastAsia="Times New Roman" w:cs="Arial"/>
                <w:b/>
                <w:bCs/>
                <w:i/>
                <w:iCs/>
                <w:lang w:eastAsia="zxx" w:bidi="zxx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/>
                <w:lang w:eastAsia="zxx" w:bidi="zxx"/>
              </w:rPr>
            </w:r>
          </w:p>
        </w:tc>
        <w:tc>
          <w:tcPr>
            <w:tcW w:w="1606" w:type="dxa"/>
            <w:tcBorders/>
          </w:tcPr>
          <w:p>
            <w:pPr>
              <w:pStyle w:val="Zawartotabeli"/>
              <w:snapToGrid w:val="false"/>
              <w:jc w:val="center"/>
              <w:rPr>
                <w:rFonts w:ascii="Arial" w:hAnsi="Arial" w:eastAsia="Times New Roman" w:cs="Arial"/>
                <w:b/>
                <w:bCs/>
                <w:i/>
                <w:iCs/>
                <w:lang w:eastAsia="zxx" w:bidi="zxx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/>
                <w:lang w:eastAsia="zxx" w:bidi="zxx"/>
              </w:rPr>
            </w:r>
          </w:p>
        </w:tc>
        <w:tc>
          <w:tcPr>
            <w:tcW w:w="1278" w:type="dxa"/>
            <w:tcBorders/>
          </w:tcPr>
          <w:p>
            <w:pPr>
              <w:pStyle w:val="Zawartotabeli"/>
              <w:snapToGrid w:val="false"/>
              <w:jc w:val="end"/>
              <w:rPr>
                <w:rFonts w:ascii="Arial" w:hAnsi="Arial" w:eastAsia="Times New Roman" w:cs="Arial"/>
                <w:b/>
                <w:bCs/>
                <w:i/>
                <w:iCs/>
                <w:lang w:eastAsia="zxx" w:bidi="zxx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/>
                <w:lang w:eastAsia="zxx" w:bidi="zxx"/>
              </w:rPr>
            </w:r>
          </w:p>
        </w:tc>
        <w:tc>
          <w:tcPr>
            <w:tcW w:w="1277" w:type="dxa"/>
            <w:tcBorders/>
          </w:tcPr>
          <w:p>
            <w:pPr>
              <w:pStyle w:val="Zawartotabeli"/>
              <w:snapToGrid w:val="false"/>
              <w:jc w:val="end"/>
              <w:rPr>
                <w:rFonts w:ascii="Arial" w:hAnsi="Arial" w:eastAsia="Times New Roman" w:cs="Arial"/>
                <w:b/>
                <w:bCs/>
                <w:i/>
                <w:iCs/>
                <w:lang w:eastAsia="zxx" w:bidi="zxx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/>
                <w:lang w:eastAsia="zxx" w:bidi="zxx"/>
              </w:rPr>
            </w:r>
          </w:p>
        </w:tc>
        <w:tc>
          <w:tcPr>
            <w:tcW w:w="1407" w:type="dxa"/>
            <w:tcBorders/>
          </w:tcPr>
          <w:p>
            <w:pPr>
              <w:pStyle w:val="Zawartotabeli"/>
              <w:snapToGrid w:val="false"/>
              <w:jc w:val="end"/>
              <w:rPr>
                <w:rFonts w:ascii="Arial" w:hAnsi="Arial" w:eastAsia="Times New Roman" w:cs="Arial"/>
                <w:b/>
                <w:bCs/>
                <w:i/>
                <w:iCs/>
                <w:lang w:eastAsia="zxx" w:bidi="zxx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/>
                <w:lang w:eastAsia="zxx" w:bidi="zxx"/>
              </w:rPr>
            </w:r>
          </w:p>
        </w:tc>
        <w:tc>
          <w:tcPr>
            <w:tcW w:w="1408" w:type="dxa"/>
            <w:tcBorders/>
          </w:tcPr>
          <w:p>
            <w:pPr>
              <w:pStyle w:val="Zawartotabeli"/>
              <w:snapToGrid w:val="false"/>
              <w:jc w:val="end"/>
              <w:rPr>
                <w:rFonts w:ascii="Arial" w:hAnsi="Arial" w:eastAsia="Times New Roman" w:cs="Arial"/>
                <w:b/>
                <w:bCs/>
                <w:i/>
                <w:iCs/>
                <w:lang w:eastAsia="zxx" w:bidi="zxx"/>
              </w:rPr>
            </w:pPr>
            <w:r>
              <w:rPr>
                <w:rFonts w:eastAsia="Times New Roman" w:cs="Arial" w:ascii="Arial" w:hAnsi="Arial"/>
                <w:b/>
                <w:bCs/>
                <w:i/>
                <w:iCs/>
                <w:lang w:eastAsia="zxx" w:bidi="zxx"/>
              </w:rPr>
            </w:r>
          </w:p>
        </w:tc>
        <w:tc>
          <w:tcPr>
            <w:tcW w:w="124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hd w:fill="CCCCCC" w:val="clear"/>
              <w:snapToGrid w:val="false"/>
              <w:jc w:val="end"/>
              <w:rPr/>
            </w:pPr>
            <w:r>
              <w:rPr>
                <w:rFonts w:cs="Arial" w:ascii="Arial" w:hAnsi="Arial"/>
                <w:b/>
                <w:bCs/>
                <w:lang w:eastAsia="zxx" w:bidi="zxx"/>
              </w:rPr>
              <w:t>RAZEM</w:t>
            </w:r>
          </w:p>
        </w:tc>
        <w:tc>
          <w:tcPr>
            <w:tcW w:w="1259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b/>
                <w:bCs/>
                <w:lang w:eastAsia="zxx" w:bidi="zxx"/>
              </w:rPr>
            </w:pPr>
            <w:r>
              <w:rPr>
                <w:rFonts w:cs="Arial" w:ascii="Arial" w:hAnsi="Arial"/>
                <w:b/>
                <w:bCs/>
                <w:lang w:eastAsia="zxx" w:bidi="zxx"/>
              </w:rPr>
            </w:r>
          </w:p>
        </w:tc>
      </w:tr>
    </w:tbl>
    <w:p>
      <w:pPr>
        <w:pStyle w:val="Normal"/>
        <w:tabs>
          <w:tab w:val="clear" w:pos="709"/>
          <w:tab w:val="left" w:pos="720" w:leader="none"/>
        </w:tabs>
        <w:spacing w:lineRule="auto" w:line="360"/>
        <w:rPr/>
      </w:pPr>
      <w:r>
        <w:rPr/>
      </w:r>
    </w:p>
    <w:p>
      <w:pPr>
        <w:pStyle w:val="Normal"/>
        <w:tabs>
          <w:tab w:val="clear" w:pos="709"/>
          <w:tab w:val="left" w:pos="720" w:leader="none"/>
        </w:tabs>
        <w:spacing w:lineRule="atLeast" w:line="200"/>
        <w:rPr>
          <w:rFonts w:ascii="Arial" w:hAnsi="Arial" w:eastAsia="Arial Unicode MS" w:cs="Arial"/>
          <w:b/>
          <w:bCs/>
          <w:shadow/>
          <w:color w:val="000000"/>
          <w:lang w:eastAsia="zxx" w:bidi="zxx"/>
        </w:rPr>
      </w:pPr>
      <w:r>
        <w:rPr>
          <w:rFonts w:eastAsia="Arial Unicode MS" w:cs="Arial" w:ascii="Arial" w:hAnsi="Arial"/>
          <w:b/>
          <w:bCs/>
          <w:shadow/>
          <w:color w:val="000000"/>
          <w:lang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200"/>
        <w:rPr>
          <w:rFonts w:ascii="Arial" w:hAnsi="Arial" w:eastAsia="Arial Unicode MS" w:cs="Arial"/>
          <w:b/>
          <w:bCs/>
          <w:shadow/>
          <w:color w:val="000000"/>
          <w:lang w:eastAsia="zxx" w:bidi="zxx"/>
        </w:rPr>
      </w:pPr>
      <w:r>
        <w:rPr>
          <w:rFonts w:eastAsia="Arial Unicode MS" w:cs="Arial" w:ascii="Arial" w:hAnsi="Arial"/>
          <w:b/>
          <w:bCs/>
          <w:shadow/>
          <w:color w:val="000000"/>
          <w:lang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200"/>
        <w:rPr>
          <w:rFonts w:ascii="Arial" w:hAnsi="Arial" w:eastAsia="Arial Unicode MS" w:cs="Arial"/>
          <w:b/>
          <w:bCs/>
          <w:shadow/>
          <w:color w:val="000000"/>
          <w:lang w:eastAsia="zxx" w:bidi="zxx"/>
        </w:rPr>
      </w:pPr>
      <w:r>
        <w:rPr>
          <w:rFonts w:eastAsia="Arial Unicode MS" w:cs="Arial" w:ascii="Arial" w:hAnsi="Arial"/>
          <w:b/>
          <w:bCs/>
          <w:shadow/>
          <w:color w:val="000000"/>
          <w:lang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200"/>
        <w:rPr>
          <w:rFonts w:ascii="Arial" w:hAnsi="Arial" w:eastAsia="Arial Unicode MS" w:cs="Arial"/>
          <w:b/>
          <w:bCs/>
          <w:shadow/>
          <w:color w:val="000000"/>
          <w:lang w:eastAsia="zxx" w:bidi="zxx"/>
        </w:rPr>
      </w:pPr>
      <w:r>
        <w:rPr>
          <w:rFonts w:eastAsia="Arial Unicode MS" w:cs="Arial" w:ascii="Arial" w:hAnsi="Arial"/>
          <w:b/>
          <w:bCs/>
          <w:shadow/>
          <w:color w:val="000000"/>
          <w:lang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200"/>
        <w:rPr>
          <w:rFonts w:ascii="Arial" w:hAnsi="Arial" w:eastAsia="Arial Unicode MS" w:cs="Arial"/>
          <w:b/>
          <w:bCs/>
          <w:shadow/>
          <w:color w:val="000000"/>
          <w:lang w:eastAsia="zxx" w:bidi="zxx"/>
        </w:rPr>
      </w:pPr>
      <w:r>
        <w:rPr>
          <w:rFonts w:eastAsia="Arial Unicode MS" w:cs="Arial" w:ascii="Arial" w:hAnsi="Arial"/>
          <w:b/>
          <w:bCs/>
          <w:shadow/>
          <w:color w:val="000000"/>
          <w:lang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200"/>
        <w:rPr>
          <w:rFonts w:ascii="Arial" w:hAnsi="Arial" w:eastAsia="Arial Unicode MS" w:cs="Arial"/>
          <w:b/>
          <w:bCs/>
          <w:shadow/>
          <w:color w:val="000000"/>
          <w:lang w:eastAsia="zxx" w:bidi="zxx"/>
        </w:rPr>
      </w:pPr>
      <w:r>
        <w:rPr>
          <w:rFonts w:eastAsia="Arial Unicode MS" w:cs="Arial" w:ascii="Arial" w:hAnsi="Arial"/>
          <w:b/>
          <w:bCs/>
          <w:shadow/>
          <w:color w:val="000000"/>
          <w:lang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200"/>
        <w:rPr>
          <w:rFonts w:ascii="Arial" w:hAnsi="Arial" w:eastAsia="Arial Unicode MS" w:cs="Arial"/>
          <w:b/>
          <w:bCs/>
          <w:shadow/>
          <w:color w:val="000000"/>
          <w:lang w:eastAsia="zxx" w:bidi="zxx"/>
        </w:rPr>
      </w:pPr>
      <w:r>
        <w:rPr>
          <w:rFonts w:eastAsia="Arial Unicode MS" w:cs="Arial" w:ascii="Arial" w:hAnsi="Arial"/>
          <w:b/>
          <w:bCs/>
          <w:shadow/>
          <w:color w:val="000000"/>
          <w:lang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spacing w:lineRule="atLeast" w:line="200"/>
        <w:rPr>
          <w:rFonts w:ascii="Arial" w:hAnsi="Arial" w:eastAsia="Arial Unicode MS" w:cs="Arial"/>
          <w:b/>
          <w:bCs/>
          <w:shadow/>
          <w:color w:val="000000"/>
          <w:lang w:eastAsia="zxx" w:bidi="zxx"/>
        </w:rPr>
      </w:pPr>
      <w:r>
        <w:rPr>
          <w:rFonts w:eastAsia="Arial Unicode MS" w:cs="Arial" w:ascii="Arial" w:hAnsi="Arial"/>
          <w:b/>
          <w:bCs/>
          <w:shadow/>
          <w:color w:val="000000"/>
          <w:lang w:eastAsia="zxx" w:bidi="zxx"/>
        </w:rPr>
        <w:t xml:space="preserve">ZADANIE NR 2:  </w:t>
      </w:r>
    </w:p>
    <w:p>
      <w:pPr>
        <w:pStyle w:val="Normal"/>
        <w:tabs>
          <w:tab w:val="clear" w:pos="709"/>
          <w:tab w:val="left" w:pos="720" w:leader="none"/>
        </w:tabs>
        <w:spacing w:lineRule="atLeast" w:line="200"/>
        <w:rPr>
          <w:rFonts w:ascii="Arial" w:hAnsi="Arial" w:eastAsia="Arial Unicode MS" w:cs="Arial"/>
          <w:b/>
          <w:bCs/>
          <w:shadow/>
          <w:color w:val="000000"/>
          <w:lang w:eastAsia="zxx" w:bidi="zxx"/>
        </w:rPr>
      </w:pPr>
      <w:r>
        <w:rPr>
          <w:rFonts w:eastAsia="Arial Unicode MS" w:cs="Arial" w:ascii="Arial" w:hAnsi="Arial"/>
          <w:b/>
          <w:bCs/>
          <w:shadow/>
          <w:color w:val="000000"/>
          <w:lang w:eastAsia="zxx" w:bidi="zxx"/>
        </w:rPr>
        <w:t xml:space="preserve">                          </w:t>
      </w:r>
      <w:r>
        <w:rPr>
          <w:rFonts w:eastAsia="Arial Unicode MS" w:cs="Arial" w:ascii="Arial" w:hAnsi="Arial"/>
          <w:b/>
          <w:bCs/>
          <w:shadow/>
          <w:color w:val="000000"/>
          <w:lang w:eastAsia="zxx" w:bidi="zxx"/>
        </w:rPr>
        <w:t xml:space="preserve">Dostawa gazów medycznych w butlach ZAMAWIAJĄCEGO  oraz dzierżawą butli wraz z transportem     </w:t>
      </w:r>
    </w:p>
    <w:p>
      <w:pPr>
        <w:pStyle w:val="Normal"/>
        <w:tabs>
          <w:tab w:val="clear" w:pos="709"/>
          <w:tab w:val="left" w:pos="720" w:leader="none"/>
        </w:tabs>
        <w:spacing w:lineRule="atLeast" w:line="200"/>
        <w:rPr>
          <w:rFonts w:ascii="Arial" w:hAnsi="Arial" w:eastAsia="Arial Unicode MS" w:cs="Arial"/>
          <w:b/>
          <w:bCs/>
          <w:shadow/>
          <w:color w:val="000000"/>
          <w:lang w:eastAsia="zxx" w:bidi="zxx"/>
        </w:rPr>
      </w:pPr>
      <w:r>
        <w:rPr>
          <w:rFonts w:eastAsia="Arial Unicode MS" w:cs="Arial" w:ascii="Arial" w:hAnsi="Arial"/>
          <w:b/>
          <w:bCs/>
          <w:shadow/>
          <w:color w:val="000000"/>
          <w:lang w:eastAsia="zxx" w:bidi="zxx"/>
        </w:rPr>
      </w:r>
    </w:p>
    <w:tbl>
      <w:tblPr>
        <w:tblW w:w="14611" w:type="dxa"/>
        <w:jc w:val="start"/>
        <w:tblInd w:w="37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3907"/>
        <w:gridCol w:w="1056"/>
        <w:gridCol w:w="1796"/>
        <w:gridCol w:w="1278"/>
        <w:gridCol w:w="1241"/>
        <w:gridCol w:w="1426"/>
        <w:gridCol w:w="1426"/>
        <w:gridCol w:w="1231"/>
        <w:gridCol w:w="1250"/>
      </w:tblGrid>
      <w:tr>
        <w:trPr>
          <w:trHeight w:val="769" w:hRule="exact"/>
          <w:cantSplit/>
        </w:trPr>
        <w:tc>
          <w:tcPr>
            <w:tcW w:w="3907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eastAsia="zxx" w:bidi="zxx"/>
              </w:rPr>
              <w:t xml:space="preserve">PRZEDMIOT </w:t>
            </w:r>
          </w:p>
        </w:tc>
        <w:tc>
          <w:tcPr>
            <w:tcW w:w="1056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eastAsia="zxx" w:bidi="zxx"/>
              </w:rPr>
              <w:t>Jednostka miary</w:t>
            </w:r>
          </w:p>
        </w:tc>
        <w:tc>
          <w:tcPr>
            <w:tcW w:w="1796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eastAsia="zxx" w:bidi="zxx"/>
              </w:rPr>
              <w:t>Zapotrzebowanie miesięczne</w:t>
            </w:r>
          </w:p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eastAsia="zxx" w:bidi="zxx"/>
              </w:rPr>
              <w:t>ILOŚĆ butli/l</w:t>
            </w:r>
          </w:p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eastAsia="zxx" w:bidi="zxx"/>
              </w:rPr>
            </w:r>
          </w:p>
        </w:tc>
        <w:tc>
          <w:tcPr>
            <w:tcW w:w="1278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  <w:t xml:space="preserve">CENA JEDNOSTKOWA NETTO </w:t>
            </w:r>
          </w:p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cs="Arial" w:ascii="Arial" w:hAnsi="Arial"/>
                <w:b/>
                <w:bCs/>
                <w:sz w:val="20"/>
                <w:szCs w:val="20"/>
                <w:lang w:eastAsia="zxx" w:bidi="zxx"/>
              </w:rPr>
            </w:r>
          </w:p>
        </w:tc>
        <w:tc>
          <w:tcPr>
            <w:tcW w:w="1241" w:type="dxa"/>
            <w:vMerge w:val="restart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  <w:t>CENA JEDNOSTKOWA BRUTTO</w:t>
            </w:r>
          </w:p>
          <w:p>
            <w:pPr>
              <w:pStyle w:val="Normal"/>
              <w:snapToGrid w:val="false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</w:r>
          </w:p>
        </w:tc>
        <w:tc>
          <w:tcPr>
            <w:tcW w:w="2852" w:type="dxa"/>
            <w:gridSpan w:val="2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u w:val="single"/>
                <w:lang w:eastAsia="zxx" w:bidi="zxx"/>
              </w:rPr>
              <w:t>Wartość netto</w:t>
            </w:r>
          </w:p>
          <w:p>
            <w:pPr>
              <w:pStyle w:val="Normal"/>
              <w:snapToGrid w:val="false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  <w:t>(CENA X ILOŚĆ NETTO)</w:t>
            </w:r>
          </w:p>
        </w:tc>
        <w:tc>
          <w:tcPr>
            <w:tcW w:w="2481" w:type="dxa"/>
            <w:gridSpan w:val="2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Arial" w:hAnsi="Arial" w:eastAsia="Arial" w:cs="Arial"/>
                <w:b/>
                <w:bCs/>
                <w:sz w:val="20"/>
                <w:szCs w:val="20"/>
                <w:lang w:eastAsia="zxx" w:bidi="zxx"/>
              </w:rPr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u w:val="single"/>
                <w:lang w:eastAsia="zxx" w:bidi="zxx"/>
              </w:rPr>
              <w:t>Wartość brutto</w:t>
            </w:r>
          </w:p>
          <w:p>
            <w:pPr>
              <w:pStyle w:val="Normal"/>
              <w:snapToGrid w:val="false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  <w:t>(CENA X ILOŚĆ BRUTTO)</w:t>
            </w:r>
          </w:p>
        </w:tc>
      </w:tr>
      <w:tr>
        <w:trPr>
          <w:cantSplit/>
        </w:trPr>
        <w:tc>
          <w:tcPr>
            <w:tcW w:w="3907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056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796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278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241" w:type="dxa"/>
            <w:vMerge w:val="continue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  <w:t>1 m-c</w:t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  <w:t>36 m-cy</w:t>
            </w:r>
          </w:p>
        </w:tc>
        <w:tc>
          <w:tcPr>
            <w:tcW w:w="12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  <w:t>1 m-c</w:t>
            </w:r>
          </w:p>
        </w:tc>
        <w:tc>
          <w:tcPr>
            <w:tcW w:w="12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rFonts w:eastAsia="Arial" w:cs="Arial" w:ascii="Arial" w:hAnsi="Arial"/>
                <w:b/>
                <w:bCs/>
                <w:sz w:val="20"/>
                <w:szCs w:val="20"/>
                <w:lang w:eastAsia="zxx" w:bidi="zxx"/>
              </w:rPr>
              <w:t>36 m-cy</w:t>
            </w:r>
          </w:p>
        </w:tc>
      </w:tr>
      <w:tr>
        <w:trPr/>
        <w:tc>
          <w:tcPr>
            <w:tcW w:w="390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lang w:eastAsia="zxx" w:bidi="zxx"/>
              </w:rPr>
              <w:t>Tlen medyczny w butlach 40l</w:t>
            </w:r>
          </w:p>
        </w:tc>
        <w:tc>
          <w:tcPr>
            <w:tcW w:w="1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szt.</w:t>
            </w:r>
          </w:p>
        </w:tc>
        <w:tc>
          <w:tcPr>
            <w:tcW w:w="179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ind w:start="400" w:end="-1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6</w:t>
            </w:r>
          </w:p>
        </w:tc>
        <w:tc>
          <w:tcPr>
            <w:tcW w:w="127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4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</w:tr>
      <w:tr>
        <w:trPr/>
        <w:tc>
          <w:tcPr>
            <w:tcW w:w="390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lang w:eastAsia="zxx" w:bidi="zxx"/>
              </w:rPr>
              <w:t>Podtlenek azotu medyczny w butlach 7kg</w:t>
            </w:r>
          </w:p>
        </w:tc>
        <w:tc>
          <w:tcPr>
            <w:tcW w:w="1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szt.</w:t>
            </w:r>
          </w:p>
        </w:tc>
        <w:tc>
          <w:tcPr>
            <w:tcW w:w="179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ind w:start="400" w:end="-1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4</w:t>
            </w:r>
          </w:p>
        </w:tc>
        <w:tc>
          <w:tcPr>
            <w:tcW w:w="127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4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</w:tr>
      <w:tr>
        <w:trPr/>
        <w:tc>
          <w:tcPr>
            <w:tcW w:w="390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lang w:eastAsia="zxx" w:bidi="zxx"/>
              </w:rPr>
              <w:t>Tlen medyczny w butli 5 l (1,08 m3) 200 Bar</w:t>
            </w:r>
          </w:p>
        </w:tc>
        <w:tc>
          <w:tcPr>
            <w:tcW w:w="1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szt.</w:t>
            </w:r>
          </w:p>
        </w:tc>
        <w:tc>
          <w:tcPr>
            <w:tcW w:w="179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ind w:start="400" w:end="-1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3</w:t>
            </w:r>
          </w:p>
        </w:tc>
        <w:tc>
          <w:tcPr>
            <w:tcW w:w="127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4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</w:tr>
      <w:tr>
        <w:trPr/>
        <w:tc>
          <w:tcPr>
            <w:tcW w:w="390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lang w:eastAsia="zxx" w:bidi="zxx"/>
              </w:rPr>
              <w:t>Tlen medyczny w butli 2 l (o,43m3) 200 Bar</w:t>
            </w:r>
          </w:p>
        </w:tc>
        <w:tc>
          <w:tcPr>
            <w:tcW w:w="1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szt.</w:t>
            </w:r>
          </w:p>
        </w:tc>
        <w:tc>
          <w:tcPr>
            <w:tcW w:w="179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ind w:start="400" w:end="-1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10</w:t>
            </w:r>
          </w:p>
        </w:tc>
        <w:tc>
          <w:tcPr>
            <w:tcW w:w="127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4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</w:tr>
      <w:tr>
        <w:trPr>
          <w:trHeight w:val="592" w:hRule="atLeast"/>
        </w:trPr>
        <w:tc>
          <w:tcPr>
            <w:tcW w:w="390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lang w:eastAsia="zxx" w:bidi="zxx"/>
              </w:rPr>
              <w:t>Tlen medyczny w butli 10 l (Liv)</w:t>
            </w:r>
            <w:r>
              <w:rPr>
                <w:rFonts w:cs="Arial" w:ascii="Arial" w:hAnsi="Arial"/>
                <w:color w:val="FF0000"/>
                <w:lang w:eastAsia="zxx" w:bidi="zxx"/>
              </w:rPr>
              <w:t xml:space="preserve"> </w:t>
            </w:r>
            <w:r>
              <w:rPr>
                <w:rFonts w:cs="Arial" w:ascii="Arial" w:hAnsi="Arial"/>
                <w:lang w:eastAsia="zxx" w:bidi="zxx"/>
              </w:rPr>
              <w:t>200 Bar</w:t>
            </w:r>
          </w:p>
        </w:tc>
        <w:tc>
          <w:tcPr>
            <w:tcW w:w="1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szt.</w:t>
            </w:r>
          </w:p>
        </w:tc>
        <w:tc>
          <w:tcPr>
            <w:tcW w:w="179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ind w:start="400" w:end="-1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4</w:t>
            </w:r>
          </w:p>
        </w:tc>
        <w:tc>
          <w:tcPr>
            <w:tcW w:w="127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4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</w:tr>
      <w:tr>
        <w:trPr>
          <w:trHeight w:val="592" w:hRule="atLeast"/>
        </w:trPr>
        <w:tc>
          <w:tcPr>
            <w:tcW w:w="390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lang w:eastAsia="zxx" w:bidi="zxx"/>
              </w:rPr>
              <w:t>Tlen medyczny w butli 8 l (Liv)</w:t>
            </w:r>
            <w:r>
              <w:rPr>
                <w:rFonts w:cs="Arial" w:ascii="Arial" w:hAnsi="Arial"/>
                <w:color w:val="FF0000"/>
                <w:lang w:eastAsia="zxx" w:bidi="zxx"/>
              </w:rPr>
              <w:t xml:space="preserve"> </w:t>
            </w:r>
            <w:r>
              <w:rPr>
                <w:rFonts w:cs="Arial" w:ascii="Arial" w:hAnsi="Arial"/>
                <w:lang w:eastAsia="zxx" w:bidi="zxx"/>
              </w:rPr>
              <w:t>200 Bar</w:t>
            </w:r>
          </w:p>
        </w:tc>
        <w:tc>
          <w:tcPr>
            <w:tcW w:w="1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szt.</w:t>
            </w:r>
          </w:p>
        </w:tc>
        <w:tc>
          <w:tcPr>
            <w:tcW w:w="179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ind w:start="400" w:end="-1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4</w:t>
            </w:r>
          </w:p>
        </w:tc>
        <w:tc>
          <w:tcPr>
            <w:tcW w:w="127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4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</w:tr>
      <w:tr>
        <w:trPr/>
        <w:tc>
          <w:tcPr>
            <w:tcW w:w="390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lang w:eastAsia="zxx" w:bidi="zxx"/>
              </w:rPr>
              <w:t xml:space="preserve">Tlen medyczny w butli 10 l </w:t>
            </w:r>
          </w:p>
        </w:tc>
        <w:tc>
          <w:tcPr>
            <w:tcW w:w="1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szt.</w:t>
            </w:r>
          </w:p>
        </w:tc>
        <w:tc>
          <w:tcPr>
            <w:tcW w:w="179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ind w:start="400" w:end="-1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2</w:t>
            </w:r>
          </w:p>
        </w:tc>
        <w:tc>
          <w:tcPr>
            <w:tcW w:w="127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4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</w:tr>
      <w:tr>
        <w:trPr/>
        <w:tc>
          <w:tcPr>
            <w:tcW w:w="390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lang w:eastAsia="zxx" w:bidi="zxx"/>
              </w:rPr>
              <w:t>Laparox (lub równoważny), medyczny dwutlenek węgla butla 10l.: 7,5 kg. Dwutlenku węgla</w:t>
            </w:r>
          </w:p>
        </w:tc>
        <w:tc>
          <w:tcPr>
            <w:tcW w:w="1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szt.</w:t>
            </w:r>
          </w:p>
        </w:tc>
        <w:tc>
          <w:tcPr>
            <w:tcW w:w="179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ind w:start="400" w:end="-1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2</w:t>
            </w:r>
          </w:p>
        </w:tc>
        <w:tc>
          <w:tcPr>
            <w:tcW w:w="127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4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</w:tr>
      <w:tr>
        <w:trPr/>
        <w:tc>
          <w:tcPr>
            <w:tcW w:w="390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lang w:eastAsia="zxx" w:bidi="zxx"/>
              </w:rPr>
              <w:t>Dzierżawa butli aluminiowej z zaworem zintegrowanym* (10 szt)</w:t>
            </w:r>
          </w:p>
        </w:tc>
        <w:tc>
          <w:tcPr>
            <w:tcW w:w="1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Butlo/doba</w:t>
            </w:r>
          </w:p>
        </w:tc>
        <w:tc>
          <w:tcPr>
            <w:tcW w:w="179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ind w:start="400" w:end="-1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300</w:t>
            </w:r>
          </w:p>
        </w:tc>
        <w:tc>
          <w:tcPr>
            <w:tcW w:w="127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4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</w:tr>
      <w:tr>
        <w:trPr/>
        <w:tc>
          <w:tcPr>
            <w:tcW w:w="390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lang w:eastAsia="zxx" w:bidi="zxx"/>
              </w:rPr>
              <w:t>Dzierżawa butli medycznych z pozycji 1,2,7,8 (1szt.)</w:t>
            </w:r>
          </w:p>
        </w:tc>
        <w:tc>
          <w:tcPr>
            <w:tcW w:w="1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79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ind w:start="400" w:end="-1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30</w:t>
            </w:r>
          </w:p>
        </w:tc>
        <w:tc>
          <w:tcPr>
            <w:tcW w:w="127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4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</w:tr>
      <w:tr>
        <w:trPr/>
        <w:tc>
          <w:tcPr>
            <w:tcW w:w="3907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lang w:eastAsia="zxx" w:bidi="zxx"/>
              </w:rPr>
              <w:t>Legalizacja butli medycznych</w:t>
            </w:r>
          </w:p>
        </w:tc>
        <w:tc>
          <w:tcPr>
            <w:tcW w:w="105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center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79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ind w:start="400" w:end="-1"/>
              <w:jc w:val="center"/>
              <w:rPr/>
            </w:pPr>
            <w:r>
              <w:rPr>
                <w:rFonts w:cs="Arial" w:ascii="Arial" w:hAnsi="Arial"/>
                <w:lang w:eastAsia="zxx" w:bidi="zxx"/>
              </w:rPr>
              <w:t>1</w:t>
            </w:r>
          </w:p>
        </w:tc>
        <w:tc>
          <w:tcPr>
            <w:tcW w:w="127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4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42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</w:tr>
      <w:tr>
        <w:trPr/>
        <w:tc>
          <w:tcPr>
            <w:tcW w:w="12130" w:type="dxa"/>
            <w:gridSpan w:val="7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  <w:tc>
          <w:tcPr>
            <w:tcW w:w="123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snapToGrid w:val="false"/>
              <w:rPr/>
            </w:pPr>
            <w:r>
              <w:rPr>
                <w:rFonts w:cs="Arial" w:ascii="Arial" w:hAnsi="Arial"/>
                <w:b/>
                <w:bCs/>
                <w:lang w:eastAsia="zxx" w:bidi="zxx"/>
              </w:rPr>
              <w:t>RAZEM</w:t>
            </w:r>
          </w:p>
        </w:tc>
        <w:tc>
          <w:tcPr>
            <w:tcW w:w="12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snapToGrid w:val="false"/>
              <w:jc w:val="end"/>
              <w:rPr>
                <w:rFonts w:ascii="Arial" w:hAnsi="Arial" w:cs="Arial"/>
                <w:lang w:eastAsia="zxx" w:bidi="zxx"/>
              </w:rPr>
            </w:pPr>
            <w:r>
              <w:rPr>
                <w:rFonts w:cs="Arial" w:ascii="Arial" w:hAnsi="Arial"/>
                <w:lang w:eastAsia="zxx" w:bidi="zxx"/>
              </w:rPr>
            </w:r>
          </w:p>
        </w:tc>
      </w:tr>
    </w:tbl>
    <w:p>
      <w:pPr>
        <w:pStyle w:val="Normal"/>
        <w:tabs>
          <w:tab w:val="clear" w:pos="709"/>
          <w:tab w:val="left" w:pos="720" w:leader="none"/>
        </w:tabs>
        <w:spacing w:lineRule="auto" w:line="3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Cs/>
          <w:sz w:val="20"/>
          <w:szCs w:val="20"/>
        </w:rPr>
        <w:t>Dostawca wykona przegląd, legalizację oraz napełnienie butli tlenowych (butle 10l. – 18 szt., butle 40l. – 15 szt.) i butli podtlenku azotu (butle – 14 szt.) będących własnością Zamawiającego.</w:t>
      </w:r>
    </w:p>
    <w:p>
      <w:pPr>
        <w:pStyle w:val="Normal"/>
        <w:tabs>
          <w:tab w:val="clear" w:pos="709"/>
          <w:tab w:val="left" w:pos="720" w:leader="none"/>
        </w:tabs>
        <w:spacing w:lineRule="auto" w:line="360"/>
        <w:jc w:val="both"/>
        <w:rPr>
          <w:b/>
          <w:bCs/>
        </w:rPr>
      </w:pPr>
      <w:r>
        <w:rPr>
          <w:rFonts w:cs="Arial" w:ascii="Arial" w:hAnsi="Arial"/>
          <w:sz w:val="20"/>
          <w:szCs w:val="20"/>
        </w:rPr>
        <w:t>*Mała butla tlenowa aluminiowa poj. 2 oraz 5 l z zaworem zintegrowanym tzn. wmontowany na stałe (zintegrowany z butlą) moduł wyposażony w reduktor ciśnienia, manometr wskazujący ciśnienie tlenu w butli, przepływomierz o zakresie pracy 0,5 – 15 l/min, wyjście do podłączenia maski tlenowej lub kaniuli donosowej oraz system szybkiego łączenia (Quick Connector) do podłączenia urządzeń przenośnych wymagających dostarczenia tlenu medycznego – respirator transportowy</w:t>
      </w:r>
      <w:r>
        <w:rPr>
          <w:rFonts w:cs="Arial" w:ascii="Arial" w:hAnsi="Arial"/>
          <w:bCs/>
          <w:sz w:val="20"/>
          <w:szCs w:val="20"/>
        </w:rPr>
        <w:t>.</w:t>
      </w:r>
    </w:p>
    <w:p>
      <w:pPr>
        <w:pStyle w:val="Normal"/>
        <w:tabs>
          <w:tab w:val="clear" w:pos="709"/>
          <w:tab w:val="left" w:pos="720" w:leader="none"/>
        </w:tabs>
        <w:spacing w:lineRule="auto" w:line="360"/>
        <w:rPr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09"/>
          <w:tab w:val="left" w:pos="720" w:leader="none"/>
        </w:tabs>
        <w:spacing w:lineRule="auto" w:line="360"/>
        <w:rPr>
          <w:b/>
          <w:bCs/>
        </w:rPr>
      </w:pPr>
      <w:r>
        <w:rPr>
          <w:b/>
          <w:bCs/>
        </w:rPr>
      </w:r>
    </w:p>
    <w:p>
      <w:pPr>
        <w:pStyle w:val="Normal"/>
        <w:tabs>
          <w:tab w:val="clear" w:pos="709"/>
          <w:tab w:val="left" w:pos="720" w:leader="none"/>
        </w:tabs>
        <w:spacing w:lineRule="auto" w:line="360"/>
        <w:rPr>
          <w:rFonts w:ascii="Arial" w:hAnsi="Arial" w:eastAsia="Arial Unicode MS" w:cs="Arial"/>
          <w:b/>
          <w:bCs/>
          <w:shadow/>
          <w:spacing w:val="-1"/>
          <w:sz w:val="22"/>
          <w:szCs w:val="22"/>
          <w:lang w:val="zxx" w:eastAsia="zxx" w:bidi="zxx"/>
        </w:rPr>
      </w:pPr>
      <w:r>
        <w:rPr>
          <w:b/>
          <w:bCs/>
        </w:rPr>
        <w:t>ZADANIE NR 3</w:t>
      </w:r>
    </w:p>
    <w:p>
      <w:pPr>
        <w:pStyle w:val="Normal"/>
        <w:jc w:val="center"/>
        <w:rPr>
          <w:rFonts w:ascii="Arial" w:hAnsi="Arial" w:cs="Arial"/>
        </w:rPr>
      </w:pPr>
      <w:r>
        <w:rPr>
          <w:rFonts w:eastAsia="Arial Unicode MS" w:cs="Arial" w:ascii="Arial" w:hAnsi="Arial"/>
          <w:b/>
          <w:bCs/>
          <w:shadow/>
          <w:spacing w:val="-1"/>
          <w:sz w:val="22"/>
          <w:szCs w:val="22"/>
          <w:lang w:val="zxx" w:eastAsia="zxx" w:bidi="zxx"/>
        </w:rPr>
        <w:t>Dostawa</w:t>
      </w:r>
      <w:r>
        <w:rPr>
          <w:rFonts w:eastAsia="Arial Unicode MS" w:cs="Arial" w:ascii="Arial" w:hAnsi="Arial"/>
          <w:b/>
          <w:bCs/>
          <w:shadow/>
          <w:color w:val="C00000"/>
          <w:spacing w:val="-1"/>
          <w:sz w:val="22"/>
          <w:szCs w:val="22"/>
          <w:lang w:val="zxx" w:eastAsia="zxx" w:bidi="zxx"/>
        </w:rPr>
        <w:t xml:space="preserve"> </w:t>
      </w:r>
      <w:r>
        <w:rPr>
          <w:rFonts w:cs="Arial" w:ascii="Arial" w:hAnsi="Arial"/>
          <w:b/>
          <w:bCs/>
          <w:color w:val="000000"/>
          <w:sz w:val="22"/>
          <w:szCs w:val="22"/>
        </w:rPr>
        <w:t>gazu medycznego typu entonox lub równoważnego wraz z akcesoriami i dzierżawą butli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15940" w:type="dxa"/>
        <w:jc w:val="start"/>
        <w:tblInd w:w="-55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970"/>
        <w:gridCol w:w="1680"/>
        <w:gridCol w:w="840"/>
        <w:gridCol w:w="840"/>
        <w:gridCol w:w="935"/>
        <w:gridCol w:w="1090"/>
        <w:gridCol w:w="893"/>
        <w:gridCol w:w="1167"/>
        <w:gridCol w:w="676"/>
        <w:gridCol w:w="708"/>
        <w:gridCol w:w="1701"/>
        <w:gridCol w:w="2850"/>
        <w:gridCol w:w="1590"/>
      </w:tblGrid>
      <w:tr>
        <w:trPr>
          <w:trHeight w:val="750" w:hRule="atLeast"/>
        </w:trPr>
        <w:tc>
          <w:tcPr>
            <w:tcW w:w="970" w:type="dxa"/>
            <w:tcBorders>
              <w:top w:val="single" w:sz="8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L.p.</w:t>
            </w:r>
          </w:p>
        </w:tc>
        <w:tc>
          <w:tcPr>
            <w:tcW w:w="3360" w:type="dxa"/>
            <w:gridSpan w:val="3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Nazwa preparatu i wielkość opakowania</w:t>
            </w:r>
          </w:p>
        </w:tc>
        <w:tc>
          <w:tcPr>
            <w:tcW w:w="935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 xml:space="preserve">Ilość </w:t>
            </w:r>
          </w:p>
        </w:tc>
        <w:tc>
          <w:tcPr>
            <w:tcW w:w="1090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cena jednostkowa netto</w:t>
            </w:r>
          </w:p>
        </w:tc>
        <w:tc>
          <w:tcPr>
            <w:tcW w:w="2060" w:type="dxa"/>
            <w:gridSpan w:val="2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Wartość netto</w:t>
            </w:r>
          </w:p>
        </w:tc>
        <w:tc>
          <w:tcPr>
            <w:tcW w:w="676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Vat</w:t>
            </w:r>
          </w:p>
        </w:tc>
        <w:tc>
          <w:tcPr>
            <w:tcW w:w="2409" w:type="dxa"/>
            <w:gridSpan w:val="2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Wartość brutto</w:t>
            </w:r>
          </w:p>
        </w:tc>
        <w:tc>
          <w:tcPr>
            <w:tcW w:w="2850" w:type="dxa"/>
            <w:tcBorders>
              <w:top w:val="single" w:sz="8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Nazwa hadlowa</w:t>
            </w:r>
          </w:p>
        </w:tc>
        <w:tc>
          <w:tcPr>
            <w:tcW w:w="159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97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Gaz medyczny typu Entonox lub równoważnego 10L(2,8m3)</w:t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90 szt</w:t>
            </w:r>
          </w:p>
        </w:tc>
        <w:tc>
          <w:tcPr>
            <w:tcW w:w="10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end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59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97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Dzierżawa zaworu dozującego / 1 dzień</w:t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2192 dni</w:t>
            </w:r>
          </w:p>
        </w:tc>
        <w:tc>
          <w:tcPr>
            <w:tcW w:w="10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end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59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97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2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Dzierżawa butli / 1 dzień</w:t>
            </w:r>
          </w:p>
        </w:tc>
        <w:tc>
          <w:tcPr>
            <w:tcW w:w="8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2192 dni</w:t>
            </w:r>
          </w:p>
        </w:tc>
        <w:tc>
          <w:tcPr>
            <w:tcW w:w="10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end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16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59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97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4</w:t>
            </w:r>
          </w:p>
        </w:tc>
        <w:tc>
          <w:tcPr>
            <w:tcW w:w="16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Transport butli</w:t>
            </w:r>
          </w:p>
        </w:tc>
        <w:tc>
          <w:tcPr>
            <w:tcW w:w="8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90 szt.</w:t>
            </w:r>
          </w:p>
        </w:tc>
        <w:tc>
          <w:tcPr>
            <w:tcW w:w="10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end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89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16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7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59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97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Dzierżawa stojaka / 1 dzień</w:t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2192 dni</w:t>
            </w:r>
          </w:p>
        </w:tc>
        <w:tc>
          <w:tcPr>
            <w:tcW w:w="10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end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59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970" w:type="dxa"/>
            <w:tcBorders>
              <w:top w:val="single" w:sz="4" w:space="0" w:color="000000"/>
              <w:start w:val="single" w:sz="8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jc w:val="center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336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Ustniki jednorazowe z filtrem op.100szt</w:t>
            </w:r>
          </w:p>
        </w:tc>
        <w:tc>
          <w:tcPr>
            <w:tcW w:w="93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rPr/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  <w:t>5 op</w:t>
            </w:r>
          </w:p>
        </w:tc>
        <w:tc>
          <w:tcPr>
            <w:tcW w:w="10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end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8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59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6355" w:type="dxa"/>
            <w:gridSpan w:val="6"/>
            <w:tcBorders>
              <w:top w:val="single" w:sz="4" w:space="0" w:color="000000"/>
              <w:start w:val="single" w:sz="8" w:space="0" w:color="000000"/>
              <w:bottom w:val="single" w:sz="8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0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676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2850" w:type="dxa"/>
            <w:tcBorders>
              <w:top w:val="single" w:sz="4" w:space="0" w:color="000000"/>
              <w:start w:val="single" w:sz="4" w:space="0" w:color="000000"/>
              <w:bottom w:val="single" w:sz="8" w:space="0" w:color="000000"/>
            </w:tcBorders>
          </w:tcPr>
          <w:p>
            <w:pPr>
              <w:pStyle w:val="Normal"/>
              <w:widowControl/>
              <w:suppressAutoHyphens w:val="false"/>
              <w:autoSpaceDE w:val="false"/>
              <w:snapToGrid w:val="false"/>
              <w:jc w:val="center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  <w:tc>
          <w:tcPr>
            <w:tcW w:w="1590" w:type="dxa"/>
            <w:tcBorders>
              <w:start w:val="single" w:sz="4" w:space="0" w:color="000000"/>
            </w:tcBorders>
          </w:tcPr>
          <w:p>
            <w:pPr>
              <w:pStyle w:val="Normal"/>
              <w:snapToGrid w:val="false"/>
              <w:rPr>
                <w:rFonts w:ascii="Arial" w:hAnsi="Arial" w:eastAsia="Times New Roman" w:cs="Arial"/>
                <w:color w:val="000000"/>
                <w:sz w:val="22"/>
                <w:szCs w:val="22"/>
              </w:rPr>
            </w:pPr>
            <w:r>
              <w:rPr>
                <w:rFonts w:eastAsia="Times New Roman" w:cs="Arial" w:ascii="Arial" w:hAnsi="Arial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suppressAutoHyphens w:val="false"/>
        <w:rPr>
          <w:rFonts w:ascii="Arial" w:hAnsi="Arial" w:eastAsia="Times New Roman" w:cs="Arial"/>
          <w:color w:val="000000"/>
          <w:sz w:val="22"/>
          <w:szCs w:val="22"/>
        </w:rPr>
      </w:pPr>
      <w:r>
        <w:rPr>
          <w:rFonts w:eastAsia="Times New Roman" w:cs="Arial" w:ascii="Arial" w:hAnsi="Arial"/>
          <w:color w:val="000000"/>
          <w:sz w:val="22"/>
          <w:szCs w:val="22"/>
        </w:rPr>
        <w:t>poz.  1 pod pojęciem równoważności należy rozumieć gaz do znieczuleń o właściwościach  nie gorszych niż gaz entonox, bez konieczności badania morfologii (w trakcie podawania do 6 godz.)</w:t>
      </w:r>
    </w:p>
    <w:p>
      <w:pPr>
        <w:pStyle w:val="Normal"/>
        <w:widowControl/>
        <w:suppressAutoHyphens w:val="false"/>
        <w:rPr>
          <w:rFonts w:ascii="Arial" w:hAnsi="Arial" w:eastAsia="Times New Roman" w:cs="Arial"/>
          <w:color w:val="000000"/>
          <w:sz w:val="22"/>
          <w:szCs w:val="22"/>
        </w:rPr>
      </w:pPr>
      <w:r>
        <w:rPr>
          <w:rFonts w:eastAsia="Times New Roman" w:cs="Arial" w:ascii="Arial" w:hAnsi="Arial"/>
          <w:color w:val="000000"/>
          <w:sz w:val="22"/>
          <w:szCs w:val="22"/>
        </w:rPr>
      </w:r>
    </w:p>
    <w:p>
      <w:pPr>
        <w:pStyle w:val="Normal"/>
        <w:widowControl/>
        <w:suppressAutoHyphens w:val="false"/>
        <w:autoSpaceDE w:val="false"/>
        <w:rPr/>
      </w:pPr>
      <w:r>
        <w:rPr>
          <w:rFonts w:eastAsia="Times New Roman" w:cs="Arial" w:ascii="Arial" w:hAnsi="Arial"/>
          <w:color w:val="000000"/>
          <w:sz w:val="22"/>
          <w:szCs w:val="22"/>
        </w:rPr>
        <w:t>poz. 2 zintegrowany zawór bez konieczności sterylizacji</w:t>
      </w:r>
    </w:p>
    <w:sectPr>
      <w:footerReference w:type="default" r:id="rId2"/>
      <w:type w:val="nextPage"/>
      <w:pgSz w:orient="landscape" w:w="16838" w:h="11906"/>
      <w:pgMar w:left="1134" w:right="1134" w:gutter="0" w:header="0" w:top="1134" w:footer="72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Wingdings">
    <w:charset w:val="02"/>
    <w:family w:val="auto"/>
    <w:pitch w:val="variable"/>
  </w:font>
  <w:font w:name="Wingdings 2">
    <w:charset w:val="02"/>
    <w:family w:val="roman"/>
    <w:pitch w:val="variable"/>
  </w:font>
  <w:font w:name="StarSymbol">
    <w:altName w:val="Arial Unicode MS"/>
    <w:charset w:val="00" w:characterSet="windows-1252"/>
    <w:family w:val="auto"/>
    <w:pitch w:val="default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  <w:r>
      <mc:AlternateContent>
        <mc:Choice Requires="wps">
          <w:drawing>
            <wp:anchor distT="0" distB="0" distL="0" distR="0" simplePos="0" relativeHeight="4" behindDoc="0" locked="0" layoutInCell="0" allowOverlap="1">
              <wp:simplePos x="0" y="0"/>
              <wp:positionH relativeFrom="page">
                <wp:posOffset>9895205</wp:posOffset>
              </wp:positionH>
              <wp:positionV relativeFrom="paragraph">
                <wp:posOffset>635</wp:posOffset>
              </wp:positionV>
              <wp:extent cx="260985" cy="168910"/>
              <wp:effectExtent l="0" t="0" r="0" b="0"/>
              <wp:wrapSquare wrapText="largest"/>
              <wp:docPr id="1" name="Ramka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0985" cy="16891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/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3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4445" tIns="4445" rIns="4445" bIns="444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20.55pt;height:13.3pt;mso-wrap-distance-left:0pt;mso-wrap-distance-right:0pt;mso-wrap-distance-top:0pt;mso-wrap-distance-bottom:0pt;margin-top:0.05pt;mso-position-vertical-relative:text;margin-left:779.15pt;mso-position-horizontal-relative:page">
              <v:fill opacity="0f"/>
              <v:textbox inset="0.00486111111111111in,0.00486111111111111in,0.00486111111111111in,0.00486111111111111in">
                <w:txbxContent>
                  <w:p>
                    <w:pPr>
                      <w:pStyle w:val="Footer"/>
                      <w:rPr/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3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doNotExpandShiftReturn/>
    <w:adjustLineHeightInTable/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Lucida Sans Unicode" w:cs="Times New Roman"/>
      <w:color w:val="auto"/>
      <w:kern w:val="2"/>
      <w:sz w:val="24"/>
      <w:szCs w:val="24"/>
      <w:lang w:bidi="ar-SA" w:val="pl-PL" w:eastAsia="zh-CN"/>
    </w:rPr>
  </w:style>
  <w:style w:type="character" w:styleId="Domylnaczcionkaakapitu">
    <w:name w:val="Domyślna czcionka akapitu"/>
    <w:qFormat/>
    <w:rPr/>
  </w:style>
  <w:style w:type="character" w:styleId="Domylnaczcionkaakapitu2">
    <w:name w:val="Domyślna czcionka akapitu2"/>
    <w:qFormat/>
    <w:rPr/>
  </w:style>
  <w:style w:type="character" w:styleId="WW8Num1z0">
    <w:name w:val="WW8Num1z0"/>
    <w:qFormat/>
    <w:rPr>
      <w:rFonts w:ascii="Wingdings" w:hAnsi="Wingdings" w:cs="StarSymbol;Arial Unicode MS"/>
      <w:sz w:val="18"/>
      <w:szCs w:val="18"/>
    </w:rPr>
  </w:style>
  <w:style w:type="character" w:styleId="WW8Num1z1">
    <w:name w:val="WW8Num1z1"/>
    <w:qFormat/>
    <w:rPr>
      <w:rFonts w:ascii="Wingdings 2" w:hAnsi="Wingdings 2" w:cs="StarSymbol;Arial Unicode MS"/>
      <w:sz w:val="18"/>
      <w:szCs w:val="18"/>
    </w:rPr>
  </w:style>
  <w:style w:type="character" w:styleId="WW8Num1z2">
    <w:name w:val="WW8Num1z2"/>
    <w:qFormat/>
    <w:rPr>
      <w:rFonts w:ascii="StarSymbol;Arial Unicode MS" w:hAnsi="StarSymbol;Arial Unicode MS" w:cs="StarSymbol;Arial Unicode MS"/>
      <w:sz w:val="18"/>
      <w:szCs w:val="18"/>
    </w:rPr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Domylnaczcionkaakapitu1">
    <w:name w:val="Domyślna czcionka akapitu1"/>
    <w:qFormat/>
    <w:rPr/>
  </w:style>
  <w:style w:type="character" w:styleId="Absatz-Standardschriftart">
    <w:name w:val="Absatz-Standardschriftart"/>
    <w:qFormat/>
    <w:rPr/>
  </w:style>
  <w:style w:type="character" w:styleId="WW-Domylnaczcionkaakapitu">
    <w:name w:val="WW-Domyślna czcionka akapitu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WW-Absatz-Standardschriftart11">
    <w:name w:val="WW-Absatz-Standardschriftart11"/>
    <w:qFormat/>
    <w:rPr/>
  </w:style>
  <w:style w:type="character" w:styleId="WW-Domylnaczcionkaakapitu1">
    <w:name w:val="WW-Domyślna czcionka akapitu1"/>
    <w:qFormat/>
    <w:rPr/>
  </w:style>
  <w:style w:type="character" w:styleId="WW-Absatz-Standardschriftart111">
    <w:name w:val="WW-Absatz-Standardschriftart111"/>
    <w:qFormat/>
    <w:rPr/>
  </w:style>
  <w:style w:type="character" w:styleId="WW-Absatz-Standardschriftart1111">
    <w:name w:val="WW-Absatz-Standardschriftart1111"/>
    <w:qFormat/>
    <w:rPr/>
  </w:style>
  <w:style w:type="character" w:styleId="WW8Num2z0">
    <w:name w:val="WW8Num2z0"/>
    <w:qFormat/>
    <w:rPr>
      <w:rFonts w:ascii="Wingdings" w:hAnsi="Wingdings" w:cs="StarSymbol;Arial Unicode MS"/>
      <w:sz w:val="18"/>
      <w:szCs w:val="18"/>
    </w:rPr>
  </w:style>
  <w:style w:type="character" w:styleId="WW8Num2z1">
    <w:name w:val="WW8Num2z1"/>
    <w:qFormat/>
    <w:rPr>
      <w:rFonts w:ascii="Wingdings 2" w:hAnsi="Wingdings 2" w:cs="StarSymbol;Arial Unicode MS"/>
      <w:sz w:val="18"/>
      <w:szCs w:val="18"/>
    </w:rPr>
  </w:style>
  <w:style w:type="character" w:styleId="WW8Num2z2">
    <w:name w:val="WW8Num2z2"/>
    <w:qFormat/>
    <w:rPr>
      <w:rFonts w:ascii="StarSymbol;Arial Unicode MS" w:hAnsi="StarSymbol;Arial Unicode MS" w:cs="StarSymbol;Arial Unicode MS"/>
      <w:sz w:val="18"/>
      <w:szCs w:val="18"/>
    </w:rPr>
  </w:style>
  <w:style w:type="character" w:styleId="WW8Num3z0">
    <w:name w:val="WW8Num3z0"/>
    <w:qFormat/>
    <w:rPr>
      <w:rFonts w:ascii="Wingdings" w:hAnsi="Wingdings" w:cs="StarSymbol;Arial Unicode MS"/>
      <w:sz w:val="18"/>
      <w:szCs w:val="18"/>
    </w:rPr>
  </w:style>
  <w:style w:type="character" w:styleId="WW8Num3z1">
    <w:name w:val="WW8Num3z1"/>
    <w:qFormat/>
    <w:rPr>
      <w:rFonts w:ascii="Wingdings 2" w:hAnsi="Wingdings 2" w:cs="StarSymbol;Arial Unicode MS"/>
      <w:sz w:val="18"/>
      <w:szCs w:val="18"/>
    </w:rPr>
  </w:style>
  <w:style w:type="character" w:styleId="WW8Num3z2">
    <w:name w:val="WW8Num3z2"/>
    <w:qFormat/>
    <w:rPr>
      <w:rFonts w:ascii="StarSymbol;Arial Unicode MS" w:hAnsi="StarSymbol;Arial Unicode MS" w:cs="StarSymbol;Arial Unicode MS"/>
      <w:sz w:val="18"/>
      <w:szCs w:val="18"/>
    </w:rPr>
  </w:style>
  <w:style w:type="character" w:styleId="WW8Num4z0">
    <w:name w:val="WW8Num4z0"/>
    <w:qFormat/>
    <w:rPr>
      <w:rFonts w:ascii="Wingdings" w:hAnsi="Wingdings" w:cs="StarSymbol;Arial Unicode MS"/>
      <w:sz w:val="18"/>
      <w:szCs w:val="18"/>
    </w:rPr>
  </w:style>
  <w:style w:type="character" w:styleId="WW8Num4z1">
    <w:name w:val="WW8Num4z1"/>
    <w:qFormat/>
    <w:rPr>
      <w:rFonts w:ascii="Wingdings 2" w:hAnsi="Wingdings 2" w:cs="StarSymbol;Arial Unicode MS"/>
      <w:sz w:val="18"/>
      <w:szCs w:val="18"/>
    </w:rPr>
  </w:style>
  <w:style w:type="character" w:styleId="WW8Num4z2">
    <w:name w:val="WW8Num4z2"/>
    <w:qFormat/>
    <w:rPr>
      <w:rFonts w:ascii="StarSymbol;Arial Unicode MS" w:hAnsi="StarSymbol;Arial Unicode MS" w:cs="StarSymbol;Arial Unicode MS"/>
      <w:sz w:val="18"/>
      <w:szCs w:val="18"/>
    </w:rPr>
  </w:style>
  <w:style w:type="character" w:styleId="WW-Absatz-Standardschriftart11111">
    <w:name w:val="WW-Absatz-Standardschriftart11111"/>
    <w:qFormat/>
    <w:rPr/>
  </w:style>
  <w:style w:type="character" w:styleId="WW-Absatz-Standardschriftart111111">
    <w:name w:val="WW-Absatz-Standardschriftart111111"/>
    <w:qFormat/>
    <w:rPr/>
  </w:style>
  <w:style w:type="character" w:styleId="Symbolewypunktowania">
    <w:name w:val="Symbole wypunktowania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Znakinumeracji">
    <w:name w:val="Znaki numeracji"/>
    <w:qFormat/>
    <w:rPr/>
  </w:style>
  <w:style w:type="character" w:styleId="WW8Num15z0">
    <w:name w:val="WW8Num15z0"/>
    <w:qFormat/>
    <w:rPr>
      <w:b w:val="false"/>
    </w:rPr>
  </w:style>
  <w:style w:type="character" w:styleId="PageNumber">
    <w:name w:val="page number"/>
    <w:basedOn w:val="WW-Domylnaczcionkaakapitu"/>
    <w:rPr/>
  </w:style>
  <w:style w:type="character" w:styleId="TekstdymkaZnak">
    <w:name w:val="Tekst dymka Znak"/>
    <w:qFormat/>
    <w:rPr>
      <w:rFonts w:ascii="Segoe UI" w:hAnsi="Segoe UI" w:eastAsia="Lucida Sans Unicode" w:cs="Segoe UI"/>
      <w:kern w:val="2"/>
      <w:sz w:val="18"/>
      <w:szCs w:val="18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Tahoma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agwek3">
    <w:name w:val="Nagłówek3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Legenda">
    <w:name w:val="Legenda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agwek2">
    <w:name w:val="Nagłówek2"/>
    <w:basedOn w:val="Normal"/>
    <w:next w:val="BodyText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next w:val="BodyText"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Signature">
    <w:name w:val="Signature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1">
    <w:name w:val="Nagłówek1"/>
    <w:basedOn w:val="Normal"/>
    <w:next w:val="BodyText"/>
    <w:qFormat/>
    <w:pPr>
      <w:keepNext w:val="true"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WW-Zawartotabeli11111111">
    <w:name w:val="WW-Zawartość tabeli11111111"/>
    <w:basedOn w:val="BodyText"/>
    <w:qFormat/>
    <w:pPr>
      <w:suppressLineNumbers/>
    </w:pPr>
    <w:rPr/>
  </w:style>
  <w:style w:type="paragraph" w:styleId="Footer">
    <w:name w:val="footer"/>
    <w:basedOn w:val="Normal"/>
    <w:pPr>
      <w:tabs>
        <w:tab w:val="clear" w:pos="709"/>
        <w:tab w:val="center" w:pos="4536" w:leader="none"/>
        <w:tab w:val="right" w:pos="9072" w:leader="none"/>
      </w:tabs>
    </w:pPr>
    <w:rPr/>
  </w:style>
  <w:style w:type="paragraph" w:styleId="Zawartoramki">
    <w:name w:val="Zawartość ramki"/>
    <w:basedOn w:val="BodyText"/>
    <w:qFormat/>
    <w:pPr/>
    <w:rPr/>
  </w:style>
  <w:style w:type="paragraph" w:styleId="Znak">
    <w:name w:val=" Znak"/>
    <w:basedOn w:val="Normal"/>
    <w:qFormat/>
    <w:pPr>
      <w:widowControl/>
      <w:suppressAutoHyphens w:val="false"/>
    </w:pPr>
    <w:rPr>
      <w:rFonts w:eastAsia="Times New Roman"/>
      <w:kern w:val="2"/>
    </w:rPr>
  </w:style>
  <w:style w:type="paragraph" w:styleId="Tekstdymka">
    <w:name w:val="Tekst dymka"/>
    <w:basedOn w:val="Normal"/>
    <w:qFormat/>
    <w:pPr/>
    <w:rPr>
      <w:rFonts w:ascii="Segoe UI" w:hAnsi="Segoe UI" w:cs="Segoe UI"/>
      <w:sz w:val="18"/>
      <w:szCs w:val="18"/>
      <w:lang w:val="pl-PL"/>
    </w:rPr>
  </w:style>
  <w:style w:type="paragraph" w:styleId="Normalny1">
    <w:name w:val="Normalny1"/>
    <w:qFormat/>
    <w:pPr>
      <w:widowControl w:val="false"/>
      <w:suppressAutoHyphens w:val="true"/>
      <w:bidi w:val="0"/>
    </w:pPr>
    <w:rPr>
      <w:rFonts w:ascii="Times New Roman" w:hAnsi="Times New Roman" w:eastAsia="SimSun;宋体" w:cs="Arial"/>
      <w:color w:val="auto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Application>LibreOffice/26.2.6.3$Windows_X86_64 LibreOffice_project/8221e31b3ac356a1623c672912a3d2b492f7e3d1</Application>
  <AppVersion>15.0000</AppVersion>
  <Pages>3</Pages>
  <Words>434</Words>
  <Characters>2374</Characters>
  <CharactersWithSpaces>2782</CharactersWithSpaces>
  <Paragraphs>108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2026-10-16T08:34:00Z</dcterms:created>
  <dc:creator>Szpzoz</dc:creator>
  <dc:description/>
  <dc:language>pl-PL</dc:language>
  <cp:lastModifiedBy/>
  <cp:lastPrinted>2020-09-23T12:18:00Z</cp:lastPrinted>
  <dcterms:modified xsi:type="dcterms:W3CDTF">2026-10-16T12:08:20Z</dcterms:modified>
  <cp:revision>6</cp:revision>
  <dc:subject/>
  <dc:title>Załącznik nr 2</dc:title>
</cp:coreProperties>
</file>