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D792EF" w14:textId="77777777" w:rsidR="00874D75" w:rsidRDefault="00EC469A">
      <w:pPr>
        <w:pStyle w:val="Nagwek1"/>
        <w:spacing w:before="0"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Instytut Katalizy i Fizykochemii Powierzchni</w:t>
      </w:r>
    </w:p>
    <w:p w14:paraId="3C2CBD48" w14:textId="77777777" w:rsidR="00874D75" w:rsidRDefault="00EC469A">
      <w:pPr>
        <w:pStyle w:val="Nagwek1"/>
        <w:spacing w:before="0"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 xml:space="preserve">im. Jerzego Habera </w:t>
      </w:r>
    </w:p>
    <w:p w14:paraId="1B6640B6" w14:textId="77777777" w:rsidR="00874D75" w:rsidRDefault="00EC469A">
      <w:pPr>
        <w:pStyle w:val="Nagwek1"/>
        <w:spacing w:before="0" w:after="0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Polskiej Akademii Nauk</w:t>
      </w:r>
    </w:p>
    <w:p w14:paraId="3CCD3985" w14:textId="77777777" w:rsidR="00874D75" w:rsidRDefault="00EC469A">
      <w:pPr>
        <w:jc w:val="center"/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30-239 Kraków, ul. Niezapo</w:t>
      </w:r>
      <w:r w:rsidR="00EA4BAE">
        <w:rPr>
          <w:rFonts w:asciiTheme="minorHAnsi" w:hAnsiTheme="minorHAnsi" w:cstheme="minorHAnsi"/>
          <w:sz w:val="22"/>
          <w:szCs w:val="22"/>
        </w:rPr>
        <w:t xml:space="preserve">minajek 8 </w:t>
      </w:r>
      <w:r w:rsidR="00EA4BAE">
        <w:rPr>
          <w:rFonts w:asciiTheme="minorHAnsi" w:hAnsiTheme="minorHAnsi" w:cstheme="minorHAnsi"/>
          <w:sz w:val="22"/>
          <w:szCs w:val="22"/>
        </w:rPr>
        <w:br/>
        <w:t>telefon: (0-12) 639 5</w:t>
      </w:r>
      <w:r>
        <w:rPr>
          <w:rFonts w:asciiTheme="minorHAnsi" w:hAnsiTheme="minorHAnsi" w:cstheme="minorHAnsi"/>
          <w:sz w:val="22"/>
          <w:szCs w:val="22"/>
        </w:rPr>
        <w:t>1</w:t>
      </w:r>
      <w:r w:rsidR="00EA4BAE">
        <w:rPr>
          <w:rFonts w:asciiTheme="minorHAnsi" w:hAnsiTheme="minorHAnsi" w:cstheme="minorHAnsi"/>
          <w:sz w:val="22"/>
          <w:szCs w:val="22"/>
        </w:rPr>
        <w:t xml:space="preserve"> </w:t>
      </w:r>
      <w:r>
        <w:rPr>
          <w:rFonts w:asciiTheme="minorHAnsi" w:hAnsiTheme="minorHAnsi" w:cstheme="minorHAnsi"/>
          <w:sz w:val="22"/>
          <w:szCs w:val="22"/>
        </w:rPr>
        <w:t xml:space="preserve">01, </w:t>
      </w:r>
      <w:r w:rsidR="00EA4BAE">
        <w:rPr>
          <w:rFonts w:asciiTheme="minorHAnsi" w:hAnsiTheme="minorHAnsi" w:cstheme="minorHAnsi"/>
          <w:sz w:val="22"/>
          <w:szCs w:val="22"/>
        </w:rPr>
        <w:t xml:space="preserve">e-mail: </w:t>
      </w:r>
      <w:hyperlink r:id="rId9" w:history="1">
        <w:r w:rsidR="00F0014A" w:rsidRPr="00E71FFC">
          <w:rPr>
            <w:rStyle w:val="Hipercze"/>
            <w:rFonts w:asciiTheme="minorHAnsi" w:hAnsiTheme="minorHAnsi" w:cstheme="minorHAnsi"/>
            <w:sz w:val="22"/>
            <w:szCs w:val="22"/>
          </w:rPr>
          <w:t>sekretariat@ikifp.edu.pl</w:t>
        </w:r>
      </w:hyperlink>
    </w:p>
    <w:p w14:paraId="28246E06" w14:textId="77777777" w:rsidR="00F0014A" w:rsidRDefault="00F0014A">
      <w:pPr>
        <w:jc w:val="center"/>
        <w:rPr>
          <w:rFonts w:asciiTheme="minorHAnsi" w:hAnsiTheme="minorHAnsi" w:cstheme="minorHAnsi"/>
          <w:sz w:val="22"/>
          <w:szCs w:val="22"/>
        </w:rPr>
      </w:pPr>
    </w:p>
    <w:p w14:paraId="189D9354" w14:textId="65C54B4E" w:rsidR="00755920" w:rsidRDefault="00E26BA3" w:rsidP="00755920">
      <w:pPr>
        <w:rPr>
          <w:rFonts w:asciiTheme="minorHAnsi" w:hAnsiTheme="minorHAnsi" w:cstheme="minorHAnsi"/>
          <w:sz w:val="22"/>
          <w:szCs w:val="22"/>
        </w:rPr>
      </w:pPr>
      <w:r>
        <w:rPr>
          <w:rFonts w:asciiTheme="minorHAnsi" w:hAnsiTheme="minorHAnsi" w:cstheme="minorHAnsi"/>
          <w:sz w:val="22"/>
          <w:szCs w:val="22"/>
        </w:rPr>
        <w:t>Sprawa: KAT-271-</w:t>
      </w:r>
      <w:r w:rsidR="00552790">
        <w:rPr>
          <w:rFonts w:asciiTheme="minorHAnsi" w:hAnsiTheme="minorHAnsi" w:cstheme="minorHAnsi"/>
          <w:sz w:val="22"/>
          <w:szCs w:val="22"/>
        </w:rPr>
        <w:t>9</w:t>
      </w:r>
      <w:r w:rsidR="00EA4BAE">
        <w:rPr>
          <w:rFonts w:asciiTheme="minorHAnsi" w:hAnsiTheme="minorHAnsi" w:cstheme="minorHAnsi"/>
          <w:sz w:val="22"/>
          <w:szCs w:val="22"/>
        </w:rPr>
        <w:t>/202</w:t>
      </w:r>
      <w:r w:rsidR="005E610F">
        <w:rPr>
          <w:rFonts w:asciiTheme="minorHAnsi" w:hAnsiTheme="minorHAnsi" w:cstheme="minorHAnsi"/>
          <w:sz w:val="22"/>
          <w:szCs w:val="22"/>
        </w:rPr>
        <w:t>6</w:t>
      </w:r>
      <w:r w:rsidR="006F553E">
        <w:rPr>
          <w:rFonts w:asciiTheme="minorHAnsi" w:hAnsiTheme="minorHAnsi" w:cstheme="minorHAnsi"/>
          <w:sz w:val="22"/>
          <w:szCs w:val="22"/>
        </w:rPr>
        <w:t xml:space="preserve">                                               </w:t>
      </w:r>
      <w:r w:rsidR="006F553E">
        <w:rPr>
          <w:rFonts w:asciiTheme="minorHAnsi" w:hAnsiTheme="minorHAnsi" w:cstheme="minorHAnsi"/>
          <w:sz w:val="22"/>
          <w:szCs w:val="22"/>
        </w:rPr>
        <w:tab/>
      </w:r>
      <w:r w:rsidR="006F553E">
        <w:rPr>
          <w:rFonts w:asciiTheme="minorHAnsi" w:hAnsiTheme="minorHAnsi" w:cstheme="minorHAnsi"/>
          <w:sz w:val="22"/>
          <w:szCs w:val="22"/>
        </w:rPr>
        <w:tab/>
      </w:r>
      <w:r w:rsidR="002D4BF9">
        <w:rPr>
          <w:rFonts w:asciiTheme="minorHAnsi" w:hAnsiTheme="minorHAnsi" w:cstheme="minorHAnsi"/>
          <w:sz w:val="22"/>
          <w:szCs w:val="22"/>
        </w:rPr>
        <w:t xml:space="preserve">                    </w:t>
      </w:r>
      <w:r w:rsidR="002C2E18">
        <w:rPr>
          <w:rFonts w:asciiTheme="minorHAnsi" w:hAnsiTheme="minorHAnsi" w:cstheme="minorHAnsi"/>
          <w:sz w:val="22"/>
          <w:szCs w:val="22"/>
        </w:rPr>
        <w:t xml:space="preserve"> </w:t>
      </w:r>
      <w:r w:rsidR="006F553E">
        <w:rPr>
          <w:rFonts w:asciiTheme="minorHAnsi" w:hAnsiTheme="minorHAnsi" w:cstheme="minorHAnsi"/>
          <w:sz w:val="22"/>
          <w:szCs w:val="22"/>
        </w:rPr>
        <w:t xml:space="preserve">Kraków, </w:t>
      </w:r>
      <w:r w:rsidR="00552790">
        <w:rPr>
          <w:rFonts w:asciiTheme="minorHAnsi" w:hAnsiTheme="minorHAnsi" w:cstheme="minorHAnsi"/>
          <w:sz w:val="22"/>
          <w:szCs w:val="22"/>
        </w:rPr>
        <w:t>4 listopada</w:t>
      </w:r>
      <w:r w:rsidR="005E610F">
        <w:rPr>
          <w:rFonts w:asciiTheme="minorHAnsi" w:hAnsiTheme="minorHAnsi" w:cstheme="minorHAnsi"/>
          <w:sz w:val="22"/>
          <w:szCs w:val="22"/>
        </w:rPr>
        <w:t xml:space="preserve"> </w:t>
      </w:r>
      <w:r w:rsidR="006F553E">
        <w:rPr>
          <w:rFonts w:asciiTheme="minorHAnsi" w:hAnsiTheme="minorHAnsi" w:cstheme="minorHAnsi"/>
          <w:sz w:val="22"/>
          <w:szCs w:val="22"/>
        </w:rPr>
        <w:t>202</w:t>
      </w:r>
      <w:r w:rsidR="005E610F">
        <w:rPr>
          <w:rFonts w:asciiTheme="minorHAnsi" w:hAnsiTheme="minorHAnsi" w:cstheme="minorHAnsi"/>
          <w:sz w:val="22"/>
          <w:szCs w:val="22"/>
        </w:rPr>
        <w:t>6</w:t>
      </w:r>
      <w:r w:rsidR="006F553E">
        <w:rPr>
          <w:rFonts w:asciiTheme="minorHAnsi" w:hAnsiTheme="minorHAnsi" w:cstheme="minorHAnsi"/>
          <w:sz w:val="22"/>
          <w:szCs w:val="22"/>
        </w:rPr>
        <w:t xml:space="preserve"> r.</w:t>
      </w:r>
    </w:p>
    <w:p w14:paraId="5A3D4919" w14:textId="77777777" w:rsidR="00321065" w:rsidRDefault="00321065" w:rsidP="00755920">
      <w:pPr>
        <w:rPr>
          <w:rFonts w:asciiTheme="minorHAnsi" w:hAnsiTheme="minorHAnsi" w:cstheme="minorHAnsi"/>
          <w:sz w:val="22"/>
          <w:szCs w:val="22"/>
        </w:rPr>
      </w:pPr>
    </w:p>
    <w:p w14:paraId="77692083" w14:textId="4926ABEF" w:rsidR="00766741" w:rsidRDefault="00766741" w:rsidP="00766741">
      <w:pPr>
        <w:pStyle w:val="Zwykytekst"/>
        <w:tabs>
          <w:tab w:val="left" w:pos="5670"/>
        </w:tabs>
        <w:spacing w:before="0" w:beforeAutospacing="0" w:after="0" w:afterAutospacing="0" w:line="240" w:lineRule="auto"/>
        <w:ind w:left="5670"/>
        <w:rPr>
          <w:rFonts w:ascii="Calibri" w:hAnsi="Calibri" w:cs="Calibri"/>
          <w:b/>
          <w:sz w:val="22"/>
          <w:szCs w:val="22"/>
        </w:rPr>
      </w:pPr>
      <w:r>
        <w:rPr>
          <w:rFonts w:ascii="Calibri" w:hAnsi="Calibri" w:cs="Calibri"/>
          <w:b/>
          <w:sz w:val="22"/>
          <w:szCs w:val="22"/>
        </w:rPr>
        <w:t xml:space="preserve">Wykonawcy </w:t>
      </w:r>
      <w:r w:rsidRPr="00766741">
        <w:rPr>
          <w:rFonts w:ascii="Calibri" w:hAnsi="Calibri" w:cs="Calibri"/>
          <w:b/>
          <w:sz w:val="22"/>
          <w:szCs w:val="22"/>
        </w:rPr>
        <w:t>uczestniczący</w:t>
      </w:r>
      <w:r>
        <w:rPr>
          <w:rFonts w:ascii="Calibri" w:hAnsi="Calibri" w:cs="Calibri"/>
          <w:b/>
          <w:sz w:val="22"/>
          <w:szCs w:val="22"/>
        </w:rPr>
        <w:t xml:space="preserve"> </w:t>
      </w:r>
      <w:r w:rsidRPr="00766741">
        <w:rPr>
          <w:rFonts w:ascii="Calibri" w:hAnsi="Calibri" w:cs="Calibri"/>
          <w:b/>
          <w:sz w:val="22"/>
          <w:szCs w:val="22"/>
        </w:rPr>
        <w:t>w postępowaniu</w:t>
      </w:r>
    </w:p>
    <w:p w14:paraId="6B9ED2A7" w14:textId="77777777" w:rsidR="00321065" w:rsidRPr="00766741" w:rsidRDefault="00321065" w:rsidP="00766741">
      <w:pPr>
        <w:pStyle w:val="Zwykytekst"/>
        <w:tabs>
          <w:tab w:val="left" w:pos="5670"/>
        </w:tabs>
        <w:spacing w:before="0" w:beforeAutospacing="0" w:after="0" w:afterAutospacing="0" w:line="240" w:lineRule="auto"/>
        <w:ind w:left="5670"/>
        <w:rPr>
          <w:rFonts w:ascii="Calibri" w:hAnsi="Calibri" w:cs="Calibri"/>
          <w:b/>
          <w:sz w:val="22"/>
          <w:szCs w:val="22"/>
        </w:rPr>
      </w:pPr>
    </w:p>
    <w:p w14:paraId="17113043" w14:textId="77777777" w:rsidR="00766741" w:rsidRPr="00766741" w:rsidRDefault="00766741" w:rsidP="00766741">
      <w:pPr>
        <w:pStyle w:val="Zwykytekst"/>
        <w:tabs>
          <w:tab w:val="left" w:pos="4920"/>
        </w:tabs>
        <w:spacing w:before="0" w:beforeAutospacing="0" w:after="0" w:afterAutospacing="0" w:line="240" w:lineRule="auto"/>
        <w:ind w:left="4920"/>
        <w:jc w:val="both"/>
        <w:rPr>
          <w:rFonts w:ascii="Calibri" w:hAnsi="Calibri" w:cs="Calibri"/>
          <w:b/>
          <w:sz w:val="22"/>
          <w:szCs w:val="22"/>
        </w:rPr>
      </w:pPr>
    </w:p>
    <w:p w14:paraId="097538C2" w14:textId="17956BBD" w:rsidR="00766741" w:rsidRDefault="00766741" w:rsidP="00766741">
      <w:pPr>
        <w:widowControl w:val="0"/>
        <w:spacing w:after="0" w:line="240" w:lineRule="auto"/>
        <w:jc w:val="both"/>
        <w:rPr>
          <w:rFonts w:ascii="Calibri" w:hAnsi="Calibri" w:cs="Calibri"/>
          <w:b/>
          <w:sz w:val="22"/>
          <w:szCs w:val="22"/>
        </w:rPr>
      </w:pPr>
      <w:r w:rsidRPr="00766741">
        <w:rPr>
          <w:rFonts w:ascii="Calibri" w:hAnsi="Calibri" w:cs="Calibri"/>
          <w:sz w:val="22"/>
          <w:szCs w:val="22"/>
        </w:rPr>
        <w:t xml:space="preserve">Dotyczy: postępowania prowadzonego w trybie </w:t>
      </w:r>
      <w:r w:rsidR="005E610F">
        <w:rPr>
          <w:rFonts w:ascii="Calibri" w:hAnsi="Calibri" w:cs="Calibri"/>
          <w:sz w:val="22"/>
          <w:szCs w:val="22"/>
        </w:rPr>
        <w:t>podstawowym bez możliwości negocjacji</w:t>
      </w:r>
      <w:r w:rsidR="00D356CA">
        <w:rPr>
          <w:rFonts w:ascii="Calibri" w:hAnsi="Calibri" w:cs="Calibri"/>
          <w:sz w:val="22"/>
          <w:szCs w:val="22"/>
        </w:rPr>
        <w:t xml:space="preserve"> na</w:t>
      </w:r>
      <w:r w:rsidRPr="00766741">
        <w:rPr>
          <w:rFonts w:ascii="Calibri" w:hAnsi="Calibri" w:cs="Calibri"/>
          <w:b/>
          <w:bCs/>
          <w:sz w:val="22"/>
          <w:szCs w:val="22"/>
        </w:rPr>
        <w:t xml:space="preserve"> </w:t>
      </w:r>
      <w:r w:rsidR="00552790" w:rsidRPr="00552790">
        <w:rPr>
          <w:rFonts w:ascii="Calibri" w:hAnsi="Calibri" w:cs="Calibri"/>
          <w:b/>
          <w:sz w:val="22"/>
          <w:szCs w:val="22"/>
        </w:rPr>
        <w:t xml:space="preserve">dostawę analizatora wielkości, stężenia i potencjału zeta cząstek nanometrowych dla </w:t>
      </w:r>
      <w:proofErr w:type="spellStart"/>
      <w:r w:rsidR="00552790" w:rsidRPr="00552790">
        <w:rPr>
          <w:rFonts w:ascii="Calibri" w:hAnsi="Calibri" w:cs="Calibri"/>
          <w:b/>
          <w:sz w:val="22"/>
          <w:szCs w:val="22"/>
        </w:rPr>
        <w:t>IKiFP</w:t>
      </w:r>
      <w:proofErr w:type="spellEnd"/>
      <w:r w:rsidR="00552790" w:rsidRPr="00552790">
        <w:rPr>
          <w:rFonts w:ascii="Calibri" w:hAnsi="Calibri" w:cs="Calibri"/>
          <w:b/>
          <w:sz w:val="22"/>
          <w:szCs w:val="22"/>
        </w:rPr>
        <w:t xml:space="preserve"> PAN</w:t>
      </w:r>
      <w:r w:rsidRPr="00766741">
        <w:rPr>
          <w:rFonts w:ascii="Calibri" w:hAnsi="Calibri" w:cs="Calibri"/>
          <w:sz w:val="22"/>
          <w:szCs w:val="22"/>
        </w:rPr>
        <w:t>,</w:t>
      </w:r>
      <w:r w:rsidRPr="00766741">
        <w:rPr>
          <w:rFonts w:ascii="Calibri" w:hAnsi="Calibri" w:cs="Calibri"/>
          <w:b/>
          <w:sz w:val="22"/>
          <w:szCs w:val="22"/>
        </w:rPr>
        <w:t xml:space="preserve"> </w:t>
      </w:r>
      <w:r w:rsidRPr="00766741">
        <w:rPr>
          <w:rFonts w:ascii="Calibri" w:hAnsi="Calibri" w:cs="Calibri"/>
          <w:sz w:val="22"/>
          <w:szCs w:val="22"/>
        </w:rPr>
        <w:t>znak sprawy:</w:t>
      </w:r>
      <w:r w:rsidRPr="00766741">
        <w:rPr>
          <w:rFonts w:ascii="Calibri" w:hAnsi="Calibri" w:cs="Calibri"/>
          <w:b/>
          <w:sz w:val="22"/>
          <w:szCs w:val="22"/>
        </w:rPr>
        <w:t xml:space="preserve"> </w:t>
      </w:r>
      <w:r w:rsidR="00E3011E">
        <w:rPr>
          <w:rFonts w:asciiTheme="minorHAnsi" w:hAnsiTheme="minorHAnsi" w:cstheme="minorHAnsi"/>
          <w:b/>
          <w:sz w:val="22"/>
          <w:szCs w:val="22"/>
        </w:rPr>
        <w:t>KAT-271-</w:t>
      </w:r>
      <w:r w:rsidR="00552790">
        <w:rPr>
          <w:rFonts w:asciiTheme="minorHAnsi" w:hAnsiTheme="minorHAnsi" w:cstheme="minorHAnsi"/>
          <w:b/>
          <w:sz w:val="22"/>
          <w:szCs w:val="22"/>
        </w:rPr>
        <w:t>9</w:t>
      </w:r>
      <w:r w:rsidR="004938CE">
        <w:rPr>
          <w:rFonts w:asciiTheme="minorHAnsi" w:hAnsiTheme="minorHAnsi" w:cstheme="minorHAnsi"/>
          <w:b/>
          <w:sz w:val="22"/>
          <w:szCs w:val="22"/>
        </w:rPr>
        <w:t>/202</w:t>
      </w:r>
      <w:r w:rsidR="005E610F">
        <w:rPr>
          <w:rFonts w:asciiTheme="minorHAnsi" w:hAnsiTheme="minorHAnsi" w:cstheme="minorHAnsi"/>
          <w:b/>
          <w:sz w:val="22"/>
          <w:szCs w:val="22"/>
        </w:rPr>
        <w:t>6</w:t>
      </w:r>
    </w:p>
    <w:p w14:paraId="560E2AAA" w14:textId="77777777" w:rsidR="00766741" w:rsidRPr="00766741" w:rsidRDefault="00766741" w:rsidP="00766741">
      <w:pPr>
        <w:widowControl w:val="0"/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722C7643" w14:textId="43801A13" w:rsidR="00766741" w:rsidRDefault="004938CE" w:rsidP="00766741">
      <w:pPr>
        <w:widowControl w:val="0"/>
        <w:spacing w:after="0" w:line="240" w:lineRule="auto"/>
        <w:jc w:val="center"/>
        <w:rPr>
          <w:rFonts w:ascii="Calibri" w:hAnsi="Calibri" w:cs="Calibri"/>
          <w:b/>
          <w:caps/>
          <w:spacing w:val="22"/>
          <w:sz w:val="22"/>
          <w:szCs w:val="22"/>
        </w:rPr>
      </w:pPr>
      <w:r>
        <w:rPr>
          <w:rFonts w:ascii="Calibri" w:hAnsi="Calibri" w:cs="Calibri"/>
          <w:b/>
          <w:caps/>
          <w:spacing w:val="22"/>
          <w:sz w:val="22"/>
          <w:szCs w:val="22"/>
        </w:rPr>
        <w:t>ODPOWIEDZI</w:t>
      </w:r>
      <w:r w:rsidR="00766741" w:rsidRPr="00766741">
        <w:rPr>
          <w:rFonts w:ascii="Calibri" w:hAnsi="Calibri" w:cs="Calibri"/>
          <w:b/>
          <w:caps/>
          <w:spacing w:val="22"/>
          <w:sz w:val="22"/>
          <w:szCs w:val="22"/>
        </w:rPr>
        <w:t xml:space="preserve"> NA PYTANi</w:t>
      </w:r>
      <w:r>
        <w:rPr>
          <w:rFonts w:ascii="Calibri" w:hAnsi="Calibri" w:cs="Calibri"/>
          <w:b/>
          <w:caps/>
          <w:spacing w:val="22"/>
          <w:sz w:val="22"/>
          <w:szCs w:val="22"/>
        </w:rPr>
        <w:t xml:space="preserve">A </w:t>
      </w:r>
    </w:p>
    <w:p w14:paraId="2D0B351A" w14:textId="1F490CC8" w:rsidR="00CF0399" w:rsidRDefault="00CF0399" w:rsidP="00766741">
      <w:pPr>
        <w:widowControl w:val="0"/>
        <w:spacing w:after="0" w:line="240" w:lineRule="auto"/>
        <w:jc w:val="center"/>
        <w:rPr>
          <w:rFonts w:ascii="Calibri" w:hAnsi="Calibri" w:cs="Calibri"/>
          <w:b/>
          <w:caps/>
          <w:spacing w:val="22"/>
          <w:sz w:val="22"/>
          <w:szCs w:val="22"/>
        </w:rPr>
      </w:pPr>
    </w:p>
    <w:p w14:paraId="0D7A00AB" w14:textId="446F4934" w:rsidR="00CF0399" w:rsidRDefault="004938CE" w:rsidP="00766741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4938CE">
        <w:rPr>
          <w:rFonts w:ascii="Calibri" w:hAnsi="Calibri" w:cs="Calibri"/>
          <w:sz w:val="22"/>
          <w:szCs w:val="22"/>
        </w:rPr>
        <w:t>Na podstawie art. 284 ust. 1 i 2 ustawy z dnia 11 września 2019 r. Prawo zamówień publicznych (Dz. U. 2023 r., poz. 1605 ze zm.) Zamawiający udziela odpowiedzi na pytania Wykonawców, które wpłynęły drogą elektroniczną.</w:t>
      </w:r>
    </w:p>
    <w:p w14:paraId="09BA9007" w14:textId="10698ECE" w:rsidR="004938CE" w:rsidRDefault="004938CE" w:rsidP="00766741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</w:p>
    <w:p w14:paraId="020B265D" w14:textId="5234E305" w:rsidR="00766741" w:rsidRDefault="00766741" w:rsidP="00766741">
      <w:pPr>
        <w:spacing w:after="0" w:line="240" w:lineRule="auto"/>
        <w:jc w:val="both"/>
        <w:rPr>
          <w:rFonts w:ascii="Calibri" w:hAnsi="Calibri" w:cs="Calibri"/>
          <w:b/>
          <w:sz w:val="22"/>
          <w:szCs w:val="22"/>
        </w:rPr>
      </w:pPr>
      <w:r w:rsidRPr="00766741">
        <w:rPr>
          <w:rFonts w:ascii="Calibri" w:hAnsi="Calibri" w:cs="Calibri"/>
          <w:b/>
          <w:sz w:val="22"/>
          <w:szCs w:val="22"/>
        </w:rPr>
        <w:t>Pytanie nr 1</w:t>
      </w:r>
      <w:r w:rsidR="002E50FF">
        <w:rPr>
          <w:rFonts w:ascii="Calibri" w:hAnsi="Calibri" w:cs="Calibri"/>
          <w:b/>
          <w:sz w:val="22"/>
          <w:szCs w:val="22"/>
        </w:rPr>
        <w:t xml:space="preserve"> </w:t>
      </w:r>
    </w:p>
    <w:p w14:paraId="5A8EBEAE" w14:textId="39E2F9D8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Wyznaczanie współczynnika </w:t>
      </w:r>
      <w:proofErr w:type="spellStart"/>
      <w:r w:rsidRPr="00552790">
        <w:rPr>
          <w:rFonts w:ascii="Calibri" w:hAnsi="Calibri" w:cs="Calibri"/>
          <w:bCs/>
          <w:color w:val="000000"/>
          <w:sz w:val="22"/>
          <w:szCs w:val="22"/>
        </w:rPr>
        <w:t>kD</w:t>
      </w:r>
      <w:proofErr w:type="spellEnd"/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 i pomiar współczynnika załamania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światła (pkt 3.4.2 OPZ)</w:t>
      </w:r>
    </w:p>
    <w:p w14:paraId="5F03BD5A" w14:textId="79212DB3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Czy Zamawiający dopuści analizator, który nie posiada dedykowanej funkcji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wyznaczania współczynnika oddziaływań dyfuzyjnych </w:t>
      </w:r>
      <w:proofErr w:type="spellStart"/>
      <w:r w:rsidRPr="00552790">
        <w:rPr>
          <w:rFonts w:ascii="Calibri" w:hAnsi="Calibri" w:cs="Calibri"/>
          <w:bCs/>
          <w:color w:val="000000"/>
          <w:sz w:val="22"/>
          <w:szCs w:val="22"/>
        </w:rPr>
        <w:t>kD</w:t>
      </w:r>
      <w:proofErr w:type="spellEnd"/>
      <w:r w:rsidRPr="00552790">
        <w:rPr>
          <w:rFonts w:ascii="Calibri" w:hAnsi="Calibri" w:cs="Calibri"/>
          <w:bCs/>
          <w:color w:val="000000"/>
          <w:sz w:val="22"/>
          <w:szCs w:val="22"/>
        </w:rPr>
        <w:t>, ale w zamian oferuje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wbudowaną funkcję bezpośredniego pomiaru współczynnika załamania światła (RI)?</w:t>
      </w:r>
    </w:p>
    <w:p w14:paraId="2D841EDB" w14:textId="77777777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Uzasadnienie:</w:t>
      </w:r>
    </w:p>
    <w:p w14:paraId="3E63DBDE" w14:textId="69ECB0D6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Współczynnik </w:t>
      </w:r>
      <w:proofErr w:type="spellStart"/>
      <w:r w:rsidRPr="00552790">
        <w:rPr>
          <w:rFonts w:ascii="Calibri" w:hAnsi="Calibri" w:cs="Calibri"/>
          <w:bCs/>
          <w:color w:val="000000"/>
          <w:sz w:val="22"/>
          <w:szCs w:val="22"/>
        </w:rPr>
        <w:t>kD</w:t>
      </w:r>
      <w:proofErr w:type="spellEnd"/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 można samodzielnie wyznaczyć na podstawie serii pomiarów DLS przy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różnych stężeniach próbki, analizując zależność współczynnika dyfuzji od stężenia metodą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regresji liniowej. Nie wymaga to dedykowanej funkcji obliczeniowej w oprogramowaniu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analizatora.</w:t>
      </w:r>
    </w:p>
    <w:p w14:paraId="7F99CF26" w14:textId="06B34463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Proponowane urządzenie oferuje natomiast dodatkową funkcjonalność o istotnej wartości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analitycznej – bezpośredni pomiar współczynnika załamania światła (RI). Jest ona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szczególnie przydatna w badaniach niestandardowych mieszanin, biopolimerów, surfaktantów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oraz nowych </w:t>
      </w:r>
      <w:proofErr w:type="spellStart"/>
      <w:r w:rsidRPr="00552790">
        <w:rPr>
          <w:rFonts w:ascii="Calibri" w:hAnsi="Calibri" w:cs="Calibri"/>
          <w:bCs/>
          <w:color w:val="000000"/>
          <w:sz w:val="22"/>
          <w:szCs w:val="22"/>
        </w:rPr>
        <w:t>formulacji</w:t>
      </w:r>
      <w:proofErr w:type="spellEnd"/>
      <w:r w:rsidRPr="00552790">
        <w:rPr>
          <w:rFonts w:ascii="Calibri" w:hAnsi="Calibri" w:cs="Calibri"/>
          <w:bCs/>
          <w:color w:val="000000"/>
          <w:sz w:val="22"/>
          <w:szCs w:val="22"/>
        </w:rPr>
        <w:t>, dla których wartości RI nie są znane lub dostępne w literaturze.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Możliwość samodzielnego określenia RI przy długości fali i temperaturze pomiaru pozwala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dokładniej scharakteryzować ośrodek dyspersyjny, wykorzystać uzyskaną wartość w analizie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DLS oraz wyeliminować konieczność stosowania dodatkowego refraktometru.</w:t>
      </w:r>
    </w:p>
    <w:p w14:paraId="20E5BB95" w14:textId="30578151" w:rsidR="00E3011E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W rezultacie Zamawiający zachowuje możliwość wyznaczenia </w:t>
      </w:r>
      <w:proofErr w:type="spellStart"/>
      <w:r w:rsidRPr="00552790">
        <w:rPr>
          <w:rFonts w:ascii="Calibri" w:hAnsi="Calibri" w:cs="Calibri"/>
          <w:bCs/>
          <w:color w:val="000000"/>
          <w:sz w:val="22"/>
          <w:szCs w:val="22"/>
        </w:rPr>
        <w:t>kD</w:t>
      </w:r>
      <w:proofErr w:type="spellEnd"/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 na podstawie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wyników DLS, a jednocześnie zyskuje dodatkową funkcję pomiarową o dużej wartości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praktycznej, rozszerzającą możliwości analityczne urządzenia.</w:t>
      </w:r>
      <w:r w:rsidR="00E3011E" w:rsidRPr="00E3011E"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</w:p>
    <w:p w14:paraId="3588F78F" w14:textId="2E62D72E" w:rsidR="004938CE" w:rsidRPr="004938CE" w:rsidRDefault="004938CE" w:rsidP="004938CE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Odpowiedź</w:t>
      </w:r>
    </w:p>
    <w:p w14:paraId="09B673BF" w14:textId="544C3789" w:rsidR="00E3011E" w:rsidRPr="004938CE" w:rsidRDefault="00552790" w:rsidP="004938CE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 xml:space="preserve">Bazując na wieloletnim doświadczeniu w prowadzeniu tego typu analiz, Zamawiający samodzielnie wyznacza współczynnik załamania światła (RI), wykorzystując sprawdzone i zweryfikowane metody pomiarowe. W związku z tym funkcja bezpośredniego pomiaru RI nie stanowi dla nas kluczowego kryterium wyboru analizatora. Zdecydowanie większe znaczenie ma natomiast możliwość automatycznego wyznaczania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lastRenderedPageBreak/>
        <w:t>współczynnika oddziaływań dyfuzyjnych (</w:t>
      </w:r>
      <w:proofErr w:type="spellStart"/>
      <w:r w:rsidRPr="00552790">
        <w:rPr>
          <w:rFonts w:ascii="Calibri" w:hAnsi="Calibri" w:cs="Calibri"/>
          <w:bCs/>
          <w:color w:val="000000"/>
          <w:sz w:val="22"/>
          <w:szCs w:val="22"/>
        </w:rPr>
        <w:t>kD</w:t>
      </w:r>
      <w:proofErr w:type="spellEnd"/>
      <w:r w:rsidRPr="00552790">
        <w:rPr>
          <w:rFonts w:ascii="Calibri" w:hAnsi="Calibri" w:cs="Calibri"/>
          <w:bCs/>
          <w:color w:val="000000"/>
          <w:sz w:val="22"/>
          <w:szCs w:val="22"/>
        </w:rPr>
        <w:t>), która pozwala na usprawnienie i zwiększenie efektywności prowadzonych analiz.</w:t>
      </w:r>
    </w:p>
    <w:p w14:paraId="67D20FCD" w14:textId="4B55ADE9" w:rsidR="004938CE" w:rsidRDefault="00552790" w:rsidP="004938CE">
      <w:pPr>
        <w:spacing w:after="0" w:line="240" w:lineRule="auto"/>
        <w:jc w:val="both"/>
        <w:rPr>
          <w:rFonts w:ascii="Calibri" w:hAnsi="Calibri" w:cs="Calibri"/>
          <w:b/>
          <w:sz w:val="22"/>
          <w:szCs w:val="22"/>
        </w:rPr>
      </w:pPr>
      <w:r w:rsidRPr="00766741">
        <w:rPr>
          <w:rFonts w:ascii="Calibri" w:hAnsi="Calibri" w:cs="Calibri"/>
          <w:b/>
          <w:sz w:val="22"/>
          <w:szCs w:val="22"/>
        </w:rPr>
        <w:t xml:space="preserve">Pytanie nr </w:t>
      </w:r>
      <w:r>
        <w:rPr>
          <w:rFonts w:ascii="Calibri" w:hAnsi="Calibri" w:cs="Calibri"/>
          <w:b/>
          <w:sz w:val="22"/>
          <w:szCs w:val="22"/>
        </w:rPr>
        <w:t>2</w:t>
      </w:r>
    </w:p>
    <w:p w14:paraId="3F070DE9" w14:textId="77777777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System filtrów fluorescencyjnych i polaryzacyjnych (pkt 3.6.2 OPZ)</w:t>
      </w:r>
    </w:p>
    <w:p w14:paraId="6406677C" w14:textId="08E8AD1D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Czy Zamawiający dopuści analizator wyposażony w wymienne, ręcznie montowane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filtry fluorescencyjne i polaryzacyjne, zamiast filtrów przełączanych automatycznie z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poziomu oprogramowania, jeżeli rozwiązanie umożliwia stosowanie filtrów przy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wszystkich trzech kątach detekcji (15°, 90° i 175°), również jednocześnie?</w:t>
      </w:r>
    </w:p>
    <w:p w14:paraId="64BCE2CD" w14:textId="77777777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Uzasadnienie:</w:t>
      </w:r>
    </w:p>
    <w:p w14:paraId="64D0A2EE" w14:textId="5C66FBE5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Podstawowym zadaniem filtrów optycznych jest ograniczenie niepożądanego sygnału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pochodzącego m.in. od fluorescencji próbki oraz umożliwienie analizy odpowiednich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składowych polaryzacji światła rozproszonego. Oferowane rozwiązanie w pełni realizuje te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funkcje pomimo ręcznego sposobu wymiany filtrów.</w:t>
      </w:r>
    </w:p>
    <w:p w14:paraId="0F472C0D" w14:textId="0EA2C1E8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Należy podkreślić, że rozwiązanie z automatycznym przełączaniem filtrów, do którego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odnosi się wyspecyfikowane wymaganie, umożliwia stosowanie filtracji wyłącznie przy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jednym kącie detekcji. Oznacza to, że nie pozwala wykorzystać filtrów podczas pełnej analizy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wielokątowej DLS, w której dane z trzech kątów są łączone w jeden rozkład wielkości cząstek.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Proponowane urządzenie umożliwia natomiast jednoczesne zastosowanie odpowiedniej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filtracji przy wszystkich trzech kątach, co pozwala wykorzystać zalety analizy wielokątowej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MAPS również w przypadku próbek fluorescencyjnych lub wymagających analizy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polaryzacyjnej.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Automatyczna zmiana filtrów stanowi zatem udogodnienie obsługi, podczas gdy oferowany</w:t>
      </w:r>
    </w:p>
    <w:p w14:paraId="3871A02D" w14:textId="77777777" w:rsidR="00552790" w:rsidRP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system zapewnia większą elastyczność i szersze możliwości analityczne.</w:t>
      </w:r>
    </w:p>
    <w:p w14:paraId="0C0E158B" w14:textId="4FB6EB4C" w:rsid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W związku z powyższym wnosimy o dopuszczenie ręcznie wymienianych filtrów jako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rozwiązania równoważnego funkcjonalnie, oferującego dodatkową korzyść w postaci</w:t>
      </w:r>
      <w:r>
        <w:rPr>
          <w:rFonts w:ascii="Calibri" w:hAnsi="Calibri" w:cs="Calibri"/>
          <w:bCs/>
          <w:color w:val="000000"/>
          <w:sz w:val="22"/>
          <w:szCs w:val="22"/>
        </w:rPr>
        <w:t xml:space="preserve"> </w:t>
      </w:r>
      <w:r w:rsidRPr="00552790">
        <w:rPr>
          <w:rFonts w:ascii="Calibri" w:hAnsi="Calibri" w:cs="Calibri"/>
          <w:bCs/>
          <w:color w:val="000000"/>
          <w:sz w:val="22"/>
          <w:szCs w:val="22"/>
        </w:rPr>
        <w:t>możliwości stosowania filtracji podczas pomiarów wielokątowych DLS.</w:t>
      </w:r>
    </w:p>
    <w:p w14:paraId="036555F6" w14:textId="3D609752" w:rsidR="00552790" w:rsidRDefault="00552790" w:rsidP="00552790">
      <w:pPr>
        <w:spacing w:after="0" w:line="240" w:lineRule="auto"/>
        <w:jc w:val="both"/>
        <w:rPr>
          <w:rFonts w:ascii="Calibri" w:hAnsi="Calibri" w:cs="Calibri"/>
          <w:b/>
          <w:bCs/>
          <w:color w:val="000000"/>
          <w:sz w:val="22"/>
          <w:szCs w:val="22"/>
        </w:rPr>
      </w:pPr>
      <w:r>
        <w:rPr>
          <w:rFonts w:ascii="Calibri" w:hAnsi="Calibri" w:cs="Calibri"/>
          <w:b/>
          <w:bCs/>
          <w:color w:val="000000"/>
          <w:sz w:val="22"/>
          <w:szCs w:val="22"/>
        </w:rPr>
        <w:t>Odpowiedź</w:t>
      </w:r>
    </w:p>
    <w:p w14:paraId="58AD4DF1" w14:textId="24A277B2" w:rsid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  <w:r w:rsidRPr="00552790">
        <w:rPr>
          <w:rFonts w:ascii="Calibri" w:hAnsi="Calibri" w:cs="Calibri"/>
          <w:bCs/>
          <w:color w:val="000000"/>
          <w:sz w:val="22"/>
          <w:szCs w:val="22"/>
        </w:rPr>
        <w:t>Zamawiający preferuje analizatory wyposażone w automatycznie przełączane filtry fluorescencyjne i polaryzacyjne, sterowane z poziomu oprogramowania. Takie rozwiązanie zapewnia większą wygodę obsługi, ogranicza konieczność ingerencji operatora oraz minimalizuje ryzyko wystąpienia błędów ludzkich związanych z ręcznym montażem i wymianą filtrów. Ponadto ręczna wymiana filtrów może wiązać się z ryzykiem ich uszkodzenia, nieprawidłowego zamontowania lub wystąpienia różnic w powtarzalności pomiarów. W związku z powyższym Zamawiający preferuje rozwiązanie zapewniające automatyczną zmianę filtrów z poziomu oprogramowania.</w:t>
      </w:r>
    </w:p>
    <w:p w14:paraId="5112CE57" w14:textId="77777777" w:rsidR="00552790" w:rsidRDefault="00552790" w:rsidP="00552790">
      <w:pPr>
        <w:spacing w:after="0" w:line="240" w:lineRule="auto"/>
        <w:jc w:val="both"/>
        <w:rPr>
          <w:rFonts w:ascii="Calibri" w:hAnsi="Calibri" w:cs="Calibri"/>
          <w:bCs/>
          <w:color w:val="000000"/>
          <w:sz w:val="22"/>
          <w:szCs w:val="22"/>
        </w:rPr>
      </w:pPr>
    </w:p>
    <w:p w14:paraId="1EC0BA3E" w14:textId="02BF33F2" w:rsidR="00766741" w:rsidRDefault="00766741" w:rsidP="00766741">
      <w:pPr>
        <w:spacing w:after="0" w:line="240" w:lineRule="auto"/>
        <w:jc w:val="both"/>
        <w:rPr>
          <w:rFonts w:ascii="Calibri" w:hAnsi="Calibri" w:cs="Calibri"/>
          <w:sz w:val="22"/>
          <w:szCs w:val="22"/>
        </w:rPr>
      </w:pPr>
      <w:r w:rsidRPr="00766741">
        <w:rPr>
          <w:rFonts w:ascii="Calibri" w:hAnsi="Calibri" w:cs="Calibri"/>
          <w:b/>
          <w:sz w:val="22"/>
          <w:szCs w:val="22"/>
        </w:rPr>
        <w:t>Powyższa odpowiedź stanowi integralną część SWZ</w:t>
      </w:r>
      <w:r w:rsidRPr="00766741">
        <w:rPr>
          <w:rFonts w:ascii="Calibri" w:hAnsi="Calibri" w:cs="Calibri"/>
          <w:sz w:val="22"/>
          <w:szCs w:val="22"/>
        </w:rPr>
        <w:t>.</w:t>
      </w:r>
    </w:p>
    <w:p w14:paraId="0E2353F3" w14:textId="40B5BA41" w:rsidR="006650F7" w:rsidRPr="000267CC" w:rsidRDefault="006650F7" w:rsidP="00766741">
      <w:pPr>
        <w:spacing w:after="0" w:line="240" w:lineRule="auto"/>
        <w:jc w:val="both"/>
        <w:rPr>
          <w:rFonts w:ascii="Calibri" w:hAnsi="Calibri" w:cs="Calibri"/>
          <w:b/>
          <w:sz w:val="22"/>
          <w:szCs w:val="22"/>
        </w:rPr>
      </w:pPr>
      <w:r w:rsidRPr="000267CC">
        <w:rPr>
          <w:rFonts w:ascii="Calibri" w:hAnsi="Calibri" w:cs="Calibri"/>
          <w:b/>
          <w:sz w:val="22"/>
          <w:szCs w:val="22"/>
        </w:rPr>
        <w:t>Termin składania i otwarcia ofert nie ulega zmianie.</w:t>
      </w:r>
    </w:p>
    <w:p w14:paraId="7E69CB03" w14:textId="20A8751B" w:rsidR="00CF0399" w:rsidRDefault="00CF0399" w:rsidP="00FF5D3D">
      <w:pPr>
        <w:pStyle w:val="Tekstpodstawowywcity"/>
        <w:spacing w:after="80"/>
        <w:ind w:left="5664"/>
        <w:rPr>
          <w:rFonts w:asciiTheme="minorHAnsi" w:hAnsiTheme="minorHAnsi" w:cstheme="minorHAnsi"/>
          <w:sz w:val="22"/>
          <w:szCs w:val="22"/>
        </w:rPr>
      </w:pPr>
    </w:p>
    <w:p w14:paraId="37B09363" w14:textId="77777777" w:rsidR="00CF0399" w:rsidRDefault="00CF0399" w:rsidP="00FF5D3D">
      <w:pPr>
        <w:pStyle w:val="Tekstpodstawowywcity"/>
        <w:spacing w:after="80"/>
        <w:ind w:left="5664"/>
        <w:rPr>
          <w:rFonts w:asciiTheme="minorHAnsi" w:hAnsiTheme="minorHAnsi" w:cstheme="minorHAnsi"/>
          <w:sz w:val="22"/>
          <w:szCs w:val="22"/>
        </w:rPr>
      </w:pPr>
    </w:p>
    <w:sectPr w:rsidR="00CF0399">
      <w:headerReference w:type="default" r:id="rId10"/>
      <w:footerReference w:type="default" r:id="rId11"/>
      <w:footnotePr>
        <w:pos w:val="beneathText"/>
      </w:footnotePr>
      <w:pgSz w:w="11905" w:h="16837"/>
      <w:pgMar w:top="1417" w:right="1152" w:bottom="1417" w:left="115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071EA53" w14:textId="77777777" w:rsidR="00DC346F" w:rsidRDefault="00EC469A">
      <w:pPr>
        <w:spacing w:after="0" w:line="240" w:lineRule="auto"/>
      </w:pPr>
      <w:r>
        <w:separator/>
      </w:r>
    </w:p>
  </w:endnote>
  <w:endnote w:type="continuationSeparator" w:id="0">
    <w:p w14:paraId="1F5F4A72" w14:textId="77777777" w:rsidR="00DC346F" w:rsidRDefault="00EC469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086EEC" w14:textId="4F080949" w:rsidR="00874D75" w:rsidRDefault="00EC469A">
    <w:pPr>
      <w:pStyle w:val="Stopka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321065">
      <w:rPr>
        <w:noProof/>
      </w:rPr>
      <w:t>1</w:t>
    </w:r>
    <w:r>
      <w:fldChar w:fldCharType="end"/>
    </w:r>
  </w:p>
  <w:p w14:paraId="319453DD" w14:textId="77777777" w:rsidR="00874D75" w:rsidRDefault="00874D75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372222" w14:textId="77777777" w:rsidR="00DC346F" w:rsidRDefault="00EC469A">
      <w:pPr>
        <w:spacing w:after="0" w:line="240" w:lineRule="auto"/>
      </w:pPr>
      <w:r>
        <w:separator/>
      </w:r>
    </w:p>
  </w:footnote>
  <w:footnote w:type="continuationSeparator" w:id="0">
    <w:p w14:paraId="5125FC4E" w14:textId="77777777" w:rsidR="00DC346F" w:rsidRDefault="00EC469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D8AAD8" w14:textId="66387DED" w:rsidR="00874D75" w:rsidRDefault="00E3011E">
    <w:pPr>
      <w:jc w:val="right"/>
      <w:rPr>
        <w:rFonts w:ascii="Arial" w:hAnsi="Arial"/>
        <w:b/>
        <w:sz w:val="18"/>
      </w:rPr>
    </w:pPr>
    <w:r>
      <w:rPr>
        <w:rFonts w:ascii="Arial" w:hAnsi="Arial"/>
        <w:b/>
        <w:noProof/>
        <w:sz w:val="18"/>
        <w:lang w:eastAsia="pl-PL"/>
      </w:rPr>
      <w:drawing>
        <wp:inline distT="0" distB="0" distL="0" distR="0" wp14:anchorId="6ECF3B8C" wp14:editId="5EB52425">
          <wp:extent cx="5771515" cy="504825"/>
          <wp:effectExtent l="0" t="0" r="635" b="9525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71515" cy="5048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  <w:p w14:paraId="7A1EED44" w14:textId="77777777" w:rsidR="00874D75" w:rsidRDefault="00EC469A">
    <w:pPr>
      <w:rPr>
        <w:rFonts w:ascii="Arial" w:hAnsi="Arial"/>
        <w:b/>
        <w:sz w:val="18"/>
      </w:rPr>
    </w:pPr>
    <w:r>
      <w:rPr>
        <w:rFonts w:ascii="Arial" w:hAnsi="Arial"/>
        <w:b/>
        <w:sz w:val="18"/>
      </w:rPr>
      <w:tab/>
      <w:t xml:space="preserve">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3E0E7C"/>
    <w:multiLevelType w:val="hybridMultilevel"/>
    <w:tmpl w:val="B0C8931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FB4788"/>
    <w:multiLevelType w:val="multilevel"/>
    <w:tmpl w:val="29FB4788"/>
    <w:lvl w:ilvl="0">
      <w:start w:val="1"/>
      <w:numFmt w:val="decimal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7A07C74"/>
    <w:multiLevelType w:val="hybridMultilevel"/>
    <w:tmpl w:val="BA389D08"/>
    <w:lvl w:ilvl="0" w:tplc="544417C8">
      <w:start w:val="1"/>
      <w:numFmt w:val="bullet"/>
      <w:lvlText w:val=""/>
      <w:lvlJc w:val="left"/>
      <w:pPr>
        <w:tabs>
          <w:tab w:val="num" w:pos="357"/>
        </w:tabs>
        <w:ind w:left="357" w:hanging="357"/>
      </w:pPr>
      <w:rPr>
        <w:rFonts w:ascii="Symbol" w:hAnsi="Symbol" w:hint="default"/>
        <w:color w:val="auto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F152445"/>
    <w:multiLevelType w:val="multilevel"/>
    <w:tmpl w:val="AFC25A1A"/>
    <w:lvl w:ilvl="0">
      <w:start w:val="1"/>
      <w:numFmt w:val="decimal"/>
      <w:pStyle w:val="Specyfikacja"/>
      <w:lvlText w:val="%1."/>
      <w:lvlJc w:val="left"/>
      <w:pPr>
        <w:ind w:left="360" w:hanging="360"/>
      </w:pPr>
      <w:rPr>
        <w:rFonts w:ascii="Calibri" w:hAnsi="Calibri" w:hint="default"/>
        <w:b/>
        <w:i w:val="0"/>
        <w:color w:val="auto"/>
        <w:sz w:val="24"/>
        <w:u w:val="none"/>
      </w:rPr>
    </w:lvl>
    <w:lvl w:ilvl="1">
      <w:start w:val="1"/>
      <w:numFmt w:val="decimal"/>
      <w:lvlText w:val="%1.%2."/>
      <w:lvlJc w:val="left"/>
      <w:pPr>
        <w:tabs>
          <w:tab w:val="num" w:pos="1077"/>
        </w:tabs>
        <w:ind w:left="1077" w:hanging="720"/>
      </w:pPr>
      <w:rPr>
        <w:rFonts w:ascii="Calibri" w:hAnsi="Calibri" w:hint="default"/>
        <w:b w:val="0"/>
        <w:i w:val="0"/>
        <w:strike w:val="0"/>
        <w:color w:val="auto"/>
        <w:sz w:val="22"/>
      </w:rPr>
    </w:lvl>
    <w:lvl w:ilvl="2">
      <w:start w:val="1"/>
      <w:numFmt w:val="lowerLetter"/>
      <w:lvlText w:val="%3)"/>
      <w:lvlJc w:val="left"/>
      <w:pPr>
        <w:ind w:left="1418" w:hanging="341"/>
      </w:pPr>
      <w:rPr>
        <w:rFonts w:ascii="Calibri" w:hAnsi="Calibri" w:hint="default"/>
        <w:b w:val="0"/>
        <w:i w:val="0"/>
        <w:caps w:val="0"/>
        <w:color w:val="auto"/>
        <w:sz w:val="22"/>
      </w:rPr>
    </w:lvl>
    <w:lvl w:ilvl="3">
      <w:start w:val="1"/>
      <w:numFmt w:val="bullet"/>
      <w:lvlText w:val=""/>
      <w:lvlJc w:val="left"/>
      <w:pPr>
        <w:ind w:left="1728" w:hanging="648"/>
      </w:pPr>
      <w:rPr>
        <w:rFonts w:ascii="Wingdings" w:hAnsi="Wingdings" w:hint="default"/>
      </w:rPr>
    </w:lvl>
    <w:lvl w:ilvl="4">
      <w:start w:val="1"/>
      <w:numFmt w:val="bullet"/>
      <w:lvlText w:val=""/>
      <w:lvlJc w:val="left"/>
      <w:pPr>
        <w:ind w:left="1701" w:hanging="261"/>
      </w:pPr>
      <w:rPr>
        <w:rFonts w:ascii="Symbol" w:hAnsi="Symbol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583416FF"/>
    <w:multiLevelType w:val="hybridMultilevel"/>
    <w:tmpl w:val="B3E4C8D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0D5403"/>
    <w:multiLevelType w:val="hybridMultilevel"/>
    <w:tmpl w:val="52761276"/>
    <w:lvl w:ilvl="0" w:tplc="8F762AF0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E91EB4"/>
    <w:multiLevelType w:val="hybridMultilevel"/>
    <w:tmpl w:val="EF3EAE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421462281">
    <w:abstractNumId w:val="1"/>
  </w:num>
  <w:num w:numId="2" w16cid:durableId="1137189576">
    <w:abstractNumId w:val="0"/>
  </w:num>
  <w:num w:numId="3" w16cid:durableId="2135444017">
    <w:abstractNumId w:val="4"/>
  </w:num>
  <w:num w:numId="4" w16cid:durableId="121120183">
    <w:abstractNumId w:val="5"/>
  </w:num>
  <w:num w:numId="5" w16cid:durableId="595406783">
    <w:abstractNumId w:val="3"/>
  </w:num>
  <w:num w:numId="6" w16cid:durableId="136840701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/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04255725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27081334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embedSystemFonts/>
  <w:proofState w:spelling="clean"/>
  <w:defaultTabStop w:val="708"/>
  <w:hyphenationZone w:val="425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6145"/>
  </w:hdrShapeDefaults>
  <w:footnotePr>
    <w:pos w:val="beneathTex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87E58"/>
    <w:rsid w:val="000028E8"/>
    <w:rsid w:val="00020722"/>
    <w:rsid w:val="000267CC"/>
    <w:rsid w:val="00043A15"/>
    <w:rsid w:val="000452C0"/>
    <w:rsid w:val="00045391"/>
    <w:rsid w:val="00063E27"/>
    <w:rsid w:val="00067D6E"/>
    <w:rsid w:val="00070438"/>
    <w:rsid w:val="00087E58"/>
    <w:rsid w:val="00093F4D"/>
    <w:rsid w:val="00097126"/>
    <w:rsid w:val="000C1AD5"/>
    <w:rsid w:val="000C2BF0"/>
    <w:rsid w:val="000E1017"/>
    <w:rsid w:val="00114F9B"/>
    <w:rsid w:val="001220FF"/>
    <w:rsid w:val="0012456F"/>
    <w:rsid w:val="00146780"/>
    <w:rsid w:val="001732EA"/>
    <w:rsid w:val="0019263C"/>
    <w:rsid w:val="00192644"/>
    <w:rsid w:val="00195476"/>
    <w:rsid w:val="0019637A"/>
    <w:rsid w:val="001A6EEE"/>
    <w:rsid w:val="001B03CE"/>
    <w:rsid w:val="001C2D3B"/>
    <w:rsid w:val="001C7ACE"/>
    <w:rsid w:val="001D2362"/>
    <w:rsid w:val="002078E6"/>
    <w:rsid w:val="0022482F"/>
    <w:rsid w:val="002438C8"/>
    <w:rsid w:val="0025787D"/>
    <w:rsid w:val="00272FF5"/>
    <w:rsid w:val="00280187"/>
    <w:rsid w:val="002841BB"/>
    <w:rsid w:val="002A212F"/>
    <w:rsid w:val="002B7547"/>
    <w:rsid w:val="002C2E18"/>
    <w:rsid w:val="002C42D1"/>
    <w:rsid w:val="002D1584"/>
    <w:rsid w:val="002D4BF9"/>
    <w:rsid w:val="002E3BB7"/>
    <w:rsid w:val="002E50FF"/>
    <w:rsid w:val="002E5D99"/>
    <w:rsid w:val="002E6FD9"/>
    <w:rsid w:val="002F0157"/>
    <w:rsid w:val="00312625"/>
    <w:rsid w:val="00313D0C"/>
    <w:rsid w:val="00321065"/>
    <w:rsid w:val="003224DE"/>
    <w:rsid w:val="00334121"/>
    <w:rsid w:val="0035026A"/>
    <w:rsid w:val="00354A32"/>
    <w:rsid w:val="00371CE9"/>
    <w:rsid w:val="00375861"/>
    <w:rsid w:val="0038578B"/>
    <w:rsid w:val="003919FB"/>
    <w:rsid w:val="003A17B8"/>
    <w:rsid w:val="003A1C1F"/>
    <w:rsid w:val="003D6E14"/>
    <w:rsid w:val="003E0232"/>
    <w:rsid w:val="0040496F"/>
    <w:rsid w:val="0041071D"/>
    <w:rsid w:val="00422E23"/>
    <w:rsid w:val="00443325"/>
    <w:rsid w:val="00456470"/>
    <w:rsid w:val="00471DD7"/>
    <w:rsid w:val="00472A0A"/>
    <w:rsid w:val="00473704"/>
    <w:rsid w:val="004737D1"/>
    <w:rsid w:val="00474E93"/>
    <w:rsid w:val="00485AA8"/>
    <w:rsid w:val="0048742A"/>
    <w:rsid w:val="004938CE"/>
    <w:rsid w:val="00497052"/>
    <w:rsid w:val="004B054A"/>
    <w:rsid w:val="004B5187"/>
    <w:rsid w:val="004C186E"/>
    <w:rsid w:val="004D0058"/>
    <w:rsid w:val="004D1F8E"/>
    <w:rsid w:val="004F2A10"/>
    <w:rsid w:val="004F37A3"/>
    <w:rsid w:val="004F481C"/>
    <w:rsid w:val="005003AF"/>
    <w:rsid w:val="00504D24"/>
    <w:rsid w:val="005228A6"/>
    <w:rsid w:val="00552790"/>
    <w:rsid w:val="00564228"/>
    <w:rsid w:val="005666AF"/>
    <w:rsid w:val="005706D1"/>
    <w:rsid w:val="0057456E"/>
    <w:rsid w:val="00582C4C"/>
    <w:rsid w:val="00585B03"/>
    <w:rsid w:val="00587E6F"/>
    <w:rsid w:val="005956A7"/>
    <w:rsid w:val="005B0E35"/>
    <w:rsid w:val="005B502F"/>
    <w:rsid w:val="005C4E81"/>
    <w:rsid w:val="005C51BB"/>
    <w:rsid w:val="005C6B2F"/>
    <w:rsid w:val="005C70CC"/>
    <w:rsid w:val="005E16A1"/>
    <w:rsid w:val="005E610F"/>
    <w:rsid w:val="00605000"/>
    <w:rsid w:val="00607952"/>
    <w:rsid w:val="006150E1"/>
    <w:rsid w:val="00620C0A"/>
    <w:rsid w:val="0062705C"/>
    <w:rsid w:val="006314C1"/>
    <w:rsid w:val="0063239D"/>
    <w:rsid w:val="006349FF"/>
    <w:rsid w:val="006379D4"/>
    <w:rsid w:val="00642578"/>
    <w:rsid w:val="006455D8"/>
    <w:rsid w:val="006562A1"/>
    <w:rsid w:val="00662D3A"/>
    <w:rsid w:val="006650F7"/>
    <w:rsid w:val="006745AC"/>
    <w:rsid w:val="006906D7"/>
    <w:rsid w:val="006B73F3"/>
    <w:rsid w:val="006E28DC"/>
    <w:rsid w:val="006E4ED8"/>
    <w:rsid w:val="006F2D2E"/>
    <w:rsid w:val="006F553E"/>
    <w:rsid w:val="00701200"/>
    <w:rsid w:val="00701A33"/>
    <w:rsid w:val="00703281"/>
    <w:rsid w:val="00710DBA"/>
    <w:rsid w:val="00714800"/>
    <w:rsid w:val="0072205D"/>
    <w:rsid w:val="007244FC"/>
    <w:rsid w:val="007251CE"/>
    <w:rsid w:val="007363D1"/>
    <w:rsid w:val="00737DF1"/>
    <w:rsid w:val="00744003"/>
    <w:rsid w:val="00750D5F"/>
    <w:rsid w:val="00751B4E"/>
    <w:rsid w:val="0075489F"/>
    <w:rsid w:val="00755920"/>
    <w:rsid w:val="00766741"/>
    <w:rsid w:val="007964F2"/>
    <w:rsid w:val="007A1C59"/>
    <w:rsid w:val="007B60BB"/>
    <w:rsid w:val="007C6E35"/>
    <w:rsid w:val="007D2F64"/>
    <w:rsid w:val="007D5534"/>
    <w:rsid w:val="007F3C9F"/>
    <w:rsid w:val="007F569B"/>
    <w:rsid w:val="007F58AA"/>
    <w:rsid w:val="007F6859"/>
    <w:rsid w:val="007F75BF"/>
    <w:rsid w:val="00812971"/>
    <w:rsid w:val="008302D9"/>
    <w:rsid w:val="00834D91"/>
    <w:rsid w:val="0084091A"/>
    <w:rsid w:val="008560BE"/>
    <w:rsid w:val="008653B6"/>
    <w:rsid w:val="00867491"/>
    <w:rsid w:val="008700C1"/>
    <w:rsid w:val="00874D75"/>
    <w:rsid w:val="008760C5"/>
    <w:rsid w:val="00897829"/>
    <w:rsid w:val="008F0F70"/>
    <w:rsid w:val="008F7BAF"/>
    <w:rsid w:val="00903316"/>
    <w:rsid w:val="00936841"/>
    <w:rsid w:val="00957D87"/>
    <w:rsid w:val="00971510"/>
    <w:rsid w:val="00973120"/>
    <w:rsid w:val="009762C6"/>
    <w:rsid w:val="00983EF2"/>
    <w:rsid w:val="00986F70"/>
    <w:rsid w:val="0099726E"/>
    <w:rsid w:val="009B0304"/>
    <w:rsid w:val="009C694B"/>
    <w:rsid w:val="009C6C65"/>
    <w:rsid w:val="009F3DA0"/>
    <w:rsid w:val="00A008B9"/>
    <w:rsid w:val="00A05B92"/>
    <w:rsid w:val="00A447F7"/>
    <w:rsid w:val="00A514FC"/>
    <w:rsid w:val="00A517C4"/>
    <w:rsid w:val="00A523E0"/>
    <w:rsid w:val="00A52A27"/>
    <w:rsid w:val="00A82616"/>
    <w:rsid w:val="00A86600"/>
    <w:rsid w:val="00A94C99"/>
    <w:rsid w:val="00AB17FE"/>
    <w:rsid w:val="00AC0537"/>
    <w:rsid w:val="00AC6575"/>
    <w:rsid w:val="00AD0F6F"/>
    <w:rsid w:val="00AD0FF2"/>
    <w:rsid w:val="00AD3CFF"/>
    <w:rsid w:val="00AE1E71"/>
    <w:rsid w:val="00AE5296"/>
    <w:rsid w:val="00AF412D"/>
    <w:rsid w:val="00AF6444"/>
    <w:rsid w:val="00B21680"/>
    <w:rsid w:val="00B308A6"/>
    <w:rsid w:val="00B50BCB"/>
    <w:rsid w:val="00B52259"/>
    <w:rsid w:val="00B529F6"/>
    <w:rsid w:val="00B53644"/>
    <w:rsid w:val="00B5648E"/>
    <w:rsid w:val="00B733B3"/>
    <w:rsid w:val="00B91D17"/>
    <w:rsid w:val="00B92E68"/>
    <w:rsid w:val="00BB29B9"/>
    <w:rsid w:val="00BB7A39"/>
    <w:rsid w:val="00BC40E7"/>
    <w:rsid w:val="00C01B39"/>
    <w:rsid w:val="00C045FE"/>
    <w:rsid w:val="00C061AD"/>
    <w:rsid w:val="00C220CA"/>
    <w:rsid w:val="00C44934"/>
    <w:rsid w:val="00C57109"/>
    <w:rsid w:val="00C701C2"/>
    <w:rsid w:val="00C7108C"/>
    <w:rsid w:val="00C874A6"/>
    <w:rsid w:val="00C90501"/>
    <w:rsid w:val="00C93F88"/>
    <w:rsid w:val="00CB443A"/>
    <w:rsid w:val="00CC2470"/>
    <w:rsid w:val="00CC288F"/>
    <w:rsid w:val="00CF0399"/>
    <w:rsid w:val="00CF0B3C"/>
    <w:rsid w:val="00CF39EC"/>
    <w:rsid w:val="00D12FE6"/>
    <w:rsid w:val="00D20166"/>
    <w:rsid w:val="00D356CA"/>
    <w:rsid w:val="00D3615D"/>
    <w:rsid w:val="00D5231B"/>
    <w:rsid w:val="00D548B5"/>
    <w:rsid w:val="00D64CEE"/>
    <w:rsid w:val="00D7569C"/>
    <w:rsid w:val="00D82EB4"/>
    <w:rsid w:val="00DA2C03"/>
    <w:rsid w:val="00DB0061"/>
    <w:rsid w:val="00DC346F"/>
    <w:rsid w:val="00DD5CD1"/>
    <w:rsid w:val="00DE2D6C"/>
    <w:rsid w:val="00E0424B"/>
    <w:rsid w:val="00E1047F"/>
    <w:rsid w:val="00E26BA3"/>
    <w:rsid w:val="00E3011E"/>
    <w:rsid w:val="00E36CF9"/>
    <w:rsid w:val="00E533AC"/>
    <w:rsid w:val="00E61FCA"/>
    <w:rsid w:val="00E907B5"/>
    <w:rsid w:val="00E928EE"/>
    <w:rsid w:val="00E93BF4"/>
    <w:rsid w:val="00E941EE"/>
    <w:rsid w:val="00E97BA2"/>
    <w:rsid w:val="00EA37C3"/>
    <w:rsid w:val="00EA41B5"/>
    <w:rsid w:val="00EA4BAE"/>
    <w:rsid w:val="00EB4D91"/>
    <w:rsid w:val="00EB595E"/>
    <w:rsid w:val="00EB6072"/>
    <w:rsid w:val="00EC469A"/>
    <w:rsid w:val="00EC46E2"/>
    <w:rsid w:val="00ED4E77"/>
    <w:rsid w:val="00EE1CCB"/>
    <w:rsid w:val="00EF666F"/>
    <w:rsid w:val="00F0014A"/>
    <w:rsid w:val="00F04B67"/>
    <w:rsid w:val="00F1097C"/>
    <w:rsid w:val="00F10A1D"/>
    <w:rsid w:val="00F11DC6"/>
    <w:rsid w:val="00F12CDF"/>
    <w:rsid w:val="00F20CDA"/>
    <w:rsid w:val="00F22F93"/>
    <w:rsid w:val="00F2590C"/>
    <w:rsid w:val="00F27EBE"/>
    <w:rsid w:val="00F4670B"/>
    <w:rsid w:val="00F5518E"/>
    <w:rsid w:val="00F83810"/>
    <w:rsid w:val="00FA6B42"/>
    <w:rsid w:val="00FB5A86"/>
    <w:rsid w:val="00FB70B7"/>
    <w:rsid w:val="00FD0663"/>
    <w:rsid w:val="00FF5D3D"/>
    <w:rsid w:val="0ECF482D"/>
    <w:rsid w:val="5A006EEB"/>
    <w:rsid w:val="5B7F2E09"/>
    <w:rsid w:val="6E3639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3E2A2EAC"/>
  <w15:docId w15:val="{7D609E3C-5D03-4629-A6C3-91A1B8B75D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3011E"/>
    <w:pPr>
      <w:suppressAutoHyphens/>
    </w:pPr>
    <w:rPr>
      <w:rFonts w:ascii="Times New Roman" w:eastAsia="Times New Roman" w:hAnsi="Times New Roman"/>
      <w:lang w:eastAsia="ar-SA"/>
    </w:rPr>
  </w:style>
  <w:style w:type="paragraph" w:styleId="Nagwek1">
    <w:name w:val="heading 1"/>
    <w:basedOn w:val="Normalny"/>
    <w:next w:val="Normalny"/>
    <w:qFormat/>
    <w:pPr>
      <w:keepNext/>
      <w:spacing w:before="240" w:after="60"/>
      <w:jc w:val="center"/>
      <w:outlineLvl w:val="0"/>
    </w:pPr>
    <w:rPr>
      <w:b/>
      <w:kern w:val="1"/>
      <w:sz w:val="24"/>
    </w:rPr>
  </w:style>
  <w:style w:type="paragraph" w:styleId="Nagwek2">
    <w:name w:val="heading 2"/>
    <w:basedOn w:val="Normalny"/>
    <w:next w:val="Normalny"/>
    <w:link w:val="Nagwek2Znak"/>
    <w:qFormat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  <w:rPr>
      <w:sz w:val="24"/>
    </w:rPr>
  </w:style>
  <w:style w:type="paragraph" w:styleId="Tekstpodstawowywcity">
    <w:name w:val="Body Text Indent"/>
    <w:basedOn w:val="Normalny"/>
    <w:link w:val="TekstpodstawowywcityZnak"/>
    <w:uiPriority w:val="99"/>
    <w:semiHidden/>
    <w:unhideWhenUsed/>
    <w:pPr>
      <w:spacing w:after="120"/>
      <w:ind w:left="283"/>
    </w:pPr>
  </w:style>
  <w:style w:type="paragraph" w:styleId="Stopka">
    <w:name w:val="footer"/>
    <w:basedOn w:val="Normalny"/>
    <w:link w:val="StopkaZnak"/>
    <w:uiPriority w:val="99"/>
    <w:pPr>
      <w:tabs>
        <w:tab w:val="center" w:pos="4536"/>
        <w:tab w:val="right" w:pos="9072"/>
      </w:tabs>
    </w:pPr>
  </w:style>
  <w:style w:type="paragraph" w:styleId="Nagwek">
    <w:name w:val="header"/>
    <w:basedOn w:val="Normalny"/>
    <w:qFormat/>
    <w:pPr>
      <w:tabs>
        <w:tab w:val="center" w:pos="4536"/>
        <w:tab w:val="right" w:pos="9072"/>
      </w:tabs>
    </w:pPr>
  </w:style>
  <w:style w:type="paragraph" w:styleId="Lista">
    <w:name w:val="List"/>
    <w:basedOn w:val="Tekstpodstawowy"/>
    <w:rPr>
      <w:rFonts w:cs="Tahoma"/>
    </w:rPr>
  </w:style>
  <w:style w:type="paragraph" w:styleId="Zwykytekst">
    <w:name w:val="Plain Text"/>
    <w:basedOn w:val="Normalny"/>
    <w:link w:val="ZwykytekstZnak"/>
    <w:unhideWhenUsed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styleId="Hipercze">
    <w:name w:val="Hyperlink"/>
    <w:basedOn w:val="Domylnaczcionkaakapitu1"/>
    <w:rPr>
      <w:color w:val="0000FF"/>
      <w:u w:val="single"/>
    </w:rPr>
  </w:style>
  <w:style w:type="character" w:customStyle="1" w:styleId="Domylnaczcionkaakapitu1">
    <w:name w:val="Domyślna czcionka akapitu1"/>
    <w:qFormat/>
  </w:style>
  <w:style w:type="table" w:styleId="Tabela-Siatka">
    <w:name w:val="Table Grid"/>
    <w:basedOn w:val="Standardowy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mylnaczcionkaakapitu2">
    <w:name w:val="Domyślna czcionka akapitu2"/>
  </w:style>
  <w:style w:type="paragraph" w:customStyle="1" w:styleId="Nagwek20">
    <w:name w:val="Nagłówek2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2">
    <w:name w:val="Podpis2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Nagwek10">
    <w:name w:val="Nagłówek1"/>
    <w:basedOn w:val="Normalny"/>
    <w:next w:val="Tekstpodstawowy"/>
    <w:pPr>
      <w:keepNext/>
      <w:spacing w:before="240" w:after="120"/>
    </w:pPr>
    <w:rPr>
      <w:rFonts w:ascii="Arial" w:eastAsia="Lucida Sans Unicode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  <w:sz w:val="24"/>
      <w:szCs w:val="24"/>
    </w:rPr>
  </w:style>
  <w:style w:type="paragraph" w:customStyle="1" w:styleId="Zawartotabeli">
    <w:name w:val="Zawartość tabeli"/>
    <w:basedOn w:val="Normalny"/>
    <w:qFormat/>
    <w:pPr>
      <w:suppressLineNumbers/>
    </w:pPr>
  </w:style>
  <w:style w:type="paragraph" w:customStyle="1" w:styleId="Nagwektabeli">
    <w:name w:val="Nagłówek tabeli"/>
    <w:basedOn w:val="Zawartotabeli"/>
    <w:qFormat/>
    <w:pPr>
      <w:jc w:val="center"/>
    </w:pPr>
    <w:rPr>
      <w:b/>
      <w:bCs/>
    </w:rPr>
  </w:style>
  <w:style w:type="paragraph" w:customStyle="1" w:styleId="Zawartoramki">
    <w:name w:val="Zawartość ramki"/>
    <w:basedOn w:val="Tekstpodstawowy"/>
    <w:qFormat/>
  </w:style>
  <w:style w:type="character" w:customStyle="1" w:styleId="StopkaZnak">
    <w:name w:val="Stopka Znak"/>
    <w:basedOn w:val="Domylnaczcionkaakapitu"/>
    <w:link w:val="Stopka"/>
    <w:uiPriority w:val="99"/>
    <w:rPr>
      <w:lang w:eastAsia="ar-SA"/>
    </w:rPr>
  </w:style>
  <w:style w:type="paragraph" w:customStyle="1" w:styleId="pkt">
    <w:name w:val="pkt"/>
    <w:basedOn w:val="Normalny"/>
    <w:pPr>
      <w:suppressAutoHyphens w:val="0"/>
      <w:spacing w:before="60" w:after="60"/>
      <w:ind w:left="851" w:hanging="295"/>
      <w:jc w:val="both"/>
    </w:pPr>
    <w:rPr>
      <w:sz w:val="24"/>
      <w:lang w:eastAsia="pl-PL"/>
    </w:rPr>
  </w:style>
  <w:style w:type="character" w:customStyle="1" w:styleId="ZwykytekstZnak">
    <w:name w:val="Zwykły tekst Znak"/>
    <w:basedOn w:val="Domylnaczcionkaakapitu"/>
    <w:link w:val="Zwykytekst"/>
    <w:rPr>
      <w:sz w:val="24"/>
      <w:szCs w:val="24"/>
    </w:rPr>
  </w:style>
  <w:style w:type="paragraph" w:customStyle="1" w:styleId="listparagraph">
    <w:name w:val="listparagraph"/>
    <w:basedOn w:val="Normalny"/>
    <w:qFormat/>
    <w:pPr>
      <w:suppressAutoHyphens w:val="0"/>
      <w:spacing w:before="100" w:beforeAutospacing="1" w:after="100" w:afterAutospacing="1"/>
    </w:pPr>
    <w:rPr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qFormat/>
    <w:rPr>
      <w:rFonts w:ascii="Cambria" w:eastAsia="Times New Roman" w:hAnsi="Cambria" w:cs="Times New Roman"/>
      <w:b/>
      <w:bCs/>
      <w:i/>
      <w:iCs/>
      <w:sz w:val="28"/>
      <w:szCs w:val="28"/>
      <w:lang w:eastAsia="ar-SA"/>
    </w:rPr>
  </w:style>
  <w:style w:type="paragraph" w:styleId="Akapitzlist">
    <w:name w:val="List Paragraph"/>
    <w:basedOn w:val="Normalny"/>
    <w:uiPriority w:val="34"/>
    <w:qFormat/>
    <w:pPr>
      <w:ind w:left="720"/>
      <w:contextualSpacing/>
    </w:pPr>
  </w:style>
  <w:style w:type="character" w:customStyle="1" w:styleId="TekstpodstawowywcityZnak">
    <w:name w:val="Tekst podstawowy wcięty Znak"/>
    <w:basedOn w:val="Domylnaczcionkaakapitu"/>
    <w:link w:val="Tekstpodstawowywcity"/>
    <w:uiPriority w:val="99"/>
    <w:semiHidden/>
    <w:rPr>
      <w:lang w:eastAsia="ar-SA"/>
    </w:rPr>
  </w:style>
  <w:style w:type="paragraph" w:customStyle="1" w:styleId="Default">
    <w:name w:val="Default"/>
    <w:rsid w:val="0099726E"/>
    <w:pPr>
      <w:autoSpaceDE w:val="0"/>
      <w:autoSpaceDN w:val="0"/>
      <w:adjustRightInd w:val="0"/>
      <w:spacing w:after="0" w:line="240" w:lineRule="auto"/>
    </w:pPr>
    <w:rPr>
      <w:rFonts w:cs="Calibri"/>
      <w:color w:val="000000"/>
      <w:sz w:val="24"/>
      <w:szCs w:val="24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37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37A"/>
    <w:rPr>
      <w:rFonts w:ascii="Segoe UI" w:eastAsia="Times New Roman" w:hAnsi="Segoe UI" w:cs="Segoe UI"/>
      <w:sz w:val="18"/>
      <w:szCs w:val="18"/>
      <w:lang w:eastAsia="ar-SA"/>
    </w:rPr>
  </w:style>
  <w:style w:type="paragraph" w:styleId="Tekstpodstawowywcity2">
    <w:name w:val="Body Text Indent 2"/>
    <w:basedOn w:val="Normalny"/>
    <w:link w:val="Tekstpodstawowywcity2Znak"/>
    <w:uiPriority w:val="99"/>
    <w:semiHidden/>
    <w:unhideWhenUsed/>
    <w:rsid w:val="002D4BF9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uiPriority w:val="99"/>
    <w:semiHidden/>
    <w:rsid w:val="002D4BF9"/>
    <w:rPr>
      <w:rFonts w:ascii="Times New Roman" w:eastAsia="Times New Roman" w:hAnsi="Times New Roman"/>
      <w:lang w:eastAsia="ar-SA"/>
    </w:rPr>
  </w:style>
  <w:style w:type="paragraph" w:customStyle="1" w:styleId="Specyfikacja">
    <w:name w:val="Specyfikacja"/>
    <w:basedOn w:val="Normalny"/>
    <w:qFormat/>
    <w:rsid w:val="002D4BF9"/>
    <w:pPr>
      <w:numPr>
        <w:numId w:val="5"/>
      </w:numPr>
      <w:suppressAutoHyphens w:val="0"/>
      <w:jc w:val="both"/>
    </w:pPr>
    <w:rPr>
      <w:rFonts w:ascii="Calibri" w:eastAsia="Calibri" w:hAnsi="Calibri"/>
      <w:b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79986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sekretariat@ikifp.edu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65A0F62A-F23F-4088-95B7-119CC2FA0D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748</Words>
  <Characters>4491</Characters>
  <Application>Microsoft Office Word</Application>
  <DocSecurity>0</DocSecurity>
  <Lines>37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Nr pisma</vt:lpstr>
    </vt:vector>
  </TitlesOfParts>
  <Company>Pluszaki</Company>
  <LinksUpToDate>false</LinksUpToDate>
  <CharactersWithSpaces>5229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Nr pisma</dc:title>
  <dc:creator>Monika Raglewska</dc:creator>
  <cp:lastModifiedBy>aknera</cp:lastModifiedBy>
  <cp:revision>2</cp:revision>
  <cp:lastPrinted>2021-05-05T12:16:00Z</cp:lastPrinted>
  <dcterms:created xsi:type="dcterms:W3CDTF">2026-11-04T09:24:00Z</dcterms:created>
  <dcterms:modified xsi:type="dcterms:W3CDTF">2026-11-04T09:24:00Z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1033-10.2.0.5832</vt:lpwstr>
  </property>
</Properties>
</file>