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BBB14A" w14:textId="77777777" w:rsidR="00B02B8A" w:rsidRPr="00392952" w:rsidRDefault="00B02B8A" w:rsidP="00B02B8A">
      <w:pPr>
        <w:spacing w:after="0" w:line="240" w:lineRule="auto"/>
        <w:jc w:val="center"/>
        <w:rPr>
          <w:rFonts w:eastAsia="Times New Roman" w:cstheme="minorHAnsi"/>
          <w:b/>
          <w:bCs/>
          <w:kern w:val="0"/>
          <w:sz w:val="22"/>
          <w:szCs w:val="22"/>
          <w:lang w:val="x-none" w:eastAsia="x-none"/>
          <w14:ligatures w14:val="none"/>
        </w:rPr>
      </w:pPr>
      <w:r w:rsidRPr="00392952">
        <w:rPr>
          <w:rFonts w:eastAsia="Times New Roman" w:cstheme="minorHAnsi"/>
          <w:b/>
          <w:bCs/>
          <w:kern w:val="0"/>
          <w:sz w:val="22"/>
          <w:szCs w:val="22"/>
          <w:lang w:val="x-none" w:eastAsia="x-none"/>
          <w14:ligatures w14:val="none"/>
        </w:rPr>
        <w:t>OPIS PRZEDMIOTU ZAMÓWIENIA</w:t>
      </w:r>
    </w:p>
    <w:p w14:paraId="1DF3754D" w14:textId="77777777" w:rsidR="00A93185" w:rsidRPr="00392952" w:rsidRDefault="00A93185" w:rsidP="00E33377">
      <w:pPr>
        <w:pStyle w:val="Nagwek2"/>
        <w:jc w:val="both"/>
        <w:rPr>
          <w:rFonts w:asciiTheme="minorHAnsi" w:hAnsiTheme="minorHAnsi" w:cstheme="minorHAnsi"/>
          <w:color w:val="auto"/>
          <w:sz w:val="24"/>
          <w:szCs w:val="24"/>
        </w:rPr>
      </w:pPr>
      <w:r>
        <w:rPr>
          <w:rFonts w:asciiTheme="minorHAnsi" w:hAnsiTheme="minorHAnsi" w:cstheme="minorHAnsi"/>
          <w:color w:val="auto"/>
          <w:sz w:val="24"/>
          <w:szCs w:val="24"/>
        </w:rPr>
        <w:t>1. PRZEDMIOT ZAMÓWIENIA</w:t>
      </w:r>
    </w:p>
    <w:p w14:paraId="2A31C838" w14:textId="77777777" w:rsidR="00144C6B" w:rsidRDefault="00A93185" w:rsidP="00E33377">
      <w:pPr>
        <w:jc w:val="both"/>
        <w:rPr>
          <w:rFonts w:cstheme="minorHAnsi"/>
        </w:rPr>
      </w:pPr>
      <w:r>
        <w:rPr>
          <w:rFonts w:cstheme="minorHAnsi"/>
        </w:rPr>
        <w:t>Przedmiotem zamówienia jest dostawa analizatora wielkości, stężenia i potencjału zeta cząstek nanometrowych zdyspergowanych w roztworze wraz z wyposażeniem, oprogramowaniem, instalacją i szkoleniem (kod CPV: 38434000-6).</w:t>
      </w:r>
    </w:p>
    <w:p w14:paraId="1FE7D754" w14:textId="13C45F08" w:rsidR="00A93185" w:rsidRPr="00144C6B" w:rsidRDefault="00144C6B" w:rsidP="00E33377">
      <w:pPr>
        <w:jc w:val="both"/>
        <w:rPr>
          <w:rFonts w:cstheme="minorHAnsi"/>
          <w:b/>
          <w:bCs/>
        </w:rPr>
      </w:pPr>
      <w:r w:rsidRPr="00144C6B">
        <w:rPr>
          <w:rFonts w:cstheme="minorHAnsi"/>
          <w:b/>
          <w:bCs/>
        </w:rPr>
        <w:t xml:space="preserve">Zamówienie jest finansowane </w:t>
      </w:r>
      <w:r w:rsidRPr="00144C6B">
        <w:rPr>
          <w:b/>
          <w:bCs/>
        </w:rPr>
        <w:t>ze środków Unii Europejskiej w ramach projektu: „Rozbudowa zaplecza aparaturowego Prototypu Biorafinerii IKiFP PAN umożliwiająca waloryzację strumieni biomasy do cennych bioproduktów – biopolimerów, zielonych surfaktantów i nietoksycznych barwników” (akronim: Biostream), numer projektu: FEMP.01.04-IZ.00-0267/24, program Fundusze Europejskie dla Małopolski 2021–2027</w:t>
      </w:r>
      <w:r>
        <w:rPr>
          <w:b/>
          <w:bCs/>
        </w:rPr>
        <w:t>.</w:t>
      </w:r>
    </w:p>
    <w:p w14:paraId="00CCCBE7" w14:textId="77777777" w:rsidR="00A93185" w:rsidRPr="00392952" w:rsidRDefault="00A93185" w:rsidP="00E33377">
      <w:pPr>
        <w:pStyle w:val="Nagwek2"/>
        <w:jc w:val="both"/>
        <w:rPr>
          <w:rFonts w:asciiTheme="minorHAnsi" w:hAnsiTheme="minorHAnsi" w:cstheme="minorHAnsi"/>
          <w:color w:val="auto"/>
          <w:sz w:val="24"/>
          <w:szCs w:val="24"/>
        </w:rPr>
      </w:pPr>
      <w:r>
        <w:rPr>
          <w:rFonts w:asciiTheme="minorHAnsi" w:hAnsiTheme="minorHAnsi" w:cstheme="minorHAnsi"/>
          <w:color w:val="auto"/>
          <w:sz w:val="24"/>
          <w:szCs w:val="24"/>
        </w:rPr>
        <w:t>2. WYMAGANIA OGÓLNE</w:t>
      </w:r>
    </w:p>
    <w:p w14:paraId="0E0DBC5B" w14:textId="77777777" w:rsidR="00252D7C" w:rsidRDefault="00252D7C" w:rsidP="00252D7C">
      <w:pPr>
        <w:pStyle w:val="Akapitzlist"/>
        <w:numPr>
          <w:ilvl w:val="0"/>
          <w:numId w:val="4"/>
        </w:numPr>
        <w:jc w:val="both"/>
      </w:pPr>
      <w:r>
        <w:t>Przedmiot zamówienia musi być fabrycznie nowy, nieużywany, nierekondycjonowany, wyprodukowany nie wcześniej niż w 2026 r., kompletny i gotowy do pracy bez konieczności dokonywania przez Zamawiającego dodatkowych zakupów.</w:t>
      </w:r>
    </w:p>
    <w:p w14:paraId="48F7049F" w14:textId="77777777" w:rsidR="00252D7C" w:rsidRDefault="00252D7C" w:rsidP="00252D7C">
      <w:pPr>
        <w:pStyle w:val="Akapitzlist"/>
        <w:numPr>
          <w:ilvl w:val="0"/>
          <w:numId w:val="4"/>
        </w:numPr>
        <w:jc w:val="both"/>
      </w:pPr>
      <w:r>
        <w:t>Miejsce dostawy: Instytut Katalizy i Fizykochemii Powierzchni im. Jerzego Habera PAN, ul. Niezapominajek 8, 30-239 Kraków – pomieszczenie wskazane przez Zamawiającego. Wykonawca poinformuje Zamawiającego o terminie dostawy z co najmniej 3-dniowym wyprzedzeniem.</w:t>
      </w:r>
    </w:p>
    <w:p w14:paraId="477934DB" w14:textId="77777777" w:rsidR="00252D7C" w:rsidRDefault="00252D7C" w:rsidP="00252D7C">
      <w:pPr>
        <w:pStyle w:val="Akapitzlist"/>
        <w:numPr>
          <w:ilvl w:val="0"/>
          <w:numId w:val="4"/>
        </w:numPr>
        <w:jc w:val="both"/>
      </w:pPr>
      <w:r>
        <w:t>W zakres zamówienia wchodzi: transport (wraz z ubezpieczeniem i rozładunkiem), wniesienie, instalacja, uruchomienie oraz przeprowadzenie testów potwierdzających prawidłowe działanie analizatora i osiąganie wymaganych parametrów, potwierdzone protokołem odbioru.</w:t>
      </w:r>
    </w:p>
    <w:p w14:paraId="0FEDA162" w14:textId="2028A377" w:rsidR="00252D7C" w:rsidRDefault="00252D7C" w:rsidP="00252D7C">
      <w:pPr>
        <w:pStyle w:val="Akapitzlist"/>
        <w:numPr>
          <w:ilvl w:val="0"/>
          <w:numId w:val="4"/>
        </w:numPr>
        <w:jc w:val="both"/>
      </w:pPr>
      <w:r>
        <w:t>Instalacja i wstępne szkolenie z obsługi sprzętu wliczone w cenę oferty</w:t>
      </w:r>
      <w:r w:rsidR="00144C6B">
        <w:t xml:space="preserve"> oraz</w:t>
      </w:r>
      <w:r>
        <w:t xml:space="preserve"> jednodniowe szkolenie aplikacyjne, wliczone w cenę oferty.</w:t>
      </w:r>
    </w:p>
    <w:p w14:paraId="2A54EEB1" w14:textId="77777777" w:rsidR="00252D7C" w:rsidRDefault="00252D7C" w:rsidP="00252D7C">
      <w:pPr>
        <w:pStyle w:val="Akapitzlist"/>
        <w:numPr>
          <w:ilvl w:val="0"/>
          <w:numId w:val="4"/>
        </w:numPr>
        <w:jc w:val="both"/>
      </w:pPr>
      <w:r>
        <w:t>Wraz z urządzeniem Wykonawca dostarczy instrukcję obsługi w języku polskim lub angielskim, deklarację zgodności CE oraz licencje na oprogramowanie.</w:t>
      </w:r>
    </w:p>
    <w:p w14:paraId="1755B7B9" w14:textId="77777777" w:rsidR="00252D7C" w:rsidRDefault="00252D7C" w:rsidP="00252D7C">
      <w:pPr>
        <w:pStyle w:val="Akapitzlist"/>
        <w:numPr>
          <w:ilvl w:val="0"/>
          <w:numId w:val="4"/>
        </w:numPr>
        <w:jc w:val="both"/>
      </w:pPr>
      <w:r>
        <w:t>Gwarancja: minimum 24 miesiące od dnia podpisania protokołu odbioru bez zastrzeżeń (</w:t>
      </w:r>
      <w:r w:rsidRPr="00144C6B">
        <w:rPr>
          <w:b/>
          <w:bCs/>
        </w:rPr>
        <w:t>okres gwarancji stanowi kryterium oceny ofert</w:t>
      </w:r>
      <w:r>
        <w:t>).</w:t>
      </w:r>
    </w:p>
    <w:p w14:paraId="4E75E941" w14:textId="77777777" w:rsidR="00252D7C" w:rsidRDefault="00252D7C" w:rsidP="00252D7C">
      <w:pPr>
        <w:pStyle w:val="Akapitzlist"/>
        <w:numPr>
          <w:ilvl w:val="0"/>
          <w:numId w:val="4"/>
        </w:numPr>
        <w:jc w:val="both"/>
      </w:pPr>
      <w:r>
        <w:t>Czas przystąpienia do naprawy (reakcji serwisu), tj. rozpoczęcia diagnozy/naprawy w miejscu instalacji lub zdalnie: maksymalnie 3 dni robocze od zgłoszenia (</w:t>
      </w:r>
      <w:r w:rsidRPr="00144C6B">
        <w:rPr>
          <w:b/>
          <w:bCs/>
        </w:rPr>
        <w:t>czas przystąpienia do naprawy stanowi kryterium oceny ofert – Wykonawca deklaruje go w Formularzu ofertowym</w:t>
      </w:r>
      <w:r>
        <w:t>).</w:t>
      </w:r>
    </w:p>
    <w:p w14:paraId="1C825388" w14:textId="77777777" w:rsidR="00252D7C" w:rsidRDefault="00252D7C" w:rsidP="00252D7C">
      <w:pPr>
        <w:pStyle w:val="Akapitzlist"/>
        <w:numPr>
          <w:ilvl w:val="0"/>
          <w:numId w:val="4"/>
        </w:numPr>
        <w:jc w:val="both"/>
      </w:pPr>
      <w:r>
        <w:t>Czas naprawy – do 14 dni. W przypadku, kiedy konieczne jest zamówienie części zamiennych od producenta, czas naprawy może wydłużyć się o dodatkowe 21 dni.</w:t>
      </w:r>
    </w:p>
    <w:p w14:paraId="69FB0E46" w14:textId="77777777" w:rsidR="00252D7C" w:rsidRDefault="00252D7C" w:rsidP="00252D7C">
      <w:pPr>
        <w:pStyle w:val="Akapitzlist"/>
        <w:numPr>
          <w:ilvl w:val="0"/>
          <w:numId w:val="4"/>
        </w:numPr>
        <w:jc w:val="both"/>
      </w:pPr>
      <w:r>
        <w:lastRenderedPageBreak/>
        <w:t>Parametry określone w pkt 3 stanowią wymagania minimalne. Opis przedmiotu zamówienia nie wskazuje znaków towarowych, patentów ani pochodzenia. Jeżeli jakiekolwiek określenie mogłoby zostać uznane za wskazanie konkretnego produktu, technologii lub rozwiązania, należy je rozumieć jako przykładowe, a Zamawiający dopuszcza rozwiązania równoważne (art. 99 ust. 5 i art. 101 ust. 4 ustawy Pzp). Za rozwiązanie równoważne uznaje się rozwiązanie zapewniające pomiar tych samych wielkości (wielkość cząstek, potencjał zeta, stężenie cząstek, masa cząsteczkowa) z parametrami nie gorszymi niż wskazane w pkt 3. Wykazanie równoważności (np. kartami katalogowymi, specyfikacją producenta) należy do Wykonawcy.</w:t>
      </w:r>
    </w:p>
    <w:p w14:paraId="5F5F8851" w14:textId="3602EA8F" w:rsidR="00252D7C" w:rsidRDefault="00252D7C" w:rsidP="005321A7">
      <w:pPr>
        <w:pStyle w:val="Akapitzlist"/>
        <w:ind w:left="1440"/>
        <w:jc w:val="both"/>
      </w:pPr>
    </w:p>
    <w:p w14:paraId="6EFD730D" w14:textId="77777777" w:rsidR="00A93185" w:rsidRPr="00392952" w:rsidRDefault="00A93185" w:rsidP="00E33377">
      <w:pPr>
        <w:pStyle w:val="Nagwek2"/>
        <w:jc w:val="both"/>
        <w:rPr>
          <w:rFonts w:asciiTheme="minorHAnsi" w:hAnsiTheme="minorHAnsi" w:cstheme="minorHAnsi"/>
          <w:color w:val="auto"/>
          <w:sz w:val="24"/>
          <w:szCs w:val="24"/>
        </w:rPr>
      </w:pPr>
      <w:r>
        <w:rPr>
          <w:rFonts w:asciiTheme="minorHAnsi" w:hAnsiTheme="minorHAnsi" w:cstheme="minorHAnsi"/>
          <w:color w:val="auto"/>
          <w:sz w:val="24"/>
          <w:szCs w:val="24"/>
        </w:rPr>
        <w:t>3. MINIMALNE WYMAGANE PARAMETRY TECHNICZNE</w:t>
      </w:r>
    </w:p>
    <w:p w14:paraId="6E4CD4DC" w14:textId="6707B88B" w:rsidR="00410C9F" w:rsidRDefault="007D6F81" w:rsidP="00410C9F">
      <w:pPr>
        <w:jc w:val="both"/>
        <w:rPr>
          <w:b/>
          <w:bCs/>
        </w:rPr>
      </w:pPr>
      <w:r>
        <w:rPr>
          <w:b/>
          <w:bCs/>
        </w:rPr>
        <w:t>Analizator wielkości, stężenia i potencjału zeta cząstek nanometrowych zdyspergowanych w roztworze</w:t>
      </w:r>
    </w:p>
    <w:p w14:paraId="0F5D3AFC" w14:textId="77777777" w:rsidR="007D6F81" w:rsidRPr="007D6F81" w:rsidRDefault="007D6F81" w:rsidP="007D6F81">
      <w:pPr>
        <w:spacing w:after="0" w:line="240" w:lineRule="auto"/>
        <w:jc w:val="both"/>
        <w:rPr>
          <w:rFonts w:ascii="Calibri" w:eastAsia="Times New Roman" w:hAnsi="Calibri" w:cs="Calibri"/>
          <w:kern w:val="0"/>
          <w:u w:val="single"/>
          <w:lang w:eastAsia="pl-PL"/>
          <w14:ligatures w14:val="none"/>
        </w:rPr>
      </w:pPr>
      <w:r>
        <w:rPr>
          <w:rFonts w:ascii="Calibri" w:eastAsia="Times New Roman" w:hAnsi="Calibri" w:cs="Calibri"/>
          <w:kern w:val="0"/>
          <w:u w:val="single"/>
          <w:lang w:eastAsia="pl-PL"/>
          <w14:ligatures w14:val="none"/>
        </w:rPr>
        <w:t>3.1. Pomiar wielkości cząstek:</w:t>
      </w:r>
    </w:p>
    <w:p w14:paraId="0C339B95" w14:textId="77777777" w:rsidR="00252D7C" w:rsidRDefault="00252D7C" w:rsidP="00252D7C">
      <w:pPr>
        <w:pStyle w:val="Akapitzlist"/>
        <w:numPr>
          <w:ilvl w:val="0"/>
          <w:numId w:val="11"/>
        </w:numPr>
        <w:jc w:val="both"/>
      </w:pPr>
      <w:r>
        <w:t xml:space="preserve">Technika pomiaru: dynamiczne rozpraszanie światła (DLS) z detekcją przy co najmniej dwóch kątach rozpraszania: w geometrii rozpraszania wstecznego (170°–175°) oraz bocznego (90°). </w:t>
      </w:r>
      <w:r w:rsidRPr="00144C6B">
        <w:rPr>
          <w:b/>
          <w:bCs/>
        </w:rPr>
        <w:t>Parametr punktowany w kryterium „Parametry techniczne” (pkt 14 SWZ):</w:t>
      </w:r>
      <w:r>
        <w:t xml:space="preserve"> detekcja przy co najmniej trzech kątach, w tym do przodu (10°–15°), z wielokątową analizą DLS – połączeniem danych z kilku kątów w jeden rozkład wielkości cząstek o zwiększonej rozdzielczości</w:t>
      </w:r>
    </w:p>
    <w:p w14:paraId="32E45F4C" w14:textId="77777777" w:rsidR="00252D7C" w:rsidRDefault="00252D7C" w:rsidP="00252D7C">
      <w:pPr>
        <w:pStyle w:val="Akapitzlist"/>
        <w:numPr>
          <w:ilvl w:val="0"/>
          <w:numId w:val="11"/>
        </w:numPr>
        <w:jc w:val="both"/>
      </w:pPr>
      <w:r>
        <w:t>Zakres pomiaru średnicy hydrodynamicznej: co najmniej od 0,3 nm do 15 µm (dopuszcza się uzyskanie górnej granicy zakresu w celi kapilarnej)</w:t>
      </w:r>
    </w:p>
    <w:p w14:paraId="7E28BAFA" w14:textId="77777777" w:rsidR="00252D7C" w:rsidRDefault="00252D7C" w:rsidP="00252D7C">
      <w:pPr>
        <w:pStyle w:val="Akapitzlist"/>
        <w:numPr>
          <w:ilvl w:val="0"/>
          <w:numId w:val="11"/>
        </w:numPr>
        <w:jc w:val="both"/>
      </w:pPr>
      <w:r>
        <w:t>Minimalne stężenie próbki: nie większe niż 0,1 mg/ml dla białka o masie ok. 15 kDa (np. lizozym)</w:t>
      </w:r>
    </w:p>
    <w:p w14:paraId="7B99F6E3" w14:textId="77777777" w:rsidR="00252D7C" w:rsidRDefault="00252D7C" w:rsidP="00252D7C">
      <w:pPr>
        <w:pStyle w:val="Akapitzlist"/>
        <w:numPr>
          <w:ilvl w:val="0"/>
          <w:numId w:val="11"/>
        </w:numPr>
        <w:jc w:val="both"/>
      </w:pPr>
      <w:r>
        <w:t>Maksymalne stężenie próbki: co najmniej 40% wag./obj.</w:t>
      </w:r>
    </w:p>
    <w:p w14:paraId="5CA15C39" w14:textId="77777777" w:rsidR="00252D7C" w:rsidRDefault="00252D7C" w:rsidP="00252D7C">
      <w:pPr>
        <w:pStyle w:val="Akapitzlist"/>
        <w:numPr>
          <w:ilvl w:val="0"/>
          <w:numId w:val="11"/>
        </w:numPr>
        <w:jc w:val="both"/>
      </w:pPr>
      <w:r>
        <w:t>Minimalna objętość próbki: nie większa niż 3 µl</w:t>
      </w:r>
    </w:p>
    <w:p w14:paraId="355BD6FE" w14:textId="77777777" w:rsidR="00252D7C" w:rsidRDefault="00252D7C" w:rsidP="00252D7C">
      <w:pPr>
        <w:pStyle w:val="Akapitzlist"/>
        <w:numPr>
          <w:ilvl w:val="0"/>
          <w:numId w:val="11"/>
        </w:numPr>
        <w:jc w:val="both"/>
      </w:pPr>
      <w:r>
        <w:t>Algorytm rejestracji i analizy danych DLS identyfikujący w czasie rzeczywistym przejściowe sygnały pochodzące od pojedynczych zanieczyszczeń (np. pyłu, agregatów, fragmentów komórek) i wyłączający je z analizy bez odrzucania całego pomiaru, pozwalający na uzyskanie powtarzalnych wyników w krótszym czasie niż przy standardowej korelacji</w:t>
      </w:r>
    </w:p>
    <w:p w14:paraId="1F539169" w14:textId="77777777" w:rsidR="00252D7C" w:rsidRDefault="00252D7C" w:rsidP="00252D7C">
      <w:pPr>
        <w:pStyle w:val="Akapitzlist"/>
        <w:numPr>
          <w:ilvl w:val="0"/>
          <w:numId w:val="11"/>
        </w:numPr>
        <w:jc w:val="both"/>
      </w:pPr>
      <w:r>
        <w:t>Automatyczna, regulowana przez urządzenie zmiana pozycji pomiarowej w celi w zależności od stężenia próbki, realizowana przy zachowaniu tego samego kąta rozpraszania (spójność danych dla próbek o różnych stężeniach)</w:t>
      </w:r>
    </w:p>
    <w:p w14:paraId="63FE3964" w14:textId="77777777" w:rsidR="007D6F81" w:rsidRPr="007D6F81" w:rsidRDefault="007D6F81" w:rsidP="007D6F81">
      <w:pPr>
        <w:spacing w:after="0" w:line="240" w:lineRule="auto"/>
        <w:jc w:val="both"/>
        <w:rPr>
          <w:rFonts w:ascii="Calibri" w:eastAsia="Times New Roman" w:hAnsi="Calibri" w:cs="Calibri"/>
          <w:kern w:val="0"/>
          <w:u w:val="single"/>
          <w:lang w:eastAsia="pl-PL"/>
          <w14:ligatures w14:val="none"/>
        </w:rPr>
      </w:pPr>
      <w:r>
        <w:rPr>
          <w:rFonts w:ascii="Calibri" w:eastAsia="Times New Roman" w:hAnsi="Calibri" w:cs="Calibri"/>
          <w:kern w:val="0"/>
          <w:u w:val="single"/>
          <w:lang w:eastAsia="pl-PL"/>
          <w14:ligatures w14:val="none"/>
        </w:rPr>
        <w:t>3.2. Pomiar potencjału zeta:</w:t>
      </w:r>
    </w:p>
    <w:p w14:paraId="2AEC9FC6" w14:textId="77777777" w:rsidR="00252D7C" w:rsidRDefault="00252D7C" w:rsidP="00252D7C">
      <w:pPr>
        <w:pStyle w:val="Akapitzlist"/>
        <w:numPr>
          <w:ilvl w:val="0"/>
          <w:numId w:val="12"/>
        </w:numPr>
        <w:jc w:val="both"/>
      </w:pPr>
      <w:r>
        <w:t xml:space="preserve">Technika pomiaru: elektroforetyczne rozpraszanie światła (ELS) z fazową analizą rozpraszania światła (PALS), z trybem pomiaru umożliwiającym jednoczesne </w:t>
      </w:r>
      <w:r>
        <w:lastRenderedPageBreak/>
        <w:t>wyznaczenie średniego potencjału zeta i jego rozkładu oraz z trybem przeznaczonym do pomiaru próbek o wysokiej przewodności</w:t>
      </w:r>
    </w:p>
    <w:p w14:paraId="52BA3EBA" w14:textId="77777777" w:rsidR="00252D7C" w:rsidRDefault="00252D7C" w:rsidP="00252D7C">
      <w:pPr>
        <w:pStyle w:val="Akapitzlist"/>
        <w:numPr>
          <w:ilvl w:val="0"/>
          <w:numId w:val="12"/>
        </w:numPr>
        <w:jc w:val="both"/>
      </w:pPr>
      <w:r>
        <w:t>Zakres potencjału zeta: bez praktycznych ograniczeń</w:t>
      </w:r>
    </w:p>
    <w:p w14:paraId="4E055091" w14:textId="77777777" w:rsidR="00252D7C" w:rsidRDefault="00252D7C" w:rsidP="00252D7C">
      <w:pPr>
        <w:pStyle w:val="Akapitzlist"/>
        <w:numPr>
          <w:ilvl w:val="0"/>
          <w:numId w:val="12"/>
        </w:numPr>
        <w:jc w:val="both"/>
      </w:pPr>
      <w:r>
        <w:t>Zakres wielkości cząstek przy pomiarze potencjału zeta: co najmniej od 5 nm do 50 µm (</w:t>
      </w:r>
      <w:r w:rsidRPr="00144C6B">
        <w:rPr>
          <w:b/>
          <w:bCs/>
        </w:rPr>
        <w:t>parametr punktowany: górna granica zakresu co najmniej 100 µm</w:t>
      </w:r>
      <w:r>
        <w:t>)</w:t>
      </w:r>
    </w:p>
    <w:p w14:paraId="3CF0B334" w14:textId="77777777" w:rsidR="00252D7C" w:rsidRDefault="00252D7C" w:rsidP="00252D7C">
      <w:pPr>
        <w:pStyle w:val="Akapitzlist"/>
        <w:numPr>
          <w:ilvl w:val="0"/>
          <w:numId w:val="12"/>
        </w:numPr>
        <w:jc w:val="both"/>
      </w:pPr>
      <w:r>
        <w:t>Czułość pomiaru potencjału zeta: nie gorsza niż 1 mg/ml dla białka o masie ok. 15 kDa</w:t>
      </w:r>
    </w:p>
    <w:p w14:paraId="79179446" w14:textId="77777777" w:rsidR="00252D7C" w:rsidRDefault="00252D7C" w:rsidP="00252D7C">
      <w:pPr>
        <w:pStyle w:val="Akapitzlist"/>
        <w:numPr>
          <w:ilvl w:val="0"/>
          <w:numId w:val="12"/>
        </w:numPr>
        <w:jc w:val="both"/>
      </w:pPr>
      <w:r>
        <w:t>Minimalna objętość próbki do pomiaru potencjału zeta: nie większa niż 100 µl (</w:t>
      </w:r>
      <w:r w:rsidRPr="00144C6B">
        <w:rPr>
          <w:b/>
          <w:bCs/>
        </w:rPr>
        <w:t>parametr punktowany: nie większa niż 20 µl</w:t>
      </w:r>
      <w:r>
        <w:t>)</w:t>
      </w:r>
    </w:p>
    <w:p w14:paraId="18A03F16" w14:textId="77777777" w:rsidR="00252D7C" w:rsidRDefault="00252D7C" w:rsidP="00252D7C">
      <w:pPr>
        <w:pStyle w:val="Akapitzlist"/>
        <w:numPr>
          <w:ilvl w:val="0"/>
          <w:numId w:val="12"/>
        </w:numPr>
        <w:jc w:val="both"/>
      </w:pPr>
      <w:r>
        <w:t>Maksymalna przewodność próbki: co najmniej 150 mS/cm (</w:t>
      </w:r>
      <w:r w:rsidRPr="00144C6B">
        <w:rPr>
          <w:b/>
          <w:bCs/>
        </w:rPr>
        <w:t>parametr punktowany: co najmniej 250 mS/cm</w:t>
      </w:r>
      <w:r>
        <w:t>)</w:t>
      </w:r>
    </w:p>
    <w:p w14:paraId="56A0F9FF" w14:textId="77777777" w:rsidR="00252D7C" w:rsidRDefault="00252D7C" w:rsidP="00252D7C">
      <w:pPr>
        <w:pStyle w:val="Akapitzlist"/>
        <w:numPr>
          <w:ilvl w:val="0"/>
          <w:numId w:val="12"/>
        </w:numPr>
        <w:jc w:val="both"/>
      </w:pPr>
      <w:r>
        <w:t>Pomiar przewodności próbki z dokładnością nie gorszą niż ±10%</w:t>
      </w:r>
    </w:p>
    <w:p w14:paraId="78A37EA7" w14:textId="77777777" w:rsidR="00252D7C" w:rsidRDefault="00252D7C" w:rsidP="00252D7C">
      <w:pPr>
        <w:pStyle w:val="Akapitzlist"/>
        <w:numPr>
          <w:ilvl w:val="0"/>
          <w:numId w:val="12"/>
        </w:numPr>
        <w:jc w:val="both"/>
      </w:pPr>
      <w:r>
        <w:t>Pomiar w jednorazowych celach; możliwość pomiaru próbek wrażliwych (np. białek) z izolacją próbki od elektrod (metoda bariery dyfuzyjnej lub równoważna)</w:t>
      </w:r>
    </w:p>
    <w:p w14:paraId="333ED6C3" w14:textId="77777777" w:rsidR="007D6F81" w:rsidRPr="007D6F81" w:rsidRDefault="007D6F81" w:rsidP="007D6F81">
      <w:pPr>
        <w:spacing w:after="0" w:line="240" w:lineRule="auto"/>
        <w:jc w:val="both"/>
        <w:rPr>
          <w:rFonts w:ascii="Calibri" w:eastAsia="Times New Roman" w:hAnsi="Calibri" w:cs="Calibri"/>
          <w:kern w:val="0"/>
          <w:u w:val="single"/>
          <w:lang w:eastAsia="pl-PL"/>
          <w14:ligatures w14:val="none"/>
        </w:rPr>
      </w:pPr>
      <w:r>
        <w:rPr>
          <w:rFonts w:ascii="Calibri" w:eastAsia="Times New Roman" w:hAnsi="Calibri" w:cs="Calibri"/>
          <w:kern w:val="0"/>
          <w:u w:val="single"/>
          <w:lang w:eastAsia="pl-PL"/>
          <w14:ligatures w14:val="none"/>
        </w:rPr>
        <w:t>3.3. Pomiar stężenia cząstek:</w:t>
      </w:r>
    </w:p>
    <w:p w14:paraId="0CC1C7B1" w14:textId="77777777" w:rsidR="00252D7C" w:rsidRDefault="00252D7C" w:rsidP="00252D7C">
      <w:pPr>
        <w:pStyle w:val="Akapitzlist"/>
        <w:numPr>
          <w:ilvl w:val="0"/>
          <w:numId w:val="13"/>
        </w:numPr>
        <w:jc w:val="both"/>
      </w:pPr>
      <w:r>
        <w:t>Pomiar stężenia cząstek bez kalibracji wzorcem, w zakresie co najmniej od 1 × 10⁸ do 1 × 10¹² cząstek/ml</w:t>
      </w:r>
    </w:p>
    <w:p w14:paraId="01168468" w14:textId="77777777" w:rsidR="007D6F81" w:rsidRPr="007D6F81" w:rsidRDefault="007D6F81" w:rsidP="007D6F81">
      <w:pPr>
        <w:spacing w:after="0" w:line="240" w:lineRule="auto"/>
        <w:jc w:val="both"/>
        <w:rPr>
          <w:rFonts w:ascii="Calibri" w:eastAsia="Times New Roman" w:hAnsi="Calibri" w:cs="Calibri"/>
          <w:kern w:val="0"/>
          <w:u w:val="single"/>
          <w:lang w:eastAsia="pl-PL"/>
          <w14:ligatures w14:val="none"/>
        </w:rPr>
      </w:pPr>
      <w:r>
        <w:rPr>
          <w:rFonts w:ascii="Calibri" w:eastAsia="Times New Roman" w:hAnsi="Calibri" w:cs="Calibri"/>
          <w:kern w:val="0"/>
          <w:u w:val="single"/>
          <w:lang w:eastAsia="pl-PL"/>
          <w14:ligatures w14:val="none"/>
        </w:rPr>
        <w:t>3.4. Pomiar masy cząsteczkowej:</w:t>
      </w:r>
    </w:p>
    <w:p w14:paraId="57E2389C" w14:textId="77777777" w:rsidR="00252D7C" w:rsidRDefault="00252D7C" w:rsidP="00252D7C">
      <w:pPr>
        <w:pStyle w:val="Akapitzlist"/>
        <w:numPr>
          <w:ilvl w:val="0"/>
          <w:numId w:val="14"/>
        </w:numPr>
        <w:jc w:val="both"/>
      </w:pPr>
      <w:r>
        <w:t>Pomiar masy cząsteczkowej metodą statycznego rozpraszania światła (SLS) w zakresie co najmniej od 300 Da do 20 MDa</w:t>
      </w:r>
    </w:p>
    <w:p w14:paraId="1CA2A6AC" w14:textId="77777777" w:rsidR="00252D7C" w:rsidRDefault="00252D7C" w:rsidP="00252D7C">
      <w:pPr>
        <w:pStyle w:val="Akapitzlist"/>
        <w:numPr>
          <w:ilvl w:val="0"/>
          <w:numId w:val="14"/>
        </w:numPr>
        <w:jc w:val="both"/>
      </w:pPr>
      <w:r>
        <w:t>Wyznaczanie parametru oddziaływań dyfuzyjnych kD metodą DLS</w:t>
      </w:r>
    </w:p>
    <w:p w14:paraId="26E0C5F0" w14:textId="77777777" w:rsidR="00252D7C" w:rsidRDefault="00252D7C" w:rsidP="00252D7C">
      <w:pPr>
        <w:pStyle w:val="Akapitzlist"/>
        <w:numPr>
          <w:ilvl w:val="0"/>
          <w:numId w:val="14"/>
        </w:numPr>
        <w:jc w:val="both"/>
      </w:pPr>
      <w:r>
        <w:t>Wyznaczanie drugiego współczynnika wirialnego (A2/B22) metodą SLS</w:t>
      </w:r>
    </w:p>
    <w:p w14:paraId="18165D89" w14:textId="77777777" w:rsidR="007D6F81" w:rsidRPr="007D6F81" w:rsidRDefault="007D6F81" w:rsidP="007D6F81">
      <w:pPr>
        <w:spacing w:after="0" w:line="240" w:lineRule="auto"/>
        <w:jc w:val="both"/>
        <w:rPr>
          <w:rFonts w:ascii="Calibri" w:eastAsia="Times New Roman" w:hAnsi="Calibri" w:cs="Calibri"/>
          <w:kern w:val="0"/>
          <w:u w:val="single"/>
          <w:lang w:eastAsia="pl-PL"/>
          <w14:ligatures w14:val="none"/>
        </w:rPr>
      </w:pPr>
      <w:r>
        <w:rPr>
          <w:rFonts w:ascii="Calibri" w:eastAsia="Times New Roman" w:hAnsi="Calibri" w:cs="Calibri"/>
          <w:kern w:val="0"/>
          <w:u w:val="single"/>
          <w:lang w:eastAsia="pl-PL"/>
          <w14:ligatures w14:val="none"/>
        </w:rPr>
        <w:t>3.5. Źródło światła i detekcja:</w:t>
      </w:r>
    </w:p>
    <w:p w14:paraId="2D0EFFFA" w14:textId="77777777" w:rsidR="00252D7C" w:rsidRDefault="00252D7C" w:rsidP="00252D7C">
      <w:pPr>
        <w:pStyle w:val="Akapitzlist"/>
        <w:numPr>
          <w:ilvl w:val="0"/>
          <w:numId w:val="15"/>
        </w:numPr>
        <w:jc w:val="both"/>
      </w:pPr>
      <w:r>
        <w:t>Laser o długości fali w zakresie od 600 do 800 nm i mocy co najmniej 10 mW</w:t>
      </w:r>
    </w:p>
    <w:p w14:paraId="337EDDEE" w14:textId="77777777" w:rsidR="00252D7C" w:rsidRDefault="00252D7C" w:rsidP="00252D7C">
      <w:pPr>
        <w:pStyle w:val="Akapitzlist"/>
        <w:numPr>
          <w:ilvl w:val="0"/>
          <w:numId w:val="15"/>
        </w:numPr>
        <w:jc w:val="both"/>
      </w:pPr>
      <w:r>
        <w:t>Wbudowany system automatycznego tłumienia wiązki laserowej w zakresie transmitancji co najmniej od 100% do 0,001%, dla optymalizacji natężenia sygnału na detektorze</w:t>
      </w:r>
    </w:p>
    <w:p w14:paraId="2514D193" w14:textId="77777777" w:rsidR="00252D7C" w:rsidRDefault="00252D7C" w:rsidP="00252D7C">
      <w:pPr>
        <w:pStyle w:val="Akapitzlist"/>
        <w:numPr>
          <w:ilvl w:val="0"/>
          <w:numId w:val="15"/>
        </w:numPr>
        <w:jc w:val="both"/>
      </w:pPr>
      <w:r>
        <w:t>Detektor: fotodioda lawinowa (APD) lub detektor o czułości nie gorszej</w:t>
      </w:r>
    </w:p>
    <w:p w14:paraId="2AB8AD46" w14:textId="77777777" w:rsidR="007D6F81" w:rsidRPr="007D6F81" w:rsidRDefault="007D6F81" w:rsidP="007D6F81">
      <w:pPr>
        <w:spacing w:after="0" w:line="240" w:lineRule="auto"/>
        <w:jc w:val="both"/>
        <w:rPr>
          <w:rFonts w:ascii="Calibri" w:eastAsia="Times New Roman" w:hAnsi="Calibri" w:cs="Calibri"/>
          <w:kern w:val="0"/>
          <w:u w:val="single"/>
          <w:lang w:eastAsia="pl-PL"/>
          <w14:ligatures w14:val="none"/>
        </w:rPr>
      </w:pPr>
      <w:r>
        <w:rPr>
          <w:rFonts w:ascii="Calibri" w:eastAsia="Times New Roman" w:hAnsi="Calibri" w:cs="Calibri"/>
          <w:kern w:val="0"/>
          <w:u w:val="single"/>
          <w:lang w:eastAsia="pl-PL"/>
          <w14:ligatures w14:val="none"/>
        </w:rPr>
        <w:t>3.6. Inne cechy i wyposażenie (dostarczane w ramach zamówienia):</w:t>
      </w:r>
    </w:p>
    <w:p w14:paraId="09DC2B1A" w14:textId="77777777" w:rsidR="00252D7C" w:rsidRDefault="00252D7C" w:rsidP="00252D7C">
      <w:pPr>
        <w:pStyle w:val="Akapitzlist"/>
        <w:numPr>
          <w:ilvl w:val="0"/>
          <w:numId w:val="16"/>
        </w:numPr>
        <w:jc w:val="both"/>
      </w:pPr>
      <w:r>
        <w:t>Kontrola temperatury próbki w zakresie co najmniej od 0 do 120°C</w:t>
      </w:r>
    </w:p>
    <w:p w14:paraId="5E6E41A9" w14:textId="77777777" w:rsidR="00252D7C" w:rsidRDefault="00252D7C" w:rsidP="00252D7C">
      <w:pPr>
        <w:pStyle w:val="Akapitzlist"/>
        <w:numPr>
          <w:ilvl w:val="0"/>
          <w:numId w:val="16"/>
        </w:numPr>
        <w:jc w:val="both"/>
      </w:pPr>
      <w:r>
        <w:t>Wbudowany w aparat, przełączany automatycznie z poziomu oprogramowania, zestaw filtrów optycznych obejmujący wąskopasmowy filtr fluorescencyjny dopasowany do długości fali lasera oraz polaryzatory pionowy i poziomy (pomiar depolaryzowanego DLS)</w:t>
      </w:r>
    </w:p>
    <w:p w14:paraId="46D9D998" w14:textId="77777777" w:rsidR="00252D7C" w:rsidRDefault="00252D7C" w:rsidP="00252D7C">
      <w:pPr>
        <w:pStyle w:val="Akapitzlist"/>
        <w:numPr>
          <w:ilvl w:val="0"/>
          <w:numId w:val="16"/>
        </w:numPr>
        <w:jc w:val="both"/>
      </w:pPr>
      <w:r>
        <w:t>Przystawka (cela kapilarna) do pomiaru wielkości cząstek w objętości próbki nie większej niż 3 µl</w:t>
      </w:r>
    </w:p>
    <w:p w14:paraId="2E7D76F5" w14:textId="77777777" w:rsidR="00252D7C" w:rsidRDefault="00252D7C" w:rsidP="00252D7C">
      <w:pPr>
        <w:pStyle w:val="Akapitzlist"/>
        <w:numPr>
          <w:ilvl w:val="0"/>
          <w:numId w:val="16"/>
        </w:numPr>
        <w:jc w:val="both"/>
      </w:pPr>
      <w:r>
        <w:lastRenderedPageBreak/>
        <w:t>Przystawka (cela zanurzeniowa) do pomiaru potencjału zeta w rozpuszczalnikach organicznych</w:t>
      </w:r>
    </w:p>
    <w:p w14:paraId="1E496D92" w14:textId="77777777" w:rsidR="00252D7C" w:rsidRDefault="00252D7C" w:rsidP="00252D7C">
      <w:pPr>
        <w:pStyle w:val="Akapitzlist"/>
        <w:numPr>
          <w:ilvl w:val="0"/>
          <w:numId w:val="16"/>
        </w:numPr>
        <w:jc w:val="both"/>
      </w:pPr>
      <w:r>
        <w:t>Przystawka (cela) do pomiaru potencjału zeta w próbkach o wysokim stężeniu (co najmniej do 40% wag./obj.)</w:t>
      </w:r>
    </w:p>
    <w:p w14:paraId="01FD4858" w14:textId="77777777" w:rsidR="007D6F81" w:rsidRPr="007D6F81" w:rsidRDefault="007D6F81" w:rsidP="007D6F81">
      <w:pPr>
        <w:spacing w:after="0" w:line="240" w:lineRule="auto"/>
        <w:jc w:val="both"/>
        <w:rPr>
          <w:rFonts w:ascii="Calibri" w:eastAsia="Times New Roman" w:hAnsi="Calibri" w:cs="Calibri"/>
          <w:kern w:val="0"/>
          <w:u w:val="single"/>
          <w:lang w:eastAsia="pl-PL"/>
          <w14:ligatures w14:val="none"/>
        </w:rPr>
      </w:pPr>
      <w:r>
        <w:rPr>
          <w:rFonts w:ascii="Calibri" w:eastAsia="Times New Roman" w:hAnsi="Calibri" w:cs="Calibri"/>
          <w:kern w:val="0"/>
          <w:u w:val="single"/>
          <w:lang w:eastAsia="pl-PL"/>
          <w14:ligatures w14:val="none"/>
        </w:rPr>
        <w:t>3.7. Możliwość rozbudowy o autosampler (nie jest przedmiotem dostawy):</w:t>
      </w:r>
    </w:p>
    <w:p w14:paraId="6CCD0453" w14:textId="77777777" w:rsidR="00252D7C" w:rsidRDefault="00252D7C" w:rsidP="00252D7C">
      <w:pPr>
        <w:pStyle w:val="Akapitzlist"/>
        <w:numPr>
          <w:ilvl w:val="0"/>
          <w:numId w:val="17"/>
        </w:numPr>
        <w:jc w:val="both"/>
      </w:pPr>
      <w:r>
        <w:t>Autosampler sterowany z poziomu oprogramowania aparatu, do zautomatyzowania pomiarów wielkości, stężenia i potencjału zeta cząstek</w:t>
      </w:r>
    </w:p>
    <w:p w14:paraId="102BD261" w14:textId="77777777" w:rsidR="00252D7C" w:rsidRDefault="00252D7C" w:rsidP="00252D7C">
      <w:pPr>
        <w:pStyle w:val="Akapitzlist"/>
        <w:numPr>
          <w:ilvl w:val="0"/>
          <w:numId w:val="17"/>
        </w:numPr>
        <w:jc w:val="both"/>
      </w:pPr>
      <w:r>
        <w:t>Obsługa płytek wielodołkowych, w tym płytek na standardowe kuwety do pomiaru wielkości i na cele do pomiaru potencjału zeta</w:t>
      </w:r>
    </w:p>
    <w:p w14:paraId="7C327EC5" w14:textId="77777777" w:rsidR="00252D7C" w:rsidRDefault="00252D7C" w:rsidP="00252D7C">
      <w:pPr>
        <w:pStyle w:val="Akapitzlist"/>
        <w:numPr>
          <w:ilvl w:val="0"/>
          <w:numId w:val="17"/>
        </w:numPr>
        <w:jc w:val="both"/>
      </w:pPr>
      <w:r>
        <w:t>Możliwość termostatowania próbek w podajniku poniżej temperatury otoczenia</w:t>
      </w:r>
    </w:p>
    <w:p w14:paraId="383639DD" w14:textId="77777777" w:rsidR="007D6F81" w:rsidRPr="007D6F81" w:rsidRDefault="007D6F81" w:rsidP="007D6F81">
      <w:pPr>
        <w:spacing w:after="0" w:line="240" w:lineRule="auto"/>
        <w:jc w:val="both"/>
        <w:rPr>
          <w:rFonts w:ascii="Calibri" w:eastAsia="Times New Roman" w:hAnsi="Calibri" w:cs="Calibri"/>
          <w:kern w:val="0"/>
          <w:u w:val="single"/>
          <w:lang w:eastAsia="pl-PL"/>
          <w14:ligatures w14:val="none"/>
        </w:rPr>
      </w:pPr>
      <w:r>
        <w:rPr>
          <w:rFonts w:ascii="Calibri" w:eastAsia="Times New Roman" w:hAnsi="Calibri" w:cs="Calibri"/>
          <w:kern w:val="0"/>
          <w:u w:val="single"/>
          <w:lang w:eastAsia="pl-PL"/>
          <w14:ligatures w14:val="none"/>
        </w:rPr>
        <w:t>3.8. Możliwość rozbudowy o autotitrator (nie jest przedmiotem dostawy):</w:t>
      </w:r>
    </w:p>
    <w:p w14:paraId="13569526" w14:textId="77777777" w:rsidR="00252D7C" w:rsidRDefault="00252D7C" w:rsidP="00252D7C">
      <w:pPr>
        <w:pStyle w:val="Akapitzlist"/>
        <w:numPr>
          <w:ilvl w:val="0"/>
          <w:numId w:val="18"/>
        </w:numPr>
        <w:jc w:val="both"/>
      </w:pPr>
      <w:r>
        <w:t>Autotitrator sterowany z poziomu oprogramowania aparatu, z co najmniej trzema niezależnymi dozownikami titrantów, pomiarem pH, mieszaniem próbki i automatycznym odgazowaniem titrantów</w:t>
      </w:r>
    </w:p>
    <w:p w14:paraId="7BA49FAE" w14:textId="77777777" w:rsidR="00252D7C" w:rsidRDefault="00252D7C" w:rsidP="00252D7C">
      <w:pPr>
        <w:pStyle w:val="Akapitzlist"/>
        <w:numPr>
          <w:ilvl w:val="0"/>
          <w:numId w:val="18"/>
        </w:numPr>
        <w:jc w:val="both"/>
      </w:pPr>
      <w:r>
        <w:t>Zakres pH: co najmniej 1–13; wymagana objętość próbki: nie większa niż 10 ml</w:t>
      </w:r>
    </w:p>
    <w:p w14:paraId="758EBDFC" w14:textId="77777777" w:rsidR="00252D7C" w:rsidRDefault="00252D7C" w:rsidP="00252D7C">
      <w:pPr>
        <w:pStyle w:val="Akapitzlist"/>
        <w:numPr>
          <w:ilvl w:val="0"/>
          <w:numId w:val="18"/>
        </w:numPr>
        <w:jc w:val="both"/>
      </w:pPr>
      <w:r>
        <w:t>Automatyczne wyznaczanie punktu izoelektrycznego</w:t>
      </w:r>
    </w:p>
    <w:p w14:paraId="001B5C6B" w14:textId="77777777" w:rsidR="007D6F81" w:rsidRPr="007D6F81" w:rsidRDefault="007D6F81" w:rsidP="007D6F81">
      <w:pPr>
        <w:spacing w:after="0" w:line="240" w:lineRule="auto"/>
        <w:jc w:val="both"/>
        <w:rPr>
          <w:rFonts w:ascii="Calibri" w:eastAsia="Times New Roman" w:hAnsi="Calibri" w:cs="Calibri"/>
          <w:kern w:val="0"/>
          <w:u w:val="single"/>
          <w:lang w:eastAsia="pl-PL"/>
          <w14:ligatures w14:val="none"/>
        </w:rPr>
      </w:pPr>
      <w:r>
        <w:rPr>
          <w:rFonts w:ascii="Calibri" w:eastAsia="Times New Roman" w:hAnsi="Calibri" w:cs="Calibri"/>
          <w:kern w:val="0"/>
          <w:u w:val="single"/>
          <w:lang w:eastAsia="pl-PL"/>
          <w14:ligatures w14:val="none"/>
        </w:rPr>
        <w:t>3.9. Jednostka sterująca i oprogramowanie:</w:t>
      </w:r>
    </w:p>
    <w:p w14:paraId="34B52FB1" w14:textId="2ADD42FB" w:rsidR="00252D7C" w:rsidRDefault="00252D7C" w:rsidP="00252D7C">
      <w:pPr>
        <w:pStyle w:val="Akapitzlist"/>
        <w:numPr>
          <w:ilvl w:val="0"/>
          <w:numId w:val="19"/>
        </w:numPr>
        <w:jc w:val="both"/>
      </w:pPr>
      <w:r>
        <w:t>Komputer do sterowania urządzeniem oraz obróbki danych: system operacyjny Windows 11 64-bit lub nowszy</w:t>
      </w:r>
      <w:r w:rsidR="0017324F">
        <w:t xml:space="preserve"> lub równoważny</w:t>
      </w:r>
      <w:r>
        <w:t>, w pełni kompatybilny z oprogramowaniem aparatu; pamięć RAM co najmniej 16 GB; dysk SSD co najmniej 512 GB; monitor co najmniej 23 cale; klawiatura i mysz</w:t>
      </w:r>
      <w:r w:rsidR="0017324F">
        <w:t xml:space="preserve"> (</w:t>
      </w:r>
      <w:r w:rsidR="0017324F" w:rsidRPr="0017324F">
        <w:rPr>
          <w:b/>
          <w:bCs/>
        </w:rPr>
        <w:t>Należy podać producenta i model oferowanego sprzętu – co najmniej pamięci RAM, dysku SSD oraz monitora, klawiatury i myszy</w:t>
      </w:r>
      <w:r w:rsidR="0017324F">
        <w:t>)</w:t>
      </w:r>
    </w:p>
    <w:p w14:paraId="25F36355" w14:textId="59EF1E08" w:rsidR="00252D7C" w:rsidRDefault="00252D7C" w:rsidP="00252D7C">
      <w:pPr>
        <w:pStyle w:val="Akapitzlist"/>
        <w:numPr>
          <w:ilvl w:val="0"/>
          <w:numId w:val="19"/>
        </w:numPr>
        <w:jc w:val="both"/>
      </w:pPr>
      <w:r>
        <w:t xml:space="preserve">Oprogramowanie sterujące w języku angielskim lub polskim, pracujące w </w:t>
      </w:r>
      <w:r w:rsidR="0017324F">
        <w:t xml:space="preserve">użytkowanym przez Zamawiającego </w:t>
      </w:r>
      <w:r>
        <w:t>środowisku Windows, z licencją do analizy danych bez ograniczenia liczby stanowisk, z bezpłatnym dostępem do aktualizacji</w:t>
      </w:r>
    </w:p>
    <w:p w14:paraId="0536876E" w14:textId="77777777" w:rsidR="00252D7C" w:rsidRDefault="00252D7C" w:rsidP="00252D7C">
      <w:pPr>
        <w:pStyle w:val="Akapitzlist"/>
        <w:numPr>
          <w:ilvl w:val="0"/>
          <w:numId w:val="19"/>
        </w:numPr>
        <w:jc w:val="both"/>
      </w:pPr>
      <w:r>
        <w:t>Oprogramowanie umożliwiające: generowanie rozkładów wielkości cząstek i potencjału zeta w formie graficznej i tabelarycznej, eksport danych do innych aplikacji, generowanie raportów i tworzenie własnych szablonów raportów</w:t>
      </w:r>
    </w:p>
    <w:p w14:paraId="17F62862" w14:textId="77777777" w:rsidR="00252D7C" w:rsidRDefault="00252D7C" w:rsidP="00252D7C">
      <w:pPr>
        <w:pStyle w:val="Akapitzlist"/>
        <w:numPr>
          <w:ilvl w:val="0"/>
          <w:numId w:val="19"/>
        </w:numPr>
        <w:jc w:val="both"/>
      </w:pPr>
      <w:r>
        <w:t>Oprogramowanie umożliwiające prowadzenie pomiarów z użyciem standardowych procedur pomiarowych (SOP) oraz automatyczny dobór parametrów pomiarowych w zależności od natężenia rozpraszanego światła</w:t>
      </w:r>
    </w:p>
    <w:p w14:paraId="5977EB87" w14:textId="77777777" w:rsidR="00252D7C" w:rsidRDefault="00252D7C" w:rsidP="00252D7C">
      <w:pPr>
        <w:pStyle w:val="Akapitzlist"/>
        <w:numPr>
          <w:ilvl w:val="0"/>
          <w:numId w:val="19"/>
        </w:numPr>
        <w:jc w:val="both"/>
      </w:pPr>
      <w:r>
        <w:t>Oprogramowanie wyposażone w system oceny jakości danych pomiarowych, wykorzystujący algorytmy uczenia maszynowego, przekazujący operatorowi zalecenia i wspomagający interpretację wyników</w:t>
      </w:r>
    </w:p>
    <w:p w14:paraId="68936F29" w14:textId="77777777" w:rsidR="007D6F81" w:rsidRPr="007D6F81" w:rsidRDefault="007D6F81" w:rsidP="007D6F81">
      <w:pPr>
        <w:spacing w:after="0" w:line="240" w:lineRule="auto"/>
        <w:jc w:val="both"/>
        <w:rPr>
          <w:rFonts w:ascii="Calibri" w:eastAsia="Times New Roman" w:hAnsi="Calibri" w:cs="Calibri"/>
          <w:kern w:val="0"/>
          <w:u w:val="single"/>
          <w:lang w:eastAsia="pl-PL"/>
          <w14:ligatures w14:val="none"/>
        </w:rPr>
      </w:pPr>
      <w:r>
        <w:rPr>
          <w:rFonts w:ascii="Calibri" w:eastAsia="Times New Roman" w:hAnsi="Calibri" w:cs="Calibri"/>
          <w:kern w:val="0"/>
          <w:u w:val="single"/>
          <w:lang w:eastAsia="pl-PL"/>
          <w14:ligatures w14:val="none"/>
        </w:rPr>
        <w:lastRenderedPageBreak/>
        <w:t>3.10. Materiały eksploatacyjne (w cenie oferty):</w:t>
      </w:r>
    </w:p>
    <w:p w14:paraId="7B1C5EEB" w14:textId="77777777" w:rsidR="00252D7C" w:rsidRDefault="00252D7C" w:rsidP="00252D7C">
      <w:pPr>
        <w:pStyle w:val="Akapitzlist"/>
        <w:numPr>
          <w:ilvl w:val="0"/>
          <w:numId w:val="20"/>
        </w:numPr>
        <w:jc w:val="both"/>
      </w:pPr>
      <w:r>
        <w:t>100 sztuk jednorazowych, plastikowych kuwet o objętości ok. 1 ml do pomiaru wielkości cząstek</w:t>
      </w:r>
    </w:p>
    <w:p w14:paraId="0A725436" w14:textId="77777777" w:rsidR="00252D7C" w:rsidRDefault="00252D7C" w:rsidP="00252D7C">
      <w:pPr>
        <w:pStyle w:val="Akapitzlist"/>
        <w:numPr>
          <w:ilvl w:val="0"/>
          <w:numId w:val="20"/>
        </w:numPr>
        <w:jc w:val="both"/>
      </w:pPr>
      <w:r>
        <w:t>100 sztuk jednorazowych, plastikowych kuwet o objętości próbki nie większej niż 40 µl do pomiaru wielkości cząstek</w:t>
      </w:r>
    </w:p>
    <w:p w14:paraId="5F155263" w14:textId="77777777" w:rsidR="00252D7C" w:rsidRDefault="00252D7C" w:rsidP="00252D7C">
      <w:pPr>
        <w:pStyle w:val="Akapitzlist"/>
        <w:numPr>
          <w:ilvl w:val="0"/>
          <w:numId w:val="20"/>
        </w:numPr>
        <w:jc w:val="both"/>
      </w:pPr>
      <w:r>
        <w:t>1 szklana kuweta o objętości ok. 1 ml (z okrągłym otworem) do pomiaru wielkości cząstek i masy cząsteczkowej</w:t>
      </w:r>
    </w:p>
    <w:p w14:paraId="500697B3" w14:textId="77777777" w:rsidR="00252D7C" w:rsidRDefault="00252D7C" w:rsidP="00252D7C">
      <w:pPr>
        <w:pStyle w:val="Akapitzlist"/>
        <w:numPr>
          <w:ilvl w:val="0"/>
          <w:numId w:val="20"/>
        </w:numPr>
        <w:jc w:val="both"/>
      </w:pPr>
      <w:r>
        <w:t>1 kwarcowa kuweta mikroobjętościowa o objętości próbki nie większej niż 12 µl</w:t>
      </w:r>
    </w:p>
    <w:p w14:paraId="27F691E9" w14:textId="77777777" w:rsidR="00252D7C" w:rsidRDefault="00252D7C" w:rsidP="00252D7C">
      <w:pPr>
        <w:pStyle w:val="Akapitzlist"/>
        <w:numPr>
          <w:ilvl w:val="0"/>
          <w:numId w:val="20"/>
        </w:numPr>
        <w:jc w:val="both"/>
      </w:pPr>
      <w:r>
        <w:t>30 sztuk jednorazowych cel do pomiaru potencjału zeta</w:t>
      </w:r>
    </w:p>
    <w:sectPr w:rsidR="00252D7C">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AA5278" w14:textId="77777777" w:rsidR="00C463F1" w:rsidRDefault="00C463F1" w:rsidP="00392952">
      <w:pPr>
        <w:spacing w:after="0" w:line="240" w:lineRule="auto"/>
      </w:pPr>
      <w:r>
        <w:separator/>
      </w:r>
    </w:p>
  </w:endnote>
  <w:endnote w:type="continuationSeparator" w:id="0">
    <w:p w14:paraId="70454FC4" w14:textId="77777777" w:rsidR="00C463F1" w:rsidRDefault="00C463F1" w:rsidP="003929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Semilight">
    <w:panose1 w:val="020B0402040204020203"/>
    <w:charset w:val="EE"/>
    <w:family w:val="swiss"/>
    <w:pitch w:val="variable"/>
    <w:sig w:usb0="E4002EFF" w:usb1="C000E47F"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76686D" w14:textId="77777777" w:rsidR="00C463F1" w:rsidRDefault="00C463F1" w:rsidP="00392952">
      <w:pPr>
        <w:spacing w:after="0" w:line="240" w:lineRule="auto"/>
      </w:pPr>
      <w:r>
        <w:separator/>
      </w:r>
    </w:p>
  </w:footnote>
  <w:footnote w:type="continuationSeparator" w:id="0">
    <w:p w14:paraId="563195AC" w14:textId="77777777" w:rsidR="00C463F1" w:rsidRDefault="00C463F1" w:rsidP="003929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EE5375" w14:textId="280483BA" w:rsidR="00E33377" w:rsidRDefault="00E33377" w:rsidP="00392952">
    <w:pPr>
      <w:pStyle w:val="Nagwek"/>
      <w:jc w:val="right"/>
    </w:pPr>
    <w:r>
      <w:rPr>
        <w:rFonts w:eastAsia="Times New Roman" w:cstheme="minorHAnsi"/>
        <w:b/>
        <w:bCs/>
        <w:noProof/>
        <w:color w:val="000000"/>
        <w:sz w:val="27"/>
        <w:szCs w:val="27"/>
        <w:lang w:eastAsia="pl-PL"/>
      </w:rPr>
      <w:drawing>
        <wp:inline distT="0" distB="0" distL="0" distR="0" wp14:anchorId="503E3057" wp14:editId="6ABE13AC">
          <wp:extent cx="5760720" cy="494030"/>
          <wp:effectExtent l="0" t="0" r="0" b="127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720" cy="494030"/>
                  </a:xfrm>
                  <a:prstGeom prst="rect">
                    <a:avLst/>
                  </a:prstGeom>
                  <a:noFill/>
                </pic:spPr>
              </pic:pic>
            </a:graphicData>
          </a:graphic>
        </wp:inline>
      </w:drawing>
    </w:r>
  </w:p>
  <w:p w14:paraId="0860FC12" w14:textId="77777777" w:rsidR="00E33377" w:rsidRDefault="00E33377" w:rsidP="00392952">
    <w:pPr>
      <w:pStyle w:val="Nagwek"/>
      <w:jc w:val="right"/>
    </w:pPr>
  </w:p>
  <w:p w14:paraId="7696062A" w14:textId="1636C9F4" w:rsidR="00392952" w:rsidRDefault="00392952" w:rsidP="00392952">
    <w:pPr>
      <w:pStyle w:val="Nagwek"/>
      <w:jc w:val="right"/>
    </w:pPr>
    <w:r>
      <w:t>Załącznik nr 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17F019B8"/>
    <w:multiLevelType w:val="hybridMultilevel"/>
    <w:tmpl w:val="975415AC"/>
    <w:lvl w:ilvl="0" w:tplc="3DB6E97E">
      <w:start w:val="1"/>
      <w:numFmt w:val="decimal"/>
      <w:lvlText w:val="%1."/>
      <w:lvlJc w:val="left"/>
      <w:pPr>
        <w:ind w:left="709" w:hanging="348"/>
        <w:jc w:val="left"/>
      </w:pPr>
      <w:rPr>
        <w:rFonts w:ascii="Times New Roman" w:eastAsia="Times New Roman" w:hAnsi="Times New Roman" w:cs="Times New Roman" w:hint="default"/>
        <w:b w:val="0"/>
        <w:bCs w:val="0"/>
        <w:i w:val="0"/>
        <w:iCs w:val="0"/>
        <w:spacing w:val="0"/>
        <w:w w:val="100"/>
        <w:sz w:val="22"/>
        <w:szCs w:val="22"/>
        <w:lang w:val="pl-PL"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CAA5D83"/>
    <w:multiLevelType w:val="hybridMultilevel"/>
    <w:tmpl w:val="82708130"/>
    <w:lvl w:ilvl="0" w:tplc="0415000F">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 w15:restartNumberingAfterBreak="0">
    <w:nsid w:val="33980C87"/>
    <w:multiLevelType w:val="hybridMultilevel"/>
    <w:tmpl w:val="B19656D0"/>
    <w:lvl w:ilvl="0" w:tplc="0415000F">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 w15:restartNumberingAfterBreak="0">
    <w:nsid w:val="497D001F"/>
    <w:multiLevelType w:val="hybridMultilevel"/>
    <w:tmpl w:val="B4FE1B0C"/>
    <w:lvl w:ilvl="0" w:tplc="0F44ED42">
      <w:start w:val="1"/>
      <w:numFmt w:val="lowerLetter"/>
      <w:lvlText w:val="%1."/>
      <w:lvlJc w:val="left"/>
      <w:pPr>
        <w:ind w:left="1278" w:hanging="286"/>
        <w:jc w:val="left"/>
      </w:pPr>
      <w:rPr>
        <w:rFonts w:asciiTheme="minorHAnsi" w:eastAsia="Times New Roman" w:hAnsiTheme="minorHAnsi" w:cstheme="minorHAnsi" w:hint="default"/>
        <w:b w:val="0"/>
        <w:bCs w:val="0"/>
        <w:i w:val="0"/>
        <w:iCs w:val="0"/>
        <w:spacing w:val="0"/>
        <w:w w:val="100"/>
        <w:sz w:val="22"/>
        <w:szCs w:val="22"/>
        <w:lang w:val="pl-PL" w:eastAsia="en-US" w:bidi="ar-SA"/>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526A0171"/>
    <w:multiLevelType w:val="hybridMultilevel"/>
    <w:tmpl w:val="B4FE1B0C"/>
    <w:lvl w:ilvl="0" w:tplc="FFFFFFFF">
      <w:start w:val="1"/>
      <w:numFmt w:val="lowerLetter"/>
      <w:lvlText w:val="%1."/>
      <w:lvlJc w:val="left"/>
      <w:pPr>
        <w:ind w:left="1278" w:hanging="286"/>
        <w:jc w:val="left"/>
      </w:pPr>
      <w:rPr>
        <w:rFonts w:asciiTheme="minorHAnsi" w:eastAsia="Times New Roman" w:hAnsiTheme="minorHAnsi" w:cstheme="minorHAnsi" w:hint="default"/>
        <w:b w:val="0"/>
        <w:bCs w:val="0"/>
        <w:i w:val="0"/>
        <w:iCs w:val="0"/>
        <w:spacing w:val="0"/>
        <w:w w:val="100"/>
        <w:sz w:val="22"/>
        <w:szCs w:val="22"/>
        <w:lang w:val="pl-PL" w:eastAsia="en-US" w:bidi="ar-SA"/>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582B235B"/>
    <w:multiLevelType w:val="hybridMultilevel"/>
    <w:tmpl w:val="791CA5D2"/>
    <w:lvl w:ilvl="0" w:tplc="FFFFFFFF">
      <w:start w:val="1"/>
      <w:numFmt w:val="upperRoman"/>
      <w:lvlText w:val="%1."/>
      <w:lvlJc w:val="left"/>
      <w:pPr>
        <w:ind w:left="198" w:hanging="197"/>
        <w:jc w:val="left"/>
      </w:pPr>
      <w:rPr>
        <w:rFonts w:ascii="Times New Roman" w:eastAsia="Times New Roman" w:hAnsi="Times New Roman" w:cs="Times New Roman" w:hint="default"/>
        <w:b/>
        <w:bCs/>
        <w:i w:val="0"/>
        <w:iCs w:val="0"/>
        <w:spacing w:val="0"/>
        <w:w w:val="100"/>
        <w:sz w:val="22"/>
        <w:szCs w:val="22"/>
        <w:lang w:val="pl-PL" w:eastAsia="en-US" w:bidi="ar-SA"/>
      </w:rPr>
    </w:lvl>
    <w:lvl w:ilvl="1" w:tplc="FFFFFFFF">
      <w:start w:val="1"/>
      <w:numFmt w:val="decimal"/>
      <w:lvlText w:val="%2."/>
      <w:lvlJc w:val="left"/>
      <w:pPr>
        <w:ind w:left="709" w:hanging="348"/>
        <w:jc w:val="left"/>
      </w:pPr>
      <w:rPr>
        <w:rFonts w:ascii="Times New Roman" w:eastAsia="Times New Roman" w:hAnsi="Times New Roman" w:cs="Times New Roman" w:hint="default"/>
        <w:b w:val="0"/>
        <w:bCs w:val="0"/>
        <w:i w:val="0"/>
        <w:iCs w:val="0"/>
        <w:spacing w:val="0"/>
        <w:w w:val="100"/>
        <w:sz w:val="22"/>
        <w:szCs w:val="22"/>
        <w:lang w:val="pl-PL" w:eastAsia="en-US" w:bidi="ar-SA"/>
      </w:rPr>
    </w:lvl>
    <w:lvl w:ilvl="2" w:tplc="FFFFFFFF">
      <w:start w:val="1"/>
      <w:numFmt w:val="lowerLetter"/>
      <w:lvlText w:val="%3."/>
      <w:lvlJc w:val="left"/>
      <w:pPr>
        <w:ind w:left="1278" w:hanging="286"/>
        <w:jc w:val="left"/>
      </w:pPr>
      <w:rPr>
        <w:rFonts w:asciiTheme="minorHAnsi" w:eastAsia="Times New Roman" w:hAnsiTheme="minorHAnsi" w:cstheme="minorHAnsi" w:hint="default"/>
        <w:b w:val="0"/>
        <w:bCs w:val="0"/>
        <w:i w:val="0"/>
        <w:iCs w:val="0"/>
        <w:spacing w:val="0"/>
        <w:w w:val="100"/>
        <w:sz w:val="22"/>
        <w:szCs w:val="22"/>
        <w:lang w:val="pl-PL" w:eastAsia="en-US" w:bidi="ar-SA"/>
      </w:rPr>
    </w:lvl>
    <w:lvl w:ilvl="3" w:tplc="FFFFFFFF">
      <w:numFmt w:val="bullet"/>
      <w:lvlText w:val="-"/>
      <w:lvlJc w:val="left"/>
      <w:pPr>
        <w:ind w:left="1703" w:hanging="284"/>
      </w:pPr>
      <w:rPr>
        <w:rFonts w:ascii="Segoe UI Semilight" w:eastAsia="Segoe UI Semilight" w:hAnsi="Segoe UI Semilight" w:cs="Segoe UI Semilight" w:hint="default"/>
        <w:spacing w:val="0"/>
        <w:w w:val="100"/>
        <w:lang w:val="pl-PL" w:eastAsia="en-US" w:bidi="ar-SA"/>
      </w:rPr>
    </w:lvl>
    <w:lvl w:ilvl="4" w:tplc="FFFFFFFF">
      <w:numFmt w:val="bullet"/>
      <w:lvlText w:val="•"/>
      <w:lvlJc w:val="left"/>
      <w:pPr>
        <w:ind w:left="2774" w:hanging="284"/>
      </w:pPr>
      <w:rPr>
        <w:rFonts w:hint="default"/>
        <w:lang w:val="pl-PL" w:eastAsia="en-US" w:bidi="ar-SA"/>
      </w:rPr>
    </w:lvl>
    <w:lvl w:ilvl="5" w:tplc="FFFFFFFF">
      <w:numFmt w:val="bullet"/>
      <w:lvlText w:val="•"/>
      <w:lvlJc w:val="left"/>
      <w:pPr>
        <w:ind w:left="3849" w:hanging="284"/>
      </w:pPr>
      <w:rPr>
        <w:rFonts w:hint="default"/>
        <w:lang w:val="pl-PL" w:eastAsia="en-US" w:bidi="ar-SA"/>
      </w:rPr>
    </w:lvl>
    <w:lvl w:ilvl="6" w:tplc="FFFFFFFF">
      <w:numFmt w:val="bullet"/>
      <w:lvlText w:val="•"/>
      <w:lvlJc w:val="left"/>
      <w:pPr>
        <w:ind w:left="4923" w:hanging="284"/>
      </w:pPr>
      <w:rPr>
        <w:rFonts w:hint="default"/>
        <w:lang w:val="pl-PL" w:eastAsia="en-US" w:bidi="ar-SA"/>
      </w:rPr>
    </w:lvl>
    <w:lvl w:ilvl="7" w:tplc="FFFFFFFF">
      <w:numFmt w:val="bullet"/>
      <w:lvlText w:val="•"/>
      <w:lvlJc w:val="left"/>
      <w:pPr>
        <w:ind w:left="5998" w:hanging="284"/>
      </w:pPr>
      <w:rPr>
        <w:rFonts w:hint="default"/>
        <w:lang w:val="pl-PL" w:eastAsia="en-US" w:bidi="ar-SA"/>
      </w:rPr>
    </w:lvl>
    <w:lvl w:ilvl="8" w:tplc="FFFFFFFF">
      <w:numFmt w:val="bullet"/>
      <w:lvlText w:val="•"/>
      <w:lvlJc w:val="left"/>
      <w:pPr>
        <w:ind w:left="7072" w:hanging="284"/>
      </w:pPr>
      <w:rPr>
        <w:rFonts w:hint="default"/>
        <w:lang w:val="pl-PL" w:eastAsia="en-US" w:bidi="ar-SA"/>
      </w:rPr>
    </w:lvl>
  </w:abstractNum>
  <w:abstractNum w:abstractNumId="7" w15:restartNumberingAfterBreak="0">
    <w:nsid w:val="73850896"/>
    <w:multiLevelType w:val="hybridMultilevel"/>
    <w:tmpl w:val="5702507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7DE8010E"/>
    <w:multiLevelType w:val="hybridMultilevel"/>
    <w:tmpl w:val="FC98D7C8"/>
    <w:lvl w:ilvl="0" w:tplc="9E26B2BA">
      <w:start w:val="1"/>
      <w:numFmt w:val="lowerLetter"/>
      <w:lvlText w:val="%1."/>
      <w:lvlJc w:val="left"/>
      <w:pPr>
        <w:ind w:left="1069" w:hanging="360"/>
      </w:pPr>
      <w:rPr>
        <w:rFonts w:hint="default"/>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9" w15:restartNumberingAfterBreak="0">
    <w:nsid w:val="7EBF49B2"/>
    <w:multiLevelType w:val="hybridMultilevel"/>
    <w:tmpl w:val="791CA5D2"/>
    <w:lvl w:ilvl="0" w:tplc="6B9CE0EC">
      <w:start w:val="1"/>
      <w:numFmt w:val="upperRoman"/>
      <w:lvlText w:val="%1."/>
      <w:lvlJc w:val="left"/>
      <w:pPr>
        <w:ind w:left="198" w:hanging="197"/>
        <w:jc w:val="left"/>
      </w:pPr>
      <w:rPr>
        <w:rFonts w:ascii="Times New Roman" w:eastAsia="Times New Roman" w:hAnsi="Times New Roman" w:cs="Times New Roman" w:hint="default"/>
        <w:b/>
        <w:bCs/>
        <w:i w:val="0"/>
        <w:iCs w:val="0"/>
        <w:spacing w:val="0"/>
        <w:w w:val="100"/>
        <w:sz w:val="22"/>
        <w:szCs w:val="22"/>
        <w:lang w:val="pl-PL" w:eastAsia="en-US" w:bidi="ar-SA"/>
      </w:rPr>
    </w:lvl>
    <w:lvl w:ilvl="1" w:tplc="3DB6E97E">
      <w:start w:val="1"/>
      <w:numFmt w:val="decimal"/>
      <w:lvlText w:val="%2."/>
      <w:lvlJc w:val="left"/>
      <w:pPr>
        <w:ind w:left="709" w:hanging="348"/>
        <w:jc w:val="left"/>
      </w:pPr>
      <w:rPr>
        <w:rFonts w:ascii="Times New Roman" w:eastAsia="Times New Roman" w:hAnsi="Times New Roman" w:cs="Times New Roman" w:hint="default"/>
        <w:b w:val="0"/>
        <w:bCs w:val="0"/>
        <w:i w:val="0"/>
        <w:iCs w:val="0"/>
        <w:spacing w:val="0"/>
        <w:w w:val="100"/>
        <w:sz w:val="22"/>
        <w:szCs w:val="22"/>
        <w:lang w:val="pl-PL" w:eastAsia="en-US" w:bidi="ar-SA"/>
      </w:rPr>
    </w:lvl>
    <w:lvl w:ilvl="2" w:tplc="0F44ED42">
      <w:start w:val="1"/>
      <w:numFmt w:val="lowerLetter"/>
      <w:lvlText w:val="%3."/>
      <w:lvlJc w:val="left"/>
      <w:pPr>
        <w:ind w:left="1278" w:hanging="286"/>
        <w:jc w:val="left"/>
      </w:pPr>
      <w:rPr>
        <w:rFonts w:asciiTheme="minorHAnsi" w:eastAsia="Times New Roman" w:hAnsiTheme="minorHAnsi" w:cstheme="minorHAnsi" w:hint="default"/>
        <w:b w:val="0"/>
        <w:bCs w:val="0"/>
        <w:i w:val="0"/>
        <w:iCs w:val="0"/>
        <w:spacing w:val="0"/>
        <w:w w:val="100"/>
        <w:sz w:val="22"/>
        <w:szCs w:val="22"/>
        <w:lang w:val="pl-PL" w:eastAsia="en-US" w:bidi="ar-SA"/>
      </w:rPr>
    </w:lvl>
    <w:lvl w:ilvl="3" w:tplc="35FEA552">
      <w:numFmt w:val="bullet"/>
      <w:lvlText w:val="-"/>
      <w:lvlJc w:val="left"/>
      <w:pPr>
        <w:ind w:left="1703" w:hanging="284"/>
      </w:pPr>
      <w:rPr>
        <w:rFonts w:ascii="Segoe UI Semilight" w:eastAsia="Segoe UI Semilight" w:hAnsi="Segoe UI Semilight" w:cs="Segoe UI Semilight" w:hint="default"/>
        <w:spacing w:val="0"/>
        <w:w w:val="100"/>
        <w:lang w:val="pl-PL" w:eastAsia="en-US" w:bidi="ar-SA"/>
      </w:rPr>
    </w:lvl>
    <w:lvl w:ilvl="4" w:tplc="B386A7FE">
      <w:numFmt w:val="bullet"/>
      <w:lvlText w:val="•"/>
      <w:lvlJc w:val="left"/>
      <w:pPr>
        <w:ind w:left="2774" w:hanging="284"/>
      </w:pPr>
      <w:rPr>
        <w:rFonts w:hint="default"/>
        <w:lang w:val="pl-PL" w:eastAsia="en-US" w:bidi="ar-SA"/>
      </w:rPr>
    </w:lvl>
    <w:lvl w:ilvl="5" w:tplc="40BAA00A">
      <w:numFmt w:val="bullet"/>
      <w:lvlText w:val="•"/>
      <w:lvlJc w:val="left"/>
      <w:pPr>
        <w:ind w:left="3849" w:hanging="284"/>
      </w:pPr>
      <w:rPr>
        <w:rFonts w:hint="default"/>
        <w:lang w:val="pl-PL" w:eastAsia="en-US" w:bidi="ar-SA"/>
      </w:rPr>
    </w:lvl>
    <w:lvl w:ilvl="6" w:tplc="2C74ED6E">
      <w:numFmt w:val="bullet"/>
      <w:lvlText w:val="•"/>
      <w:lvlJc w:val="left"/>
      <w:pPr>
        <w:ind w:left="4923" w:hanging="284"/>
      </w:pPr>
      <w:rPr>
        <w:rFonts w:hint="default"/>
        <w:lang w:val="pl-PL" w:eastAsia="en-US" w:bidi="ar-SA"/>
      </w:rPr>
    </w:lvl>
    <w:lvl w:ilvl="7" w:tplc="12ACD652">
      <w:numFmt w:val="bullet"/>
      <w:lvlText w:val="•"/>
      <w:lvlJc w:val="left"/>
      <w:pPr>
        <w:ind w:left="5998" w:hanging="284"/>
      </w:pPr>
      <w:rPr>
        <w:rFonts w:hint="default"/>
        <w:lang w:val="pl-PL" w:eastAsia="en-US" w:bidi="ar-SA"/>
      </w:rPr>
    </w:lvl>
    <w:lvl w:ilvl="8" w:tplc="886E613E">
      <w:numFmt w:val="bullet"/>
      <w:lvlText w:val="•"/>
      <w:lvlJc w:val="left"/>
      <w:pPr>
        <w:ind w:left="7072" w:hanging="284"/>
      </w:pPr>
      <w:rPr>
        <w:rFonts w:hint="default"/>
        <w:lang w:val="pl-PL" w:eastAsia="en-US" w:bidi="ar-SA"/>
      </w:rPr>
    </w:lvl>
  </w:abstractNum>
  <w:num w:numId="1" w16cid:durableId="838732879">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2" w16cid:durableId="379014708">
    <w:abstractNumId w:val="7"/>
  </w:num>
  <w:num w:numId="3" w16cid:durableId="1176841195">
    <w:abstractNumId w:val="2"/>
  </w:num>
  <w:num w:numId="4" w16cid:durableId="2104185972">
    <w:abstractNumId w:val="3"/>
  </w:num>
  <w:num w:numId="5" w16cid:durableId="1023089728">
    <w:abstractNumId w:val="9"/>
  </w:num>
  <w:num w:numId="6" w16cid:durableId="1956522750">
    <w:abstractNumId w:val="1"/>
  </w:num>
  <w:num w:numId="7" w16cid:durableId="294455414">
    <w:abstractNumId w:val="4"/>
  </w:num>
  <w:num w:numId="8" w16cid:durableId="160705302">
    <w:abstractNumId w:val="5"/>
  </w:num>
  <w:num w:numId="9" w16cid:durableId="231474480">
    <w:abstractNumId w:val="6"/>
  </w:num>
  <w:num w:numId="10" w16cid:durableId="445465475">
    <w:abstractNumId w:val="8"/>
  </w:num>
  <w:num w:numId="11" w16cid:durableId="874656530">
    <w:abstractNumId w:val="3"/>
    <w:lvlOverride w:ilvl="0">
      <w:startOverride w:val="1"/>
    </w:lvlOverride>
  </w:num>
  <w:num w:numId="12" w16cid:durableId="907569390">
    <w:abstractNumId w:val="3"/>
    <w:lvlOverride w:ilvl="0">
      <w:startOverride w:val="1"/>
    </w:lvlOverride>
  </w:num>
  <w:num w:numId="13" w16cid:durableId="1637100865">
    <w:abstractNumId w:val="3"/>
    <w:lvlOverride w:ilvl="0">
      <w:startOverride w:val="1"/>
    </w:lvlOverride>
  </w:num>
  <w:num w:numId="14" w16cid:durableId="1924559826">
    <w:abstractNumId w:val="3"/>
    <w:lvlOverride w:ilvl="0">
      <w:startOverride w:val="1"/>
    </w:lvlOverride>
  </w:num>
  <w:num w:numId="15" w16cid:durableId="1061363042">
    <w:abstractNumId w:val="3"/>
    <w:lvlOverride w:ilvl="0">
      <w:startOverride w:val="1"/>
    </w:lvlOverride>
  </w:num>
  <w:num w:numId="16" w16cid:durableId="1114865644">
    <w:abstractNumId w:val="3"/>
    <w:lvlOverride w:ilvl="0">
      <w:startOverride w:val="1"/>
    </w:lvlOverride>
  </w:num>
  <w:num w:numId="17" w16cid:durableId="325013383">
    <w:abstractNumId w:val="3"/>
    <w:lvlOverride w:ilvl="0">
      <w:startOverride w:val="1"/>
    </w:lvlOverride>
  </w:num>
  <w:num w:numId="18" w16cid:durableId="984046284">
    <w:abstractNumId w:val="3"/>
    <w:lvlOverride w:ilvl="0">
      <w:startOverride w:val="1"/>
    </w:lvlOverride>
  </w:num>
  <w:num w:numId="19" w16cid:durableId="1839156266">
    <w:abstractNumId w:val="3"/>
    <w:lvlOverride w:ilvl="0">
      <w:startOverride w:val="1"/>
    </w:lvlOverride>
  </w:num>
  <w:num w:numId="20" w16cid:durableId="1043478682">
    <w:abstractNumId w:val="3"/>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2B8A"/>
    <w:rsid w:val="000B7241"/>
    <w:rsid w:val="000C3CBC"/>
    <w:rsid w:val="00120006"/>
    <w:rsid w:val="001302B6"/>
    <w:rsid w:val="00144C6B"/>
    <w:rsid w:val="0017324F"/>
    <w:rsid w:val="0018625A"/>
    <w:rsid w:val="001B71C2"/>
    <w:rsid w:val="001E2C41"/>
    <w:rsid w:val="00217B81"/>
    <w:rsid w:val="002334EB"/>
    <w:rsid w:val="00235BC3"/>
    <w:rsid w:val="00252D7C"/>
    <w:rsid w:val="00291214"/>
    <w:rsid w:val="002A144F"/>
    <w:rsid w:val="00347EF5"/>
    <w:rsid w:val="00392952"/>
    <w:rsid w:val="003A404E"/>
    <w:rsid w:val="003C041B"/>
    <w:rsid w:val="00403FA6"/>
    <w:rsid w:val="00404069"/>
    <w:rsid w:val="00410C9F"/>
    <w:rsid w:val="00426600"/>
    <w:rsid w:val="004A03EF"/>
    <w:rsid w:val="004A465B"/>
    <w:rsid w:val="00522E81"/>
    <w:rsid w:val="005321A7"/>
    <w:rsid w:val="0053752D"/>
    <w:rsid w:val="0059584B"/>
    <w:rsid w:val="005A5F44"/>
    <w:rsid w:val="00674E56"/>
    <w:rsid w:val="006873FA"/>
    <w:rsid w:val="00690DD7"/>
    <w:rsid w:val="006D78E0"/>
    <w:rsid w:val="00746343"/>
    <w:rsid w:val="007971E4"/>
    <w:rsid w:val="007D6F81"/>
    <w:rsid w:val="00823078"/>
    <w:rsid w:val="00832694"/>
    <w:rsid w:val="008933B1"/>
    <w:rsid w:val="008D1976"/>
    <w:rsid w:val="00947153"/>
    <w:rsid w:val="00963841"/>
    <w:rsid w:val="009705DC"/>
    <w:rsid w:val="00992456"/>
    <w:rsid w:val="00A06A54"/>
    <w:rsid w:val="00A240A2"/>
    <w:rsid w:val="00A66CC5"/>
    <w:rsid w:val="00A92454"/>
    <w:rsid w:val="00A93185"/>
    <w:rsid w:val="00A93421"/>
    <w:rsid w:val="00AE3E0B"/>
    <w:rsid w:val="00B02B8A"/>
    <w:rsid w:val="00B52B6B"/>
    <w:rsid w:val="00B64869"/>
    <w:rsid w:val="00B94F76"/>
    <w:rsid w:val="00BE12AB"/>
    <w:rsid w:val="00C10D8F"/>
    <w:rsid w:val="00C24D4C"/>
    <w:rsid w:val="00C44428"/>
    <w:rsid w:val="00C463F1"/>
    <w:rsid w:val="00C46D46"/>
    <w:rsid w:val="00C60DE6"/>
    <w:rsid w:val="00C63D94"/>
    <w:rsid w:val="00CE487A"/>
    <w:rsid w:val="00CF210C"/>
    <w:rsid w:val="00D0124C"/>
    <w:rsid w:val="00DC0598"/>
    <w:rsid w:val="00E07DDF"/>
    <w:rsid w:val="00E33377"/>
    <w:rsid w:val="00ED094C"/>
    <w:rsid w:val="00F4371B"/>
    <w:rsid w:val="00F74AE6"/>
    <w:rsid w:val="00F960D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F61899"/>
  <w15:chartTrackingRefBased/>
  <w15:docId w15:val="{43FCC099-9C31-4599-919A-E416255CD4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B02B8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semiHidden/>
    <w:unhideWhenUsed/>
    <w:qFormat/>
    <w:rsid w:val="00B02B8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B02B8A"/>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B02B8A"/>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B02B8A"/>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B02B8A"/>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B02B8A"/>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B02B8A"/>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B02B8A"/>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B02B8A"/>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semiHidden/>
    <w:rsid w:val="00B02B8A"/>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B02B8A"/>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B02B8A"/>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B02B8A"/>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B02B8A"/>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B02B8A"/>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B02B8A"/>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B02B8A"/>
    <w:rPr>
      <w:rFonts w:eastAsiaTheme="majorEastAsia" w:cstheme="majorBidi"/>
      <w:color w:val="272727" w:themeColor="text1" w:themeTint="D8"/>
    </w:rPr>
  </w:style>
  <w:style w:type="paragraph" w:styleId="Tytu">
    <w:name w:val="Title"/>
    <w:basedOn w:val="Normalny"/>
    <w:next w:val="Normalny"/>
    <w:link w:val="TytuZnak"/>
    <w:uiPriority w:val="10"/>
    <w:qFormat/>
    <w:rsid w:val="00B02B8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B02B8A"/>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B02B8A"/>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B02B8A"/>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B02B8A"/>
    <w:pPr>
      <w:spacing w:before="160"/>
      <w:jc w:val="center"/>
    </w:pPr>
    <w:rPr>
      <w:i/>
      <w:iCs/>
      <w:color w:val="404040" w:themeColor="text1" w:themeTint="BF"/>
    </w:rPr>
  </w:style>
  <w:style w:type="character" w:customStyle="1" w:styleId="CytatZnak">
    <w:name w:val="Cytat Znak"/>
    <w:basedOn w:val="Domylnaczcionkaakapitu"/>
    <w:link w:val="Cytat"/>
    <w:uiPriority w:val="29"/>
    <w:rsid w:val="00B02B8A"/>
    <w:rPr>
      <w:i/>
      <w:iCs/>
      <w:color w:val="404040" w:themeColor="text1" w:themeTint="BF"/>
    </w:rPr>
  </w:style>
  <w:style w:type="paragraph" w:styleId="Akapitzlist">
    <w:name w:val="List Paragraph"/>
    <w:basedOn w:val="Normalny"/>
    <w:uiPriority w:val="34"/>
    <w:qFormat/>
    <w:rsid w:val="00B02B8A"/>
    <w:pPr>
      <w:ind w:left="720"/>
      <w:contextualSpacing/>
    </w:pPr>
  </w:style>
  <w:style w:type="character" w:styleId="Wyrnienieintensywne">
    <w:name w:val="Intense Emphasis"/>
    <w:basedOn w:val="Domylnaczcionkaakapitu"/>
    <w:uiPriority w:val="21"/>
    <w:qFormat/>
    <w:rsid w:val="00B02B8A"/>
    <w:rPr>
      <w:i/>
      <w:iCs/>
      <w:color w:val="2F5496" w:themeColor="accent1" w:themeShade="BF"/>
    </w:rPr>
  </w:style>
  <w:style w:type="paragraph" w:styleId="Cytatintensywny">
    <w:name w:val="Intense Quote"/>
    <w:basedOn w:val="Normalny"/>
    <w:next w:val="Normalny"/>
    <w:link w:val="CytatintensywnyZnak"/>
    <w:uiPriority w:val="30"/>
    <w:qFormat/>
    <w:rsid w:val="00B02B8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B02B8A"/>
    <w:rPr>
      <w:i/>
      <w:iCs/>
      <w:color w:val="2F5496" w:themeColor="accent1" w:themeShade="BF"/>
    </w:rPr>
  </w:style>
  <w:style w:type="character" w:styleId="Odwoanieintensywne">
    <w:name w:val="Intense Reference"/>
    <w:basedOn w:val="Domylnaczcionkaakapitu"/>
    <w:uiPriority w:val="32"/>
    <w:qFormat/>
    <w:rsid w:val="00B02B8A"/>
    <w:rPr>
      <w:b/>
      <w:bCs/>
      <w:smallCaps/>
      <w:color w:val="2F5496" w:themeColor="accent1" w:themeShade="BF"/>
      <w:spacing w:val="5"/>
    </w:rPr>
  </w:style>
  <w:style w:type="paragraph" w:styleId="Nagwek">
    <w:name w:val="header"/>
    <w:basedOn w:val="Normalny"/>
    <w:link w:val="NagwekZnak"/>
    <w:uiPriority w:val="99"/>
    <w:unhideWhenUsed/>
    <w:rsid w:val="0039295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392952"/>
  </w:style>
  <w:style w:type="paragraph" w:styleId="Stopka">
    <w:name w:val="footer"/>
    <w:basedOn w:val="Normalny"/>
    <w:link w:val="StopkaZnak"/>
    <w:uiPriority w:val="99"/>
    <w:unhideWhenUsed/>
    <w:rsid w:val="0039295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392952"/>
  </w:style>
  <w:style w:type="paragraph" w:styleId="Tekstpodstawowy">
    <w:name w:val="Body Text"/>
    <w:basedOn w:val="Normalny"/>
    <w:link w:val="TekstpodstawowyZnak"/>
    <w:uiPriority w:val="99"/>
    <w:semiHidden/>
    <w:unhideWhenUsed/>
    <w:rsid w:val="006873FA"/>
    <w:pPr>
      <w:spacing w:after="120" w:line="259" w:lineRule="auto"/>
    </w:pPr>
    <w:rPr>
      <w:kern w:val="0"/>
      <w:sz w:val="22"/>
      <w:szCs w:val="22"/>
      <w14:ligatures w14:val="none"/>
    </w:rPr>
  </w:style>
  <w:style w:type="character" w:customStyle="1" w:styleId="TekstpodstawowyZnak">
    <w:name w:val="Tekst podstawowy Znak"/>
    <w:basedOn w:val="Domylnaczcionkaakapitu"/>
    <w:link w:val="Tekstpodstawowy"/>
    <w:uiPriority w:val="99"/>
    <w:semiHidden/>
    <w:rsid w:val="006873FA"/>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5</Pages>
  <Words>1354</Words>
  <Characters>8127</Characters>
  <Application>Microsoft Office Word</Application>
  <DocSecurity>0</DocSecurity>
  <Lines>67</Lines>
  <Paragraphs>18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Anica</dc:creator>
  <cp:keywords/>
  <dc:description/>
  <cp:lastModifiedBy>Anica Knera</cp:lastModifiedBy>
  <cp:revision>3</cp:revision>
  <dcterms:created xsi:type="dcterms:W3CDTF">2026-10-30T12:23:00Z</dcterms:created>
  <dcterms:modified xsi:type="dcterms:W3CDTF">2026-10-30T12:31:00Z</dcterms:modified>
</cp:coreProperties>
</file>