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media/image1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60" w:after="60"/>
        <w:jc w:val="center"/>
        <w:rPr>
          <w:b/>
          <w:b/>
          <w:bCs/>
          <w:sz w:val="44"/>
          <w:szCs w:val="44"/>
        </w:rPr>
      </w:pPr>
      <w:r>
        <w:rPr>
          <w:b/>
          <w:bCs/>
          <w:sz w:val="44"/>
          <w:szCs w:val="44"/>
        </w:rPr>
      </w:r>
    </w:p>
    <w:p>
      <w:pPr>
        <w:pStyle w:val="Normal"/>
        <w:jc w:val="right"/>
        <w:rPr/>
      </w:pPr>
      <w:r>
        <w:rPr/>
        <w:t>Załącznik nr 2 do SWZ</w:t>
      </w:r>
    </w:p>
    <w:p>
      <w:pPr>
        <w:pStyle w:val="Normal"/>
        <w:jc w:val="center"/>
        <w:rPr>
          <w:b/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OPIS PRZEDMIOTU ZAMÓWIENIA</w:t>
      </w:r>
    </w:p>
    <w:p>
      <w:pPr>
        <w:pStyle w:val="Normal"/>
        <w:rPr/>
      </w:pPr>
      <w:r>
        <w:rPr/>
        <w:t>Znak: IGP.I.271.51.2026</w:t>
      </w:r>
    </w:p>
    <w:p>
      <w:pPr>
        <w:pStyle w:val="Nagwek1"/>
        <w:numPr>
          <w:ilvl w:val="0"/>
          <w:numId w:val="0"/>
        </w:numPr>
        <w:ind w:left="0" w:hanging="0"/>
        <w:rPr/>
      </w:pPr>
      <w:r>
        <w:rPr/>
        <w:t xml:space="preserve"> </w:t>
      </w:r>
      <w:r>
        <w:rPr/>
        <w:t>Wdrożenie open source</w:t>
      </w:r>
    </w:p>
    <w:p>
      <w:pPr>
        <w:pStyle w:val="Normal"/>
        <w:rPr/>
      </w:pPr>
      <w:r>
        <w:rPr/>
      </w:r>
    </w:p>
    <w:p>
      <w:pPr>
        <w:pStyle w:val="Nagwek1"/>
        <w:numPr>
          <w:ilvl w:val="0"/>
          <w:numId w:val="24"/>
        </w:numPr>
        <w:rPr/>
      </w:pPr>
      <w:r>
        <w:rPr/>
        <w:t>Wdrożenie rozwiązania open-source typu NAC</w:t>
      </w:r>
    </w:p>
    <w:p>
      <w:pPr>
        <w:pStyle w:val="StandardBold"/>
        <w:jc w:val="both"/>
        <w:rPr/>
      </w:pPr>
      <w:r>
        <w:rPr/>
        <w:t>Wdrożenie rozwiązania open-source systemu typu NAC do kontrolowania i egzekwowania zasad dostępu do sieci teleinformatycznej wraz z rozwiązaniem RADIUS dla obszaru IT i OT/ICS/IIoT.</w:t>
      </w:r>
    </w:p>
    <w:p>
      <w:pPr>
        <w:pStyle w:val="Normal"/>
        <w:rPr/>
      </w:pPr>
      <w:r>
        <w:rPr/>
      </w:r>
    </w:p>
    <w:p>
      <w:pPr>
        <w:pStyle w:val="ListParagraph"/>
        <w:numPr>
          <w:ilvl w:val="0"/>
          <w:numId w:val="2"/>
        </w:numPr>
        <w:spacing w:lineRule="auto" w:line="360" w:before="60" w:after="160"/>
        <w:contextualSpacing/>
        <w:jc w:val="both"/>
        <w:rPr>
          <w:rFonts w:ascii="Arial" w:hAnsi="Arial" w:cs="Arial"/>
        </w:rPr>
      </w:pPr>
      <w:r>
        <w:rPr>
          <w:rFonts w:cs="Arial" w:ascii="Arial" w:hAnsi="Arial"/>
        </w:rPr>
        <w:t>Instalacja oprogramowania open-source klasy Network Access Control / NAC w środowisku serwerowym Zamawiającego.</w:t>
      </w:r>
    </w:p>
    <w:p>
      <w:pPr>
        <w:pStyle w:val="ListParagraph"/>
        <w:numPr>
          <w:ilvl w:val="0"/>
          <w:numId w:val="2"/>
        </w:numPr>
        <w:spacing w:lineRule="auto" w:line="360" w:before="60" w:after="160"/>
        <w:contextualSpacing/>
        <w:jc w:val="both"/>
        <w:rPr>
          <w:rFonts w:ascii="Arial" w:hAnsi="Arial" w:cs="Arial"/>
        </w:rPr>
      </w:pPr>
      <w:r>
        <w:rPr>
          <w:rFonts w:cs="Arial" w:ascii="Arial" w:hAnsi="Arial"/>
        </w:rPr>
        <w:t>Konfiguracja podstawowych parametrów systemowych rozwiązania, w tym adresacji IP, DNS oraz synchronizacji czasu NTP.</w:t>
      </w:r>
    </w:p>
    <w:p>
      <w:pPr>
        <w:pStyle w:val="ListParagraph"/>
        <w:numPr>
          <w:ilvl w:val="0"/>
          <w:numId w:val="2"/>
        </w:numPr>
        <w:spacing w:lineRule="auto" w:line="360" w:before="60" w:after="160"/>
        <w:contextualSpacing/>
        <w:jc w:val="both"/>
        <w:rPr>
          <w:rFonts w:ascii="Arial" w:hAnsi="Arial" w:cs="Arial"/>
        </w:rPr>
      </w:pPr>
      <w:r>
        <w:rPr>
          <w:rFonts w:cs="Arial" w:ascii="Arial" w:hAnsi="Arial"/>
        </w:rPr>
        <w:t>Konfiguracja dostępu administracyjnego do konsoli zarządzającej systemu NAC.</w:t>
      </w:r>
    </w:p>
    <w:p>
      <w:pPr>
        <w:pStyle w:val="ListParagraph"/>
        <w:numPr>
          <w:ilvl w:val="0"/>
          <w:numId w:val="2"/>
        </w:numPr>
        <w:spacing w:lineRule="auto" w:line="360" w:before="60" w:after="160"/>
        <w:contextualSpacing/>
        <w:jc w:val="both"/>
        <w:rPr>
          <w:rFonts w:ascii="Arial" w:hAnsi="Arial" w:cs="Arial"/>
        </w:rPr>
      </w:pPr>
      <w:r>
        <w:rPr>
          <w:rFonts w:cs="Arial" w:ascii="Arial" w:hAnsi="Arial"/>
        </w:rPr>
        <w:t>Integracja systemu NAC z usługą katalogową Microsoft Active Directory lub LDAP, jeżeli funkcjonalność ta jest dostępna w oferowanym rozwiązaniu.</w:t>
      </w:r>
    </w:p>
    <w:p>
      <w:pPr>
        <w:pStyle w:val="ListParagraph"/>
        <w:numPr>
          <w:ilvl w:val="0"/>
          <w:numId w:val="2"/>
        </w:numPr>
        <w:spacing w:lineRule="auto" w:line="360" w:before="60" w:after="160"/>
        <w:contextualSpacing/>
        <w:jc w:val="both"/>
        <w:rPr>
          <w:rFonts w:ascii="Arial" w:hAnsi="Arial" w:cs="Arial"/>
        </w:rPr>
      </w:pPr>
      <w:r>
        <w:rPr>
          <w:rFonts w:cs="Arial" w:ascii="Arial" w:hAnsi="Arial"/>
        </w:rPr>
        <w:t>Konfiguracja ról, uprawnień oraz kont użytkowników administracyjnych w systemie NAC.</w:t>
      </w:r>
    </w:p>
    <w:p>
      <w:pPr>
        <w:pStyle w:val="ListParagraph"/>
        <w:numPr>
          <w:ilvl w:val="0"/>
          <w:numId w:val="2"/>
        </w:numPr>
        <w:spacing w:lineRule="auto" w:line="360" w:before="60" w:after="160"/>
        <w:contextualSpacing/>
        <w:jc w:val="both"/>
        <w:rPr>
          <w:rFonts w:ascii="Arial" w:hAnsi="Arial" w:cs="Arial"/>
        </w:rPr>
      </w:pPr>
      <w:r>
        <w:rPr>
          <w:rFonts w:cs="Arial" w:ascii="Arial" w:hAnsi="Arial"/>
        </w:rPr>
        <w:t>Konfiguracja integracji systemu NAC z wybranymi urządzeniami sieciowymi Zamawiającego, takimi jak przełączniki, kontrolery sieci bezprzewodowej lub punkty dostępowe, w zakresie obsługiwanym przez infrastrukturę Zamawiającego.</w:t>
      </w:r>
    </w:p>
    <w:p>
      <w:pPr>
        <w:pStyle w:val="ListParagraph"/>
        <w:numPr>
          <w:ilvl w:val="0"/>
          <w:numId w:val="2"/>
        </w:numPr>
        <w:spacing w:lineRule="auto" w:line="360" w:before="60" w:after="160"/>
        <w:contextualSpacing/>
        <w:jc w:val="both"/>
        <w:rPr>
          <w:rFonts w:ascii="Arial" w:hAnsi="Arial" w:cs="Arial"/>
        </w:rPr>
      </w:pPr>
      <w:r>
        <w:rPr>
          <w:rFonts w:cs="Arial" w:ascii="Arial" w:hAnsi="Arial"/>
        </w:rPr>
        <w:t>Konfiguracja mechanizmów kontroli dostępu do sieci, w tym 802.1X, MAC Authentication Bypass, portalu rejestracyjnego/captive portal lub innych mechanizmów dostępnych w oferowanym rozwiązaniu.</w:t>
      </w:r>
    </w:p>
    <w:p>
      <w:pPr>
        <w:pStyle w:val="ListParagraph"/>
        <w:numPr>
          <w:ilvl w:val="0"/>
          <w:numId w:val="2"/>
        </w:numPr>
        <w:spacing w:lineRule="auto" w:line="360" w:before="60" w:after="160"/>
        <w:contextualSpacing/>
        <w:jc w:val="both"/>
        <w:rPr>
          <w:rFonts w:ascii="Arial" w:hAnsi="Arial" w:cs="Arial"/>
        </w:rPr>
      </w:pPr>
      <w:r>
        <w:rPr>
          <w:rFonts w:cs="Arial" w:ascii="Arial" w:hAnsi="Arial"/>
        </w:rPr>
        <w:t>Konfiguracja polityk dostępu dla wybranych grup użytkowników i urządzeń, obejmujących przypisywanie odpowiednich VLAN, ról sieciowych, poziomów dostępu lub zasad izolacji.</w:t>
      </w:r>
    </w:p>
    <w:p>
      <w:pPr>
        <w:pStyle w:val="Normal"/>
        <w:rPr/>
      </w:pPr>
      <w:r>
        <w:rPr/>
      </w:r>
    </w:p>
    <w:p>
      <w:pPr>
        <w:pStyle w:val="Nagwek1"/>
        <w:numPr>
          <w:ilvl w:val="0"/>
          <w:numId w:val="25"/>
        </w:numPr>
        <w:ind w:left="431" w:hanging="431"/>
        <w:rPr/>
      </w:pPr>
      <w:r>
        <w:rPr/>
        <w:t>Wdrożenie rozwiązania open-source typu NDR</w:t>
      </w:r>
    </w:p>
    <w:p>
      <w:pPr>
        <w:pStyle w:val="StandardBold"/>
        <w:jc w:val="both"/>
        <w:rPr/>
      </w:pPr>
      <w:r>
        <w:rPr/>
        <w:t>Wdrożenie rozwiązania open-source system typu NDR do monitorowania, analizy oraz reagowanie na zagrożenia występujące w ruchu sieciowym dla obszaru II i OT/ICS/IIoT</w:t>
      </w:r>
    </w:p>
    <w:p>
      <w:pPr>
        <w:pStyle w:val="Normal"/>
        <w:rPr/>
      </w:pPr>
      <w:r>
        <w:rPr/>
      </w:r>
    </w:p>
    <w:p>
      <w:pPr>
        <w:pStyle w:val="ListParagraph"/>
        <w:numPr>
          <w:ilvl w:val="0"/>
          <w:numId w:val="11"/>
        </w:numPr>
        <w:spacing w:lineRule="auto" w:line="360" w:before="60" w:after="160"/>
        <w:contextualSpacing/>
        <w:jc w:val="both"/>
        <w:rPr>
          <w:rFonts w:ascii="Arial" w:hAnsi="Arial" w:cs="Arial"/>
        </w:rPr>
      </w:pPr>
      <w:r>
        <w:rPr>
          <w:rFonts w:cs="Arial" w:ascii="Arial" w:hAnsi="Arial"/>
        </w:rPr>
        <w:t>Instalacja oprogramowania klasy NDR, np. typu open source, w środowisku serwerowym Zamawiającego.</w:t>
      </w:r>
    </w:p>
    <w:p>
      <w:pPr>
        <w:pStyle w:val="ListParagraph"/>
        <w:numPr>
          <w:ilvl w:val="0"/>
          <w:numId w:val="11"/>
        </w:numPr>
        <w:spacing w:lineRule="auto" w:line="360" w:before="60" w:after="160"/>
        <w:contextualSpacing/>
        <w:jc w:val="both"/>
        <w:rPr>
          <w:rFonts w:ascii="Arial" w:hAnsi="Arial" w:cs="Arial"/>
        </w:rPr>
      </w:pPr>
      <w:r>
        <w:rPr>
          <w:rFonts w:cs="Arial" w:ascii="Arial" w:hAnsi="Arial"/>
        </w:rPr>
        <w:t>Konfiguracja interfejsów zarządzających oraz interfejsów monitorujących systemu.</w:t>
      </w:r>
    </w:p>
    <w:p>
      <w:pPr>
        <w:pStyle w:val="ListParagraph"/>
        <w:numPr>
          <w:ilvl w:val="0"/>
          <w:numId w:val="11"/>
        </w:numPr>
        <w:spacing w:lineRule="auto" w:line="360" w:before="60" w:after="160"/>
        <w:contextualSpacing/>
        <w:jc w:val="both"/>
        <w:rPr>
          <w:rFonts w:ascii="Arial" w:hAnsi="Arial" w:cs="Arial"/>
        </w:rPr>
      </w:pPr>
      <w:r>
        <w:rPr>
          <w:rFonts w:cs="Arial" w:ascii="Arial" w:hAnsi="Arial"/>
        </w:rPr>
        <w:t>Konfiguracja adresacji IP, DNS oraz synchronizacji czasu NTP.</w:t>
      </w:r>
    </w:p>
    <w:p>
      <w:pPr>
        <w:pStyle w:val="ListParagraph"/>
        <w:numPr>
          <w:ilvl w:val="0"/>
          <w:numId w:val="11"/>
        </w:numPr>
        <w:spacing w:lineRule="auto" w:line="360" w:before="60" w:after="160"/>
        <w:contextualSpacing/>
        <w:jc w:val="both"/>
        <w:rPr>
          <w:rFonts w:ascii="Arial" w:hAnsi="Arial" w:cs="Arial"/>
        </w:rPr>
      </w:pPr>
      <w:r>
        <w:rPr>
          <w:rFonts w:cs="Arial" w:ascii="Arial" w:hAnsi="Arial"/>
        </w:rPr>
        <w:t>Konfiguracja dostępu administracyjnego do konsoli zarządzającej systemu.</w:t>
      </w:r>
    </w:p>
    <w:p>
      <w:pPr>
        <w:pStyle w:val="ListParagraph"/>
        <w:numPr>
          <w:ilvl w:val="0"/>
          <w:numId w:val="11"/>
        </w:numPr>
        <w:spacing w:lineRule="auto" w:line="360" w:before="60" w:after="160"/>
        <w:contextualSpacing/>
        <w:jc w:val="both"/>
        <w:rPr>
          <w:rFonts w:ascii="Arial" w:hAnsi="Arial" w:cs="Arial"/>
        </w:rPr>
      </w:pPr>
      <w:r>
        <w:rPr>
          <w:rFonts w:cs="Arial" w:ascii="Arial" w:hAnsi="Arial"/>
        </w:rPr>
        <w:t>Integracja systemu z usługą katalogową Microsoft Active Directory lub LDAP.</w:t>
      </w:r>
    </w:p>
    <w:p>
      <w:pPr>
        <w:pStyle w:val="ListParagraph"/>
        <w:numPr>
          <w:ilvl w:val="0"/>
          <w:numId w:val="11"/>
        </w:numPr>
        <w:spacing w:lineRule="auto" w:line="360" w:before="60" w:after="160"/>
        <w:contextualSpacing/>
        <w:jc w:val="both"/>
        <w:rPr>
          <w:rFonts w:ascii="Arial" w:hAnsi="Arial" w:cs="Arial"/>
        </w:rPr>
      </w:pPr>
      <w:r>
        <w:rPr>
          <w:rFonts w:cs="Arial" w:ascii="Arial" w:hAnsi="Arial"/>
        </w:rPr>
        <w:t>Konfiguracja ról, uprawnień oraz grup użytkowników administracyjnych.</w:t>
      </w:r>
    </w:p>
    <w:p>
      <w:pPr>
        <w:pStyle w:val="ListParagraph"/>
        <w:numPr>
          <w:ilvl w:val="0"/>
          <w:numId w:val="11"/>
        </w:numPr>
        <w:spacing w:lineRule="auto" w:line="360" w:before="60" w:after="160"/>
        <w:contextualSpacing/>
        <w:jc w:val="both"/>
        <w:rPr>
          <w:rFonts w:ascii="Arial" w:hAnsi="Arial" w:cs="Arial"/>
        </w:rPr>
      </w:pPr>
      <w:r>
        <w:rPr>
          <w:rFonts w:cs="Arial" w:ascii="Arial" w:hAnsi="Arial"/>
        </w:rPr>
        <w:t>Konfiguracja źródeł ruchu sieciowego, w tym portów SPAN/mirror, TAP lub innych źródeł wskazanych przez Zamawiającego.</w:t>
      </w:r>
    </w:p>
    <w:p>
      <w:pPr>
        <w:pStyle w:val="ListParagraph"/>
        <w:numPr>
          <w:ilvl w:val="0"/>
          <w:numId w:val="11"/>
        </w:numPr>
        <w:spacing w:lineRule="auto" w:line="360" w:before="60" w:after="160"/>
        <w:contextualSpacing/>
        <w:jc w:val="both"/>
        <w:rPr>
          <w:rFonts w:ascii="Arial" w:hAnsi="Arial" w:cs="Arial"/>
        </w:rPr>
      </w:pPr>
      <w:r>
        <w:rPr>
          <w:rFonts w:cs="Arial" w:ascii="Arial" w:hAnsi="Arial"/>
        </w:rPr>
        <w:t>Konfiguracja pasywnej analizy ruchu sieciowego oraz identyfikacji hostów, protokołów, sesji i połączeń.</w:t>
      </w:r>
    </w:p>
    <w:p>
      <w:pPr>
        <w:pStyle w:val="ListParagraph"/>
        <w:numPr>
          <w:ilvl w:val="0"/>
          <w:numId w:val="11"/>
        </w:numPr>
        <w:spacing w:lineRule="auto" w:line="360" w:before="60" w:after="160"/>
        <w:contextualSpacing/>
        <w:jc w:val="both"/>
        <w:rPr>
          <w:rFonts w:ascii="Arial" w:hAnsi="Arial" w:cs="Arial"/>
        </w:rPr>
      </w:pPr>
      <w:r>
        <w:rPr>
          <w:rFonts w:cs="Arial" w:ascii="Arial" w:hAnsi="Arial"/>
        </w:rPr>
        <w:t>Konfiguracja mechanizmów detekcji zagrożeń, alertów bezpieczeństwa oraz reguł IDS, jeżeli dostępne</w:t>
      </w:r>
    </w:p>
    <w:p>
      <w:pPr>
        <w:pStyle w:val="ListParagraph"/>
        <w:numPr>
          <w:ilvl w:val="0"/>
          <w:numId w:val="11"/>
        </w:numPr>
        <w:spacing w:lineRule="auto" w:line="360" w:before="60" w:after="160"/>
        <w:contextualSpacing/>
        <w:jc w:val="both"/>
        <w:rPr>
          <w:rFonts w:ascii="Arial" w:hAnsi="Arial" w:cs="Arial"/>
        </w:rPr>
      </w:pPr>
      <w:r>
        <w:rPr>
          <w:rFonts w:cs="Arial" w:ascii="Arial" w:hAnsi="Arial"/>
        </w:rPr>
        <w:t>Konfiguracja rejestrowania zdarzeń, metadanych sesji sieciowych oraz, jeżeli dostępne, zapisu pakietów PCAP.</w:t>
      </w:r>
    </w:p>
    <w:p>
      <w:pPr>
        <w:pStyle w:val="ListParagraph"/>
        <w:numPr>
          <w:ilvl w:val="0"/>
          <w:numId w:val="11"/>
        </w:numPr>
        <w:spacing w:lineRule="auto" w:line="360" w:before="60" w:after="160"/>
        <w:contextualSpacing/>
        <w:jc w:val="both"/>
        <w:rPr/>
      </w:pPr>
      <w:r>
        <w:rPr>
          <w:rFonts w:cs="Arial" w:ascii="Arial" w:hAnsi="Arial"/>
        </w:rPr>
        <w:t>Konfiguracja dashboardów, widoków analitycznych oraz podstawowych raportów.</w:t>
      </w:r>
    </w:p>
    <w:p>
      <w:pPr>
        <w:pStyle w:val="Normal"/>
        <w:spacing w:lineRule="auto" w:line="360" w:before="60" w:after="160"/>
        <w:jc w:val="both"/>
        <w:rPr/>
      </w:pPr>
      <w:r>
        <w:rPr/>
      </w:r>
    </w:p>
    <w:p>
      <w:pPr>
        <w:pStyle w:val="Nagwek1"/>
        <w:numPr>
          <w:ilvl w:val="0"/>
          <w:numId w:val="26"/>
        </w:numPr>
        <w:ind w:left="431" w:hanging="431"/>
        <w:rPr/>
      </w:pPr>
      <w:r>
        <w:rPr/>
        <w:t>Wdrożenie rozwiązania open-source typu SIEM</w:t>
      </w:r>
    </w:p>
    <w:p>
      <w:pPr>
        <w:pStyle w:val="StandardBold"/>
        <w:rPr/>
      </w:pPr>
      <w:r>
        <w:rPr/>
        <w:t>Wdrożenie rozwiązania open-source systemu typu SIEM jako systemu do centralnego zbierania i analizy logów bezpieczeństwa, umożliwiający wykrywanie incydentów, korelację zdarzeń oraz raportowania dla obszaru IT i OT/ICS/IIoT</w:t>
      </w:r>
    </w:p>
    <w:p>
      <w:pPr>
        <w:pStyle w:val="StandardBold"/>
        <w:rPr/>
      </w:pPr>
      <w:r>
        <w:rPr/>
      </w:r>
    </w:p>
    <w:p>
      <w:pPr>
        <w:pStyle w:val="ListParagraph"/>
        <w:numPr>
          <w:ilvl w:val="0"/>
          <w:numId w:val="3"/>
        </w:numPr>
        <w:spacing w:lineRule="auto" w:line="360" w:before="60" w:after="160"/>
        <w:contextualSpacing/>
        <w:jc w:val="both"/>
        <w:rPr>
          <w:rFonts w:ascii="Arial" w:hAnsi="Arial" w:cs="Arial"/>
        </w:rPr>
      </w:pPr>
      <w:r>
        <w:rPr>
          <w:rFonts w:cs="Arial" w:ascii="Arial" w:hAnsi="Arial"/>
        </w:rPr>
        <w:t>Instalacja oprogramowania SIEM (typu open source) w środowisku serwerowym Zamawiającego,</w:t>
      </w:r>
    </w:p>
    <w:p>
      <w:pPr>
        <w:pStyle w:val="ListParagraph"/>
        <w:numPr>
          <w:ilvl w:val="0"/>
          <w:numId w:val="3"/>
        </w:numPr>
        <w:spacing w:lineRule="auto" w:line="360" w:before="60" w:after="160"/>
        <w:contextualSpacing/>
        <w:jc w:val="both"/>
        <w:rPr>
          <w:rFonts w:ascii="Arial" w:hAnsi="Arial" w:cs="Arial"/>
        </w:rPr>
      </w:pPr>
      <w:r>
        <w:rPr>
          <w:rFonts w:cs="Arial" w:ascii="Arial" w:hAnsi="Arial"/>
        </w:rPr>
        <w:t>Konfiguracja adresacji IP interfejsów zarządzania,</w:t>
      </w:r>
    </w:p>
    <w:p>
      <w:pPr>
        <w:pStyle w:val="ListParagraph"/>
        <w:numPr>
          <w:ilvl w:val="0"/>
          <w:numId w:val="3"/>
        </w:numPr>
        <w:spacing w:lineRule="auto" w:line="360" w:before="60" w:after="160"/>
        <w:contextualSpacing/>
        <w:jc w:val="both"/>
        <w:rPr>
          <w:rFonts w:ascii="Arial" w:hAnsi="Arial" w:cs="Arial"/>
        </w:rPr>
      </w:pPr>
      <w:r>
        <w:rPr>
          <w:rFonts w:cs="Arial" w:ascii="Arial" w:hAnsi="Arial"/>
        </w:rPr>
        <w:t>Konfiguracja protokołu synchronizacji czasu NTP,</w:t>
      </w:r>
    </w:p>
    <w:p>
      <w:pPr>
        <w:pStyle w:val="ListParagraph"/>
        <w:numPr>
          <w:ilvl w:val="0"/>
          <w:numId w:val="3"/>
        </w:numPr>
        <w:spacing w:lineRule="auto" w:line="360" w:before="60" w:after="160"/>
        <w:contextualSpacing/>
        <w:jc w:val="both"/>
        <w:rPr>
          <w:rFonts w:ascii="Arial" w:hAnsi="Arial" w:cs="Arial"/>
        </w:rPr>
      </w:pPr>
      <w:r>
        <w:rPr>
          <w:rFonts w:cs="Arial" w:ascii="Arial" w:hAnsi="Arial"/>
        </w:rPr>
        <w:t>Konfiguracja protokołu rozwiązywania nazw DNS,</w:t>
      </w:r>
    </w:p>
    <w:p>
      <w:pPr>
        <w:pStyle w:val="ListParagraph"/>
        <w:numPr>
          <w:ilvl w:val="0"/>
          <w:numId w:val="3"/>
        </w:numPr>
        <w:spacing w:lineRule="auto" w:line="360" w:before="60" w:after="160"/>
        <w:contextualSpacing/>
        <w:jc w:val="both"/>
        <w:rPr>
          <w:rFonts w:ascii="Arial" w:hAnsi="Arial" w:cs="Arial"/>
        </w:rPr>
      </w:pPr>
      <w:r>
        <w:rPr>
          <w:rFonts w:cs="Arial" w:ascii="Arial" w:hAnsi="Arial"/>
        </w:rPr>
        <w:t>Konfiguracja dostępu administracyjnego do konsoli zarządzającej systemu SIEM.</w:t>
      </w:r>
    </w:p>
    <w:p>
      <w:pPr>
        <w:pStyle w:val="ListParagraph"/>
        <w:numPr>
          <w:ilvl w:val="0"/>
          <w:numId w:val="3"/>
        </w:numPr>
        <w:spacing w:lineRule="auto" w:line="360" w:before="60" w:after="160"/>
        <w:contextualSpacing/>
        <w:jc w:val="both"/>
        <w:rPr>
          <w:rFonts w:ascii="Arial" w:hAnsi="Arial" w:cs="Arial"/>
        </w:rPr>
      </w:pPr>
      <w:r>
        <w:rPr>
          <w:rFonts w:cs="Arial" w:ascii="Arial" w:hAnsi="Arial"/>
        </w:rPr>
        <w:t>Konfiguracja podstawowych komponentów systemu SIEM, w tym serwera zarządzającego, mechanizmu indeksowania danych oraz konsoli administracyjnej.</w:t>
      </w:r>
    </w:p>
    <w:p>
      <w:pPr>
        <w:pStyle w:val="ListParagraph"/>
        <w:numPr>
          <w:ilvl w:val="0"/>
          <w:numId w:val="3"/>
        </w:numPr>
        <w:spacing w:lineRule="auto" w:line="360" w:before="60" w:after="160"/>
        <w:contextualSpacing/>
        <w:jc w:val="both"/>
        <w:rPr>
          <w:rFonts w:ascii="Arial" w:hAnsi="Arial" w:cs="Arial"/>
        </w:rPr>
      </w:pPr>
      <w:r>
        <w:rPr>
          <w:rFonts w:cs="Arial" w:ascii="Arial" w:hAnsi="Arial"/>
        </w:rPr>
        <w:t>Integracja systemu SIEM z usługą katalogową Microsoft Active Directory lub LDAP w celu uwierzytelniania użytkowników i administratorów.</w:t>
      </w:r>
    </w:p>
    <w:p>
      <w:pPr>
        <w:pStyle w:val="ListParagraph"/>
        <w:numPr>
          <w:ilvl w:val="0"/>
          <w:numId w:val="3"/>
        </w:numPr>
        <w:spacing w:lineRule="auto" w:line="360" w:before="60" w:after="160"/>
        <w:contextualSpacing/>
        <w:jc w:val="both"/>
        <w:rPr>
          <w:rFonts w:ascii="Arial" w:hAnsi="Arial" w:cs="Arial"/>
        </w:rPr>
      </w:pPr>
      <w:r>
        <w:rPr>
          <w:rFonts w:cs="Arial" w:ascii="Arial" w:hAnsi="Arial"/>
        </w:rPr>
        <w:t>Instalacja i konfiguracja agentów systemu SIEM na stacjach roboczych Zamawiającego,</w:t>
      </w:r>
    </w:p>
    <w:p>
      <w:pPr>
        <w:pStyle w:val="ListParagraph"/>
        <w:numPr>
          <w:ilvl w:val="0"/>
          <w:numId w:val="3"/>
        </w:numPr>
        <w:spacing w:lineRule="auto" w:line="360" w:before="60" w:after="160"/>
        <w:contextualSpacing/>
        <w:jc w:val="both"/>
        <w:rPr>
          <w:rFonts w:ascii="Arial" w:hAnsi="Arial" w:cs="Arial"/>
        </w:rPr>
      </w:pPr>
      <w:r>
        <w:rPr>
          <w:rFonts w:cs="Arial" w:ascii="Arial" w:hAnsi="Arial"/>
        </w:rPr>
        <w:t>Konfiguracja zbierania logów systemowych, bezpieczeństwa oraz zdarzeń z monitorowanych serwerów.</w:t>
      </w:r>
    </w:p>
    <w:p>
      <w:pPr>
        <w:pStyle w:val="ListParagraph"/>
        <w:numPr>
          <w:ilvl w:val="0"/>
          <w:numId w:val="3"/>
        </w:numPr>
        <w:spacing w:lineRule="auto" w:line="360" w:before="60" w:after="160"/>
        <w:contextualSpacing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 </w:t>
      </w:r>
      <w:r>
        <w:rPr>
          <w:rFonts w:cs="Arial" w:ascii="Arial" w:hAnsi="Arial"/>
        </w:rPr>
        <w:t>Konfiguracja zbierania logów z urządzeń sieciowych i bezpieczeństwa z wykorzystaniem protokołu Syslog.</w:t>
      </w:r>
    </w:p>
    <w:p>
      <w:pPr>
        <w:pStyle w:val="ListParagraph"/>
        <w:numPr>
          <w:ilvl w:val="0"/>
          <w:numId w:val="3"/>
        </w:numPr>
        <w:spacing w:lineRule="auto" w:line="360" w:before="60" w:after="160"/>
        <w:contextualSpacing/>
        <w:jc w:val="both"/>
        <w:rPr>
          <w:rFonts w:ascii="Arial" w:hAnsi="Arial" w:cs="Arial"/>
        </w:rPr>
      </w:pPr>
      <w:r>
        <w:rPr>
          <w:rFonts w:cs="Arial" w:ascii="Arial" w:hAnsi="Arial"/>
        </w:rPr>
        <w:t>Konfiguracja podstawowych reguł detekcji zdarzeń bezpieczeństwa oraz alertowania o zdarzeniach krytycznych.</w:t>
      </w:r>
    </w:p>
    <w:p>
      <w:pPr>
        <w:pStyle w:val="ListParagraph"/>
        <w:numPr>
          <w:ilvl w:val="0"/>
          <w:numId w:val="3"/>
        </w:numPr>
        <w:spacing w:lineRule="auto" w:line="360" w:before="60" w:after="160"/>
        <w:contextualSpacing/>
        <w:jc w:val="both"/>
        <w:rPr>
          <w:rFonts w:ascii="Arial" w:hAnsi="Arial" w:cs="Arial"/>
        </w:rPr>
      </w:pPr>
      <w:r>
        <w:rPr>
          <w:rFonts w:cs="Arial" w:ascii="Arial" w:hAnsi="Arial"/>
        </w:rPr>
        <w:t>Konfiguracja dashboardów i widoków umożliwiających analizę zdarzeń bezpieczeństwa oraz stanu monitorowanych zasobów.</w:t>
      </w:r>
    </w:p>
    <w:p>
      <w:pPr>
        <w:pStyle w:val="ListParagraph"/>
        <w:numPr>
          <w:ilvl w:val="0"/>
          <w:numId w:val="3"/>
        </w:numPr>
        <w:spacing w:lineRule="auto" w:line="360" w:before="60" w:after="160"/>
        <w:contextualSpacing/>
        <w:jc w:val="both"/>
        <w:rPr>
          <w:rFonts w:ascii="Arial" w:hAnsi="Arial" w:cs="Arial"/>
        </w:rPr>
      </w:pPr>
      <w:r>
        <w:rPr>
          <w:rFonts w:cs="Arial" w:ascii="Arial" w:hAnsi="Arial"/>
        </w:rPr>
        <w:t>Konfiguracja powiadomień e-mail dla wybranych zdarzeń bezpieczeństwa i zdarzeń systemowych.</w:t>
      </w:r>
    </w:p>
    <w:p>
      <w:pPr>
        <w:pStyle w:val="ListParagraph"/>
        <w:numPr>
          <w:ilvl w:val="0"/>
          <w:numId w:val="3"/>
        </w:numPr>
        <w:spacing w:lineRule="auto" w:line="360" w:before="60" w:after="160"/>
        <w:contextualSpacing/>
        <w:jc w:val="both"/>
        <w:rPr>
          <w:rFonts w:ascii="Arial" w:hAnsi="Arial" w:cs="Arial"/>
        </w:rPr>
      </w:pPr>
      <w:r>
        <w:rPr>
          <w:rFonts w:cs="Arial" w:ascii="Arial" w:hAnsi="Arial"/>
        </w:rPr>
        <w:t>Przeprowadzenie testów funkcjonalnych wdrożonego rozwiązania, obejmujących zbieranie logów, generowanie alertów, widoczność zdarzeń w konsoli oraz weryfikację poprawności działania agentów.</w:t>
      </w:r>
    </w:p>
    <w:p>
      <w:pPr>
        <w:pStyle w:val="Nagwek1"/>
        <w:numPr>
          <w:ilvl w:val="0"/>
          <w:numId w:val="27"/>
        </w:numPr>
        <w:ind w:left="431" w:hanging="431"/>
        <w:rPr/>
      </w:pPr>
      <w:r>
        <w:rPr/>
        <w:t>Wdrożenie rozwiązania open-source typu SOAR</w:t>
      </w:r>
    </w:p>
    <w:p>
      <w:pPr>
        <w:pStyle w:val="StandardBold"/>
        <w:jc w:val="both"/>
        <w:rPr/>
      </w:pPr>
      <w:r>
        <w:rPr/>
        <w:t>Wdrożenie rozwiązania open-source system typu SOAR jako platformy automatyzującej i koordynującej proces reagowania na incydenty bezpieczeństwa, współpracująca z z SIEM, EDR, NDR i innymi narzędziami zabezpieczeń dla obszaru IT i OT/ICS/IIoT</w:t>
      </w:r>
    </w:p>
    <w:p>
      <w:pPr>
        <w:pStyle w:val="Normal"/>
        <w:rPr/>
      </w:pPr>
      <w:r>
        <w:rPr/>
      </w:r>
    </w:p>
    <w:p>
      <w:pPr>
        <w:pStyle w:val="ListParagraph"/>
        <w:numPr>
          <w:ilvl w:val="0"/>
          <w:numId w:val="4"/>
        </w:numPr>
        <w:spacing w:lineRule="auto" w:line="360" w:before="60" w:after="160"/>
        <w:contextualSpacing/>
        <w:jc w:val="both"/>
        <w:rPr>
          <w:rFonts w:ascii="Arial" w:hAnsi="Arial" w:cs="Arial"/>
        </w:rPr>
      </w:pPr>
      <w:r>
        <w:rPr>
          <w:rFonts w:cs="Arial" w:ascii="Arial" w:hAnsi="Arial"/>
        </w:rPr>
        <w:t>Instalacja oprogramowania klasy SOAR, np. typu open source, w środowisku serwerowym Zamawiającego.</w:t>
      </w:r>
    </w:p>
    <w:p>
      <w:pPr>
        <w:pStyle w:val="ListParagraph"/>
        <w:numPr>
          <w:ilvl w:val="0"/>
          <w:numId w:val="4"/>
        </w:numPr>
        <w:spacing w:lineRule="auto" w:line="360" w:before="60" w:after="160"/>
        <w:contextualSpacing/>
        <w:jc w:val="both"/>
        <w:rPr>
          <w:rFonts w:ascii="Arial" w:hAnsi="Arial" w:cs="Arial"/>
        </w:rPr>
      </w:pPr>
      <w:r>
        <w:rPr>
          <w:rFonts w:cs="Arial" w:ascii="Arial" w:hAnsi="Arial"/>
        </w:rPr>
        <w:t>Konfiguracja podstawowych parametrów systemowych rozwiązania, w tym adresacji IP, DNS oraz synchronizacji czasu NTP.</w:t>
      </w:r>
    </w:p>
    <w:p>
      <w:pPr>
        <w:pStyle w:val="ListParagraph"/>
        <w:numPr>
          <w:ilvl w:val="0"/>
          <w:numId w:val="4"/>
        </w:numPr>
        <w:spacing w:lineRule="auto" w:line="360" w:before="60" w:after="160"/>
        <w:contextualSpacing/>
        <w:jc w:val="both"/>
        <w:rPr>
          <w:rFonts w:ascii="Arial" w:hAnsi="Arial" w:cs="Arial"/>
        </w:rPr>
      </w:pPr>
      <w:r>
        <w:rPr>
          <w:rFonts w:cs="Arial" w:ascii="Arial" w:hAnsi="Arial"/>
        </w:rPr>
        <w:t>Konfiguracja dostępu administracyjnego do konsoli zarządzającej systemu SOAR.</w:t>
      </w:r>
    </w:p>
    <w:p>
      <w:pPr>
        <w:pStyle w:val="ListParagraph"/>
        <w:numPr>
          <w:ilvl w:val="0"/>
          <w:numId w:val="4"/>
        </w:numPr>
        <w:spacing w:lineRule="auto" w:line="360" w:before="60" w:after="160"/>
        <w:contextualSpacing/>
        <w:jc w:val="both"/>
        <w:rPr>
          <w:rFonts w:ascii="Arial" w:hAnsi="Arial" w:cs="Arial"/>
        </w:rPr>
      </w:pPr>
      <w:r>
        <w:rPr>
          <w:rFonts w:cs="Arial" w:ascii="Arial" w:hAnsi="Arial"/>
        </w:rPr>
        <w:t>Integracja systemu SOAR z usługą katalogową Microsoft Active Directory lub LDAP, jeżeli funkcjonalność ta jest dostępna w oferowanym rozwiązaniu.</w:t>
      </w:r>
    </w:p>
    <w:p>
      <w:pPr>
        <w:pStyle w:val="ListParagraph"/>
        <w:numPr>
          <w:ilvl w:val="0"/>
          <w:numId w:val="4"/>
        </w:numPr>
        <w:spacing w:lineRule="auto" w:line="360" w:before="60" w:after="160"/>
        <w:contextualSpacing/>
        <w:jc w:val="both"/>
        <w:rPr>
          <w:rFonts w:ascii="Arial" w:hAnsi="Arial" w:cs="Arial"/>
        </w:rPr>
      </w:pPr>
      <w:r>
        <w:rPr>
          <w:rFonts w:cs="Arial" w:ascii="Arial" w:hAnsi="Arial"/>
        </w:rPr>
        <w:t>Konfiguracja ról, uprawnień oraz grup użytkowników administracyjnych w systemie SOAR.</w:t>
      </w:r>
    </w:p>
    <w:p>
      <w:pPr>
        <w:pStyle w:val="ListParagraph"/>
        <w:numPr>
          <w:ilvl w:val="0"/>
          <w:numId w:val="4"/>
        </w:numPr>
        <w:spacing w:lineRule="auto" w:line="360" w:before="60" w:after="160"/>
        <w:contextualSpacing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Integracja systemu SOAR z systemem SIEM </w:t>
      </w:r>
    </w:p>
    <w:p>
      <w:pPr>
        <w:pStyle w:val="ListParagraph"/>
        <w:numPr>
          <w:ilvl w:val="0"/>
          <w:numId w:val="4"/>
        </w:numPr>
        <w:spacing w:lineRule="auto" w:line="360" w:before="60" w:after="160"/>
        <w:contextualSpacing/>
        <w:jc w:val="both"/>
        <w:rPr>
          <w:rFonts w:ascii="Arial" w:hAnsi="Arial" w:cs="Arial"/>
        </w:rPr>
      </w:pPr>
      <w:r>
        <w:rPr>
          <w:rFonts w:cs="Arial" w:ascii="Arial" w:hAnsi="Arial"/>
        </w:rPr>
        <w:t>Konfiguracja mechanizmu przekazywania alertów do systemu SOAR, np. z wykorzystaniem webhook, API lub innego dostępnego mechanizmu integracyjnego.</w:t>
      </w:r>
    </w:p>
    <w:p>
      <w:pPr>
        <w:pStyle w:val="ListParagraph"/>
        <w:numPr>
          <w:ilvl w:val="0"/>
          <w:numId w:val="4"/>
        </w:numPr>
        <w:spacing w:lineRule="auto" w:line="360" w:before="60" w:after="160"/>
        <w:contextualSpacing/>
        <w:jc w:val="both"/>
        <w:rPr>
          <w:rFonts w:ascii="Arial" w:hAnsi="Arial" w:cs="Arial"/>
        </w:rPr>
      </w:pPr>
      <w:r>
        <w:rPr>
          <w:rFonts w:cs="Arial" w:ascii="Arial" w:hAnsi="Arial"/>
        </w:rPr>
        <w:t>Konfiguracja podstawowych scenariuszy automatyzacji reakcji na incydenty bezpieczeństwa, obejmujących co najmniej odbiór alertu, jego przetworzenie oraz uruchomienie zdefiniowanej akcji.</w:t>
      </w:r>
    </w:p>
    <w:p>
      <w:pPr>
        <w:pStyle w:val="ListParagraph"/>
        <w:numPr>
          <w:ilvl w:val="0"/>
          <w:numId w:val="4"/>
        </w:numPr>
        <w:spacing w:lineRule="auto" w:line="360" w:before="60" w:after="160"/>
        <w:contextualSpacing/>
        <w:jc w:val="both"/>
        <w:rPr>
          <w:rFonts w:ascii="Arial" w:hAnsi="Arial" w:cs="Arial"/>
        </w:rPr>
      </w:pPr>
      <w:r>
        <w:rPr>
          <w:rFonts w:cs="Arial" w:ascii="Arial" w:hAnsi="Arial"/>
        </w:rPr>
        <w:t>Konfiguracja co najmniej jednego przykładowego workflow/playbooka reakcji na zdarzenie bezpieczeństwa, np. dla alertu pochodzącego z systemu SIEM</w:t>
      </w:r>
    </w:p>
    <w:p>
      <w:pPr>
        <w:pStyle w:val="Nagwek1"/>
        <w:numPr>
          <w:ilvl w:val="0"/>
          <w:numId w:val="28"/>
        </w:numPr>
        <w:ind w:left="431" w:hanging="431"/>
        <w:rPr/>
      </w:pPr>
      <w:r>
        <w:rPr/>
        <w:t>Wdrożenie rozwiązania open-source typu menadżer logów</w:t>
      </w:r>
    </w:p>
    <w:p>
      <w:pPr>
        <w:pStyle w:val="StandardBold"/>
        <w:jc w:val="both"/>
        <w:rPr/>
      </w:pPr>
      <w:r>
        <w:rPr/>
        <w:t>Wdrożenie rozwiązania open-source typu menadżer logów jako oprogramowanie służące do centralnego gromadzenia, przechowywania, przeszukiwania oraz udostępniania logów generowanych przez systemy operacyjne, urządzenia sieciowe, aplikacje i usługi dla obszaru IT i OT/ICS/IIoT</w:t>
      </w:r>
    </w:p>
    <w:p>
      <w:pPr>
        <w:pStyle w:val="Normal"/>
        <w:rPr/>
      </w:pPr>
      <w:r>
        <w:rPr/>
      </w:r>
    </w:p>
    <w:p>
      <w:pPr>
        <w:pStyle w:val="ListParagraph"/>
        <w:numPr>
          <w:ilvl w:val="0"/>
          <w:numId w:val="5"/>
        </w:numPr>
        <w:spacing w:lineRule="auto" w:line="360" w:before="60" w:after="160"/>
        <w:contextualSpacing/>
        <w:jc w:val="both"/>
        <w:rPr>
          <w:rFonts w:ascii="Arial" w:hAnsi="Arial" w:cs="Arial"/>
        </w:rPr>
      </w:pPr>
      <w:r>
        <w:rPr>
          <w:rFonts w:cs="Arial" w:ascii="Arial" w:hAnsi="Arial"/>
        </w:rPr>
        <w:t>Instalacja oprogramowania typu menadżer logów, np. typu open source lub z publicznie dostępnym kodem źródłowym, w środowisku serwerowym Zamawiającego.</w:t>
      </w:r>
    </w:p>
    <w:p>
      <w:pPr>
        <w:pStyle w:val="ListParagraph"/>
        <w:numPr>
          <w:ilvl w:val="0"/>
          <w:numId w:val="5"/>
        </w:numPr>
        <w:spacing w:lineRule="auto" w:line="360" w:before="60" w:after="160"/>
        <w:contextualSpacing/>
        <w:jc w:val="both"/>
        <w:rPr>
          <w:rFonts w:ascii="Arial" w:hAnsi="Arial" w:cs="Arial"/>
        </w:rPr>
      </w:pPr>
      <w:r>
        <w:rPr>
          <w:rFonts w:cs="Arial" w:ascii="Arial" w:hAnsi="Arial"/>
        </w:rPr>
        <w:t>Konfiguracja podstawowych parametrów systemowych rozwiązania, w tym adresacji IP, DNS oraz synchronizacji czasu NTP.</w:t>
      </w:r>
    </w:p>
    <w:p>
      <w:pPr>
        <w:pStyle w:val="ListParagraph"/>
        <w:numPr>
          <w:ilvl w:val="0"/>
          <w:numId w:val="5"/>
        </w:numPr>
        <w:spacing w:lineRule="auto" w:line="360" w:before="60" w:after="160"/>
        <w:contextualSpacing/>
        <w:jc w:val="both"/>
        <w:rPr>
          <w:rFonts w:ascii="Arial" w:hAnsi="Arial" w:cs="Arial"/>
        </w:rPr>
      </w:pPr>
      <w:r>
        <w:rPr>
          <w:rFonts w:cs="Arial" w:ascii="Arial" w:hAnsi="Arial"/>
        </w:rPr>
        <w:t>Konfiguracja dostępu administracyjnego do konsoli zarządzającej systemu.</w:t>
      </w:r>
    </w:p>
    <w:p>
      <w:pPr>
        <w:pStyle w:val="ListParagraph"/>
        <w:numPr>
          <w:ilvl w:val="0"/>
          <w:numId w:val="5"/>
        </w:numPr>
        <w:spacing w:lineRule="auto" w:line="360" w:before="60" w:after="160"/>
        <w:contextualSpacing/>
        <w:jc w:val="both"/>
        <w:rPr>
          <w:rFonts w:ascii="Arial" w:hAnsi="Arial" w:cs="Arial"/>
        </w:rPr>
      </w:pPr>
      <w:r>
        <w:rPr>
          <w:rFonts w:cs="Arial" w:ascii="Arial" w:hAnsi="Arial"/>
        </w:rPr>
        <w:t>Integracja systemu z usługą katalogową Microsoft Active Directory lub LDAP, jeżeli funkcjonalność ta jest dostępna w oferowanym rozwiązaniu.</w:t>
      </w:r>
    </w:p>
    <w:p>
      <w:pPr>
        <w:pStyle w:val="ListParagraph"/>
        <w:numPr>
          <w:ilvl w:val="0"/>
          <w:numId w:val="5"/>
        </w:numPr>
        <w:spacing w:lineRule="auto" w:line="360" w:before="60" w:after="160"/>
        <w:contextualSpacing/>
        <w:jc w:val="both"/>
        <w:rPr>
          <w:rFonts w:ascii="Arial" w:hAnsi="Arial" w:cs="Arial"/>
        </w:rPr>
      </w:pPr>
      <w:r>
        <w:rPr>
          <w:rFonts w:cs="Arial" w:ascii="Arial" w:hAnsi="Arial"/>
        </w:rPr>
        <w:t>Konfiguracja ról, uprawnień oraz grup użytkowników administracyjnych w systemie.</w:t>
      </w:r>
    </w:p>
    <w:p>
      <w:pPr>
        <w:pStyle w:val="ListParagraph"/>
        <w:numPr>
          <w:ilvl w:val="0"/>
          <w:numId w:val="5"/>
        </w:numPr>
        <w:spacing w:lineRule="auto" w:line="360" w:before="60" w:after="160"/>
        <w:contextualSpacing/>
        <w:jc w:val="both"/>
        <w:rPr>
          <w:rFonts w:ascii="Arial" w:hAnsi="Arial" w:cs="Arial"/>
        </w:rPr>
      </w:pPr>
      <w:r>
        <w:rPr>
          <w:rFonts w:cs="Arial" w:ascii="Arial" w:hAnsi="Arial"/>
        </w:rPr>
        <w:t>Konfiguracja źródeł logów wskazanych przez Zamawiającego, obejmujących co najmniej systemy operacyjne, urządzenia sieciowe, aplikacje lub usługi.</w:t>
      </w:r>
    </w:p>
    <w:p>
      <w:pPr>
        <w:pStyle w:val="ListParagraph"/>
        <w:numPr>
          <w:ilvl w:val="0"/>
          <w:numId w:val="5"/>
        </w:numPr>
        <w:spacing w:lineRule="auto" w:line="360" w:before="60" w:after="160"/>
        <w:contextualSpacing/>
        <w:jc w:val="both"/>
        <w:rPr>
          <w:rFonts w:ascii="Arial" w:hAnsi="Arial" w:cs="Arial"/>
        </w:rPr>
      </w:pPr>
      <w:r>
        <w:rPr>
          <w:rFonts w:cs="Arial" w:ascii="Arial" w:hAnsi="Arial"/>
        </w:rPr>
        <w:t>Konfiguracja mechanizmów odbioru logów z wykorzystaniem dostępnych protokołów i formatów, takich jak Syslog, Raw TCP/UDP, GELF, CEF, Beats lub równoważnych.</w:t>
      </w:r>
    </w:p>
    <w:p>
      <w:pPr>
        <w:pStyle w:val="ListParagraph"/>
        <w:numPr>
          <w:ilvl w:val="0"/>
          <w:numId w:val="5"/>
        </w:numPr>
        <w:spacing w:lineRule="auto" w:line="360" w:before="60" w:after="160"/>
        <w:contextualSpacing/>
        <w:jc w:val="both"/>
        <w:rPr>
          <w:rFonts w:ascii="Arial" w:hAnsi="Arial" w:cs="Arial"/>
        </w:rPr>
      </w:pPr>
      <w:r>
        <w:rPr>
          <w:rFonts w:cs="Arial" w:ascii="Arial" w:hAnsi="Arial"/>
        </w:rPr>
        <w:t>Konfiguracja podstawowego przetwarzania, filtrowania i normalizacji logów w celu umożliwienia ich przeszukiwania oraz analizy w konsoli zarządzającej.</w:t>
      </w:r>
    </w:p>
    <w:p>
      <w:pPr>
        <w:pStyle w:val="ListParagraph"/>
        <w:numPr>
          <w:ilvl w:val="0"/>
          <w:numId w:val="5"/>
        </w:numPr>
        <w:spacing w:lineRule="auto" w:line="360" w:before="60" w:after="160"/>
        <w:contextualSpacing/>
        <w:jc w:val="both"/>
        <w:rPr>
          <w:rFonts w:ascii="Arial" w:hAnsi="Arial" w:cs="Arial"/>
        </w:rPr>
      </w:pPr>
      <w:r>
        <w:rPr>
          <w:rFonts w:cs="Arial" w:ascii="Arial" w:hAnsi="Arial"/>
        </w:rPr>
        <w:t>Konfiguracja indeksowania, przechowywania oraz podstawowych zasad retencji logów zgodnie z możliwościami oferowanego rozwiązania i wymaganiami Zamawiającego.</w:t>
      </w:r>
    </w:p>
    <w:p>
      <w:pPr>
        <w:pStyle w:val="ListParagraph"/>
        <w:numPr>
          <w:ilvl w:val="0"/>
          <w:numId w:val="5"/>
        </w:numPr>
        <w:spacing w:lineRule="auto" w:line="360" w:before="60" w:after="160"/>
        <w:contextualSpacing/>
        <w:jc w:val="both"/>
        <w:rPr>
          <w:rFonts w:ascii="Arial" w:hAnsi="Arial" w:cs="Arial"/>
        </w:rPr>
      </w:pPr>
      <w:r>
        <w:rPr>
          <w:rFonts w:cs="Arial" w:ascii="Arial" w:hAnsi="Arial"/>
        </w:rPr>
        <w:t>Konfiguracja podstawowych dashboardów, widoków analitycznych oraz wyszukiwań umożliwiających analizę logów z wybranych źródeł.</w:t>
      </w:r>
    </w:p>
    <w:p>
      <w:pPr>
        <w:pStyle w:val="Nagwek1"/>
        <w:numPr>
          <w:ilvl w:val="0"/>
          <w:numId w:val="29"/>
        </w:numPr>
        <w:ind w:left="431" w:hanging="431"/>
        <w:rPr/>
      </w:pPr>
      <w:r>
        <w:rPr/>
        <w:t xml:space="preserve">Wdrożenie rozwiązania open-source do skanowania, badania i zarządzania podatnościami </w:t>
      </w:r>
    </w:p>
    <w:p>
      <w:pPr>
        <w:pStyle w:val="StandardBold"/>
        <w:jc w:val="both"/>
        <w:rPr/>
      </w:pPr>
      <w:r>
        <w:rPr/>
        <w:t>Wdrożenie rozwiązania open-source do skanowania, badania i zarządzania podatnościami jako narzędzie do automatycznego wykrywania, oceny i nadzorowania podatności w systemach oraz wspierania ich usuwania zgodnie z priorytetami ryzyka dla obszaru IT i OT/ICS/IIoT</w:t>
      </w:r>
    </w:p>
    <w:p>
      <w:pPr>
        <w:pStyle w:val="Normal"/>
        <w:rPr/>
      </w:pPr>
      <w:r>
        <w:rPr/>
      </w:r>
    </w:p>
    <w:p>
      <w:pPr>
        <w:pStyle w:val="ListParagraph"/>
        <w:numPr>
          <w:ilvl w:val="0"/>
          <w:numId w:val="6"/>
        </w:numPr>
        <w:spacing w:lineRule="auto" w:line="360" w:before="60" w:after="160"/>
        <w:contextualSpacing/>
        <w:jc w:val="both"/>
        <w:rPr>
          <w:rFonts w:ascii="Arial" w:hAnsi="Arial" w:cs="Arial"/>
        </w:rPr>
      </w:pPr>
      <w:r>
        <w:rPr>
          <w:rFonts w:cs="Arial" w:ascii="Arial" w:hAnsi="Arial"/>
        </w:rPr>
        <w:t>Instalacja oprogramowania do skanowania, badania i zarządzania podatnościami, np. typu open source, w środowisku serwerowym Zamawiającego.</w:t>
      </w:r>
    </w:p>
    <w:p>
      <w:pPr>
        <w:pStyle w:val="ListParagraph"/>
        <w:numPr>
          <w:ilvl w:val="0"/>
          <w:numId w:val="6"/>
        </w:numPr>
        <w:spacing w:lineRule="auto" w:line="360" w:before="60" w:after="160"/>
        <w:contextualSpacing/>
        <w:jc w:val="both"/>
        <w:rPr>
          <w:rFonts w:ascii="Arial" w:hAnsi="Arial" w:cs="Arial"/>
        </w:rPr>
      </w:pPr>
      <w:r>
        <w:rPr>
          <w:rFonts w:cs="Arial" w:ascii="Arial" w:hAnsi="Arial"/>
        </w:rPr>
        <w:t>Konfiguracja podstawowych parametrów systemowych rozwiązania, w tym adresacji IP, DNS oraz synhronizacji czasu NTP.</w:t>
      </w:r>
    </w:p>
    <w:p>
      <w:pPr>
        <w:pStyle w:val="ListParagraph"/>
        <w:numPr>
          <w:ilvl w:val="0"/>
          <w:numId w:val="6"/>
        </w:numPr>
        <w:spacing w:lineRule="auto" w:line="360" w:before="60" w:after="160"/>
        <w:contextualSpacing/>
        <w:jc w:val="both"/>
        <w:rPr>
          <w:rFonts w:ascii="Arial" w:hAnsi="Arial" w:cs="Arial"/>
        </w:rPr>
      </w:pPr>
      <w:r>
        <w:rPr>
          <w:rFonts w:cs="Arial" w:ascii="Arial" w:hAnsi="Arial"/>
        </w:rPr>
        <w:t>Konfiguracja dostępu administracyjnego do konsoli zarządzającej systemu.</w:t>
      </w:r>
    </w:p>
    <w:p>
      <w:pPr>
        <w:pStyle w:val="ListParagraph"/>
        <w:numPr>
          <w:ilvl w:val="0"/>
          <w:numId w:val="6"/>
        </w:numPr>
        <w:spacing w:lineRule="auto" w:line="360" w:before="60" w:after="160"/>
        <w:contextualSpacing/>
        <w:jc w:val="both"/>
        <w:rPr>
          <w:rFonts w:ascii="Arial" w:hAnsi="Arial" w:cs="Arial"/>
        </w:rPr>
      </w:pPr>
      <w:r>
        <w:rPr>
          <w:rFonts w:cs="Arial" w:ascii="Arial" w:hAnsi="Arial"/>
        </w:rPr>
        <w:t>Konfiguracja ról, uprawnień oraz grup użytkowników administracyjnych w systemie.</w:t>
      </w:r>
    </w:p>
    <w:p>
      <w:pPr>
        <w:pStyle w:val="ListParagraph"/>
        <w:numPr>
          <w:ilvl w:val="0"/>
          <w:numId w:val="6"/>
        </w:numPr>
        <w:spacing w:lineRule="auto" w:line="360" w:before="60" w:after="160"/>
        <w:contextualSpacing/>
        <w:jc w:val="both"/>
        <w:rPr>
          <w:rFonts w:ascii="Arial" w:hAnsi="Arial" w:cs="Arial"/>
        </w:rPr>
      </w:pPr>
      <w:r>
        <w:rPr>
          <w:rFonts w:cs="Arial" w:ascii="Arial" w:hAnsi="Arial"/>
        </w:rPr>
        <w:t>Konfiguracja aktualizacji baz testów podatności, definicji podatności, sygnatur lub feedów bezpieczeństwa dostępnych dla oferowanego rozwiązania.</w:t>
      </w:r>
    </w:p>
    <w:p>
      <w:pPr>
        <w:pStyle w:val="ListParagraph"/>
        <w:numPr>
          <w:ilvl w:val="0"/>
          <w:numId w:val="6"/>
        </w:numPr>
        <w:spacing w:lineRule="auto" w:line="360" w:before="60" w:after="160"/>
        <w:contextualSpacing/>
        <w:jc w:val="both"/>
        <w:rPr>
          <w:rFonts w:ascii="Arial" w:hAnsi="Arial" w:cs="Arial"/>
        </w:rPr>
      </w:pPr>
      <w:r>
        <w:rPr>
          <w:rFonts w:cs="Arial" w:ascii="Arial" w:hAnsi="Arial"/>
        </w:rPr>
        <w:t>Konfiguracja zakresów skanowania wskazanych przez Zamawiającego, obejmujących wybrane zasoby IT,</w:t>
      </w:r>
    </w:p>
    <w:p>
      <w:pPr>
        <w:pStyle w:val="Normal"/>
        <w:rPr/>
      </w:pPr>
      <w:r>
        <w:rPr/>
      </w:r>
    </w:p>
    <w:p>
      <w:pPr>
        <w:pStyle w:val="Nagwek1"/>
        <w:numPr>
          <w:ilvl w:val="0"/>
          <w:numId w:val="30"/>
        </w:numPr>
        <w:ind w:left="431" w:hanging="431"/>
        <w:rPr/>
      </w:pPr>
      <w:r>
        <w:rPr/>
        <w:t>Wdrożenie rozwiązania open-source do monitorowania infrastruktury IT</w:t>
      </w:r>
    </w:p>
    <w:p>
      <w:pPr>
        <w:pStyle w:val="StandardBold"/>
        <w:jc w:val="both"/>
        <w:rPr/>
      </w:pPr>
      <w:r>
        <w:rPr/>
        <w:t>Wdrożenie rozwiązania open-source do monitorowania infrastruktury informatycznej - narzędzie do stałej obserwacji dostępności, wydajności i stanu zasobów informatycznych oraz generowania alertów w przypadku nieprawidłowości dla obszaru IT i OT/ICS/IIoT</w:t>
      </w:r>
    </w:p>
    <w:p>
      <w:pPr>
        <w:pStyle w:val="Normal"/>
        <w:rPr/>
      </w:pPr>
      <w:r>
        <w:rPr/>
      </w:r>
    </w:p>
    <w:p>
      <w:pPr>
        <w:pStyle w:val="ListParagraph"/>
        <w:numPr>
          <w:ilvl w:val="0"/>
          <w:numId w:val="7"/>
        </w:numPr>
        <w:spacing w:lineRule="auto" w:line="360" w:before="60" w:after="160"/>
        <w:contextualSpacing/>
        <w:jc w:val="both"/>
        <w:rPr>
          <w:rFonts w:ascii="Arial" w:hAnsi="Arial" w:cs="Arial"/>
        </w:rPr>
      </w:pPr>
      <w:r>
        <w:rPr>
          <w:rFonts w:cs="Arial" w:ascii="Arial" w:hAnsi="Arial"/>
        </w:rPr>
        <w:t>Instalacja oprogramowania do monitorowania infrastruktury informatycznej, np. typu open source, w środowisku serwerowym Zamawiającego.</w:t>
      </w:r>
    </w:p>
    <w:p>
      <w:pPr>
        <w:pStyle w:val="ListParagraph"/>
        <w:numPr>
          <w:ilvl w:val="0"/>
          <w:numId w:val="7"/>
        </w:numPr>
        <w:spacing w:lineRule="auto" w:line="360" w:before="60" w:after="160"/>
        <w:contextualSpacing/>
        <w:jc w:val="both"/>
        <w:rPr>
          <w:rFonts w:ascii="Arial" w:hAnsi="Arial" w:cs="Arial"/>
        </w:rPr>
      </w:pPr>
      <w:r>
        <w:rPr>
          <w:rFonts w:cs="Arial" w:ascii="Arial" w:hAnsi="Arial"/>
        </w:rPr>
        <w:t>Konfiguracja podstawowych parametrów systemowych rozwiązania, w tym adresacji IP, DNS oraz synchronizacji czasu NTP.</w:t>
      </w:r>
    </w:p>
    <w:p>
      <w:pPr>
        <w:pStyle w:val="ListParagraph"/>
        <w:numPr>
          <w:ilvl w:val="0"/>
          <w:numId w:val="7"/>
        </w:numPr>
        <w:spacing w:lineRule="auto" w:line="360" w:before="60" w:after="160"/>
        <w:contextualSpacing/>
        <w:jc w:val="both"/>
        <w:rPr>
          <w:rFonts w:ascii="Arial" w:hAnsi="Arial" w:cs="Arial"/>
        </w:rPr>
      </w:pPr>
      <w:r>
        <w:rPr>
          <w:rFonts w:cs="Arial" w:ascii="Arial" w:hAnsi="Arial"/>
        </w:rPr>
        <w:t>Konfiguracja dostępu administracyjnego do konsoli zarządzającej systemu monitorowania.</w:t>
      </w:r>
    </w:p>
    <w:p>
      <w:pPr>
        <w:pStyle w:val="ListParagraph"/>
        <w:numPr>
          <w:ilvl w:val="0"/>
          <w:numId w:val="7"/>
        </w:numPr>
        <w:spacing w:lineRule="auto" w:line="360" w:before="60" w:after="160"/>
        <w:contextualSpacing/>
        <w:jc w:val="both"/>
        <w:rPr>
          <w:rFonts w:ascii="Arial" w:hAnsi="Arial" w:cs="Arial"/>
        </w:rPr>
      </w:pPr>
      <w:r>
        <w:rPr>
          <w:rFonts w:cs="Arial" w:ascii="Arial" w:hAnsi="Arial"/>
        </w:rPr>
        <w:t>Konfiguracja ról, uprawnień oraz grup użytkowników administracyjnych w systemie.</w:t>
      </w:r>
    </w:p>
    <w:p>
      <w:pPr>
        <w:pStyle w:val="ListParagraph"/>
        <w:numPr>
          <w:ilvl w:val="0"/>
          <w:numId w:val="7"/>
        </w:numPr>
        <w:spacing w:lineRule="auto" w:line="360" w:before="60" w:after="160"/>
        <w:contextualSpacing/>
        <w:jc w:val="both"/>
        <w:rPr>
          <w:rFonts w:ascii="Arial" w:hAnsi="Arial" w:cs="Arial"/>
        </w:rPr>
      </w:pPr>
      <w:r>
        <w:rPr>
          <w:rFonts w:cs="Arial" w:ascii="Arial" w:hAnsi="Arial"/>
        </w:rPr>
        <w:t>Konfiguracja monitorowanych zasobów wskazanych przez Zamawiającego, obejmujących wybrane serwery, urządzenia sieciowe, urządzenia bezpieczeństwa,</w:t>
      </w:r>
    </w:p>
    <w:p>
      <w:pPr>
        <w:pStyle w:val="ListParagraph"/>
        <w:numPr>
          <w:ilvl w:val="0"/>
          <w:numId w:val="7"/>
        </w:numPr>
        <w:spacing w:lineRule="auto" w:line="360" w:before="60" w:after="160"/>
        <w:contextualSpacing/>
        <w:jc w:val="both"/>
        <w:rPr>
          <w:rFonts w:ascii="Arial" w:hAnsi="Arial" w:cs="Arial"/>
        </w:rPr>
      </w:pPr>
      <w:r>
        <w:rPr>
          <w:rFonts w:cs="Arial" w:ascii="Arial" w:hAnsi="Arial"/>
        </w:rPr>
        <w:t>Konfiguracja mechanizmów monitorowania dostępności i stanu zasobów, np. z wykorzystaniem ICMP, SNMP, agenta monitorującego, HTTP/HTTPS, TCP, Syslog lub mechanizmów równoważnych.</w:t>
      </w:r>
    </w:p>
    <w:p>
      <w:pPr>
        <w:pStyle w:val="ListParagraph"/>
        <w:numPr>
          <w:ilvl w:val="0"/>
          <w:numId w:val="7"/>
        </w:numPr>
        <w:spacing w:lineRule="auto" w:line="360" w:before="60" w:after="160"/>
        <w:contextualSpacing/>
        <w:jc w:val="both"/>
        <w:rPr>
          <w:rFonts w:ascii="Arial" w:hAnsi="Arial" w:cs="Arial"/>
        </w:rPr>
      </w:pPr>
      <w:r>
        <w:rPr>
          <w:rFonts w:cs="Arial" w:ascii="Arial" w:hAnsi="Arial"/>
        </w:rPr>
        <w:t>Konfiguracja monitorowania podstawowych parametrów wydajnościowych, w tym dostępności, obciążenia CPU, wykorzystania pamięci RAM, przestrzeni dyskowej, stanu interfejsów sieciowych, ruchu sieciowego oraz stanu usług.</w:t>
      </w:r>
    </w:p>
    <w:p>
      <w:pPr>
        <w:pStyle w:val="ListParagraph"/>
        <w:numPr>
          <w:ilvl w:val="0"/>
          <w:numId w:val="7"/>
        </w:numPr>
        <w:spacing w:lineRule="auto" w:line="360" w:before="60" w:after="160"/>
        <w:contextualSpacing/>
        <w:jc w:val="both"/>
        <w:rPr>
          <w:rFonts w:ascii="Arial" w:hAnsi="Arial" w:cs="Arial"/>
        </w:rPr>
      </w:pPr>
      <w:r>
        <w:rPr>
          <w:rFonts w:cs="Arial" w:ascii="Arial" w:hAnsi="Arial"/>
        </w:rPr>
        <w:t>Konfiguracja progów ostrzegawczych i krytycznych oraz mechanizmów alertowania administratorów o wykrytych nieprawidłowościach, np. poprzez e-mail, webhook lub inny dostępny mechanizm powiadamiania.</w:t>
      </w:r>
    </w:p>
    <w:p>
      <w:pPr>
        <w:pStyle w:val="ListParagraph"/>
        <w:numPr>
          <w:ilvl w:val="0"/>
          <w:numId w:val="7"/>
        </w:numPr>
        <w:spacing w:lineRule="auto" w:line="360" w:before="60" w:after="160"/>
        <w:contextualSpacing/>
        <w:jc w:val="both"/>
        <w:rPr>
          <w:rFonts w:ascii="Arial" w:hAnsi="Arial" w:cs="Arial"/>
        </w:rPr>
      </w:pPr>
      <w:r>
        <w:rPr>
          <w:rFonts w:cs="Arial" w:ascii="Arial" w:hAnsi="Arial"/>
        </w:rPr>
        <w:t>Konfiguracja dashboardów, map, widoków analitycznych oraz podstawowych raportów prezentujących dostępność, wydajność, stan zasobów oraz aktywne problemy.</w:t>
      </w:r>
    </w:p>
    <w:p>
      <w:pPr>
        <w:pStyle w:val="Normal"/>
        <w:rPr/>
      </w:pPr>
      <w:r>
        <w:rPr/>
      </w:r>
    </w:p>
    <w:p>
      <w:pPr>
        <w:pStyle w:val="Nagwek1"/>
        <w:numPr>
          <w:ilvl w:val="0"/>
          <w:numId w:val="31"/>
        </w:numPr>
        <w:ind w:left="431" w:hanging="431"/>
        <w:rPr/>
      </w:pPr>
      <w:r>
        <w:rPr/>
        <w:t xml:space="preserve">Wdrożenie rozwiązania open-source do analizy po włamaniowej  </w:t>
      </w:r>
    </w:p>
    <w:p>
      <w:pPr>
        <w:pStyle w:val="StandardBold"/>
        <w:rPr/>
      </w:pPr>
      <w:r>
        <w:rPr/>
        <w:t>Wdrożenie rozwiązania open-source do analizy po włamaniowej - narzędzie służące do ustalania przyczyn, przebiegu i skutków incydentu bezpieczeństwa oraz zabezpieczania materiału dowodowego na potrzeby dalszego postępowania dla obszaru IT i OT/ICS/IIoT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ListParagraph"/>
        <w:numPr>
          <w:ilvl w:val="0"/>
          <w:numId w:val="8"/>
        </w:numPr>
        <w:spacing w:lineRule="auto" w:line="360" w:before="60" w:after="160"/>
        <w:contextualSpacing/>
        <w:jc w:val="both"/>
        <w:rPr>
          <w:rFonts w:ascii="Arial" w:hAnsi="Arial" w:cs="Arial"/>
        </w:rPr>
      </w:pPr>
      <w:r>
        <w:rPr>
          <w:rFonts w:cs="Arial" w:ascii="Arial" w:hAnsi="Arial"/>
        </w:rPr>
        <w:t>Instalacja oprogramowania open-source do wsparcia analizy powłamaniowej i obsługi incydentów bezpieczeństwa w środowisku serwerowym Zamawiającego.</w:t>
      </w:r>
    </w:p>
    <w:p>
      <w:pPr>
        <w:pStyle w:val="ListParagraph"/>
        <w:numPr>
          <w:ilvl w:val="0"/>
          <w:numId w:val="8"/>
        </w:numPr>
        <w:spacing w:lineRule="auto" w:line="360" w:before="60" w:after="160"/>
        <w:contextualSpacing/>
        <w:jc w:val="both"/>
        <w:rPr>
          <w:rFonts w:ascii="Arial" w:hAnsi="Arial" w:cs="Arial"/>
        </w:rPr>
      </w:pPr>
      <w:r>
        <w:rPr>
          <w:rFonts w:cs="Arial" w:ascii="Arial" w:hAnsi="Arial"/>
        </w:rPr>
        <w:t>Konfiguracja podstawowych parametrów systemowych rozwiązania, w tym adresacji IP, DNS oraz synchronizacji czasu NTP.</w:t>
      </w:r>
    </w:p>
    <w:p>
      <w:pPr>
        <w:pStyle w:val="ListParagraph"/>
        <w:numPr>
          <w:ilvl w:val="0"/>
          <w:numId w:val="8"/>
        </w:numPr>
        <w:spacing w:lineRule="auto" w:line="360" w:before="60" w:after="160"/>
        <w:contextualSpacing/>
        <w:jc w:val="both"/>
        <w:rPr>
          <w:rFonts w:ascii="Arial" w:hAnsi="Arial" w:cs="Arial"/>
        </w:rPr>
      </w:pPr>
      <w:r>
        <w:rPr>
          <w:rFonts w:cs="Arial" w:ascii="Arial" w:hAnsi="Arial"/>
        </w:rPr>
        <w:t>Konfiguracja dostępu administracyjnego do konsoli zarządzającej systemu.</w:t>
      </w:r>
    </w:p>
    <w:p>
      <w:pPr>
        <w:pStyle w:val="ListParagraph"/>
        <w:numPr>
          <w:ilvl w:val="0"/>
          <w:numId w:val="8"/>
        </w:numPr>
        <w:spacing w:lineRule="auto" w:line="360" w:before="60" w:after="160"/>
        <w:contextualSpacing/>
        <w:jc w:val="both"/>
        <w:rPr>
          <w:rFonts w:ascii="Arial" w:hAnsi="Arial" w:cs="Arial"/>
        </w:rPr>
      </w:pPr>
      <w:r>
        <w:rPr>
          <w:rFonts w:cs="Arial" w:ascii="Arial" w:hAnsi="Arial"/>
        </w:rPr>
        <w:t>Konfiguracja ról, uprawnień oraz kont użytkowników administracyjnych i analitycznych.</w:t>
      </w:r>
    </w:p>
    <w:p>
      <w:pPr>
        <w:pStyle w:val="ListParagraph"/>
        <w:numPr>
          <w:ilvl w:val="0"/>
          <w:numId w:val="8"/>
        </w:numPr>
        <w:spacing w:lineRule="auto" w:line="360" w:before="60" w:after="160"/>
        <w:contextualSpacing/>
        <w:jc w:val="both"/>
        <w:rPr>
          <w:rFonts w:ascii="Arial" w:hAnsi="Arial" w:cs="Arial"/>
        </w:rPr>
      </w:pPr>
      <w:r>
        <w:rPr>
          <w:rFonts w:cs="Arial" w:ascii="Arial" w:hAnsi="Arial"/>
        </w:rPr>
        <w:t>Konfiguracja komunikacji pomiędzy konsolą zarządzającą a wybranymi zasobami objętymi analizą, w tym stacjami roboczymi lub serwerami wskazanymi przez Zamawiającego.</w:t>
      </w:r>
    </w:p>
    <w:p>
      <w:pPr>
        <w:pStyle w:val="ListParagraph"/>
        <w:numPr>
          <w:ilvl w:val="0"/>
          <w:numId w:val="8"/>
        </w:numPr>
        <w:spacing w:lineRule="auto" w:line="360" w:before="60" w:after="160"/>
        <w:contextualSpacing/>
        <w:jc w:val="both"/>
        <w:rPr>
          <w:rFonts w:ascii="Arial" w:hAnsi="Arial" w:cs="Arial"/>
        </w:rPr>
      </w:pPr>
      <w:r>
        <w:rPr>
          <w:rFonts w:cs="Arial" w:ascii="Arial" w:hAnsi="Arial"/>
        </w:rPr>
        <w:t>Konfiguracja mechanizmów zbierania artefaktów powłamaniowych z wybranych zasobów, takich jak informacje o procesach, połączeniach sieciowych, kontach użytkowników, usługach, plikach, zadaniach cyklicznych oraz logach systemowych.</w:t>
      </w:r>
    </w:p>
    <w:p>
      <w:pPr>
        <w:pStyle w:val="ListParagraph"/>
        <w:numPr>
          <w:ilvl w:val="0"/>
          <w:numId w:val="8"/>
        </w:numPr>
        <w:spacing w:lineRule="auto" w:line="360" w:before="60" w:after="160"/>
        <w:contextualSpacing/>
        <w:jc w:val="both"/>
        <w:rPr>
          <w:rFonts w:ascii="Arial" w:hAnsi="Arial" w:cs="Arial"/>
        </w:rPr>
      </w:pPr>
      <w:r>
        <w:rPr>
          <w:rFonts w:cs="Arial" w:ascii="Arial" w:hAnsi="Arial"/>
        </w:rPr>
        <w:t>Konfiguracja podstawowych zapytań, kolekcji lub procedur analitycznych umożliwiających identyfikację śladów incydentu bezpieczeństwa oraz ocenę jego przyczyny, przebiegu i skutków.</w:t>
      </w:r>
    </w:p>
    <w:p>
      <w:pPr>
        <w:pStyle w:val="ListParagraph"/>
        <w:spacing w:lineRule="auto" w:line="360" w:before="60" w:after="160"/>
        <w:contextualSpacing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agwek1"/>
        <w:numPr>
          <w:ilvl w:val="0"/>
          <w:numId w:val="32"/>
        </w:numPr>
        <w:ind w:left="431" w:hanging="431"/>
        <w:rPr/>
      </w:pPr>
      <w:r>
        <w:rPr/>
        <w:t>Wdrożenie rozwiązania open-source oprogramowania ITSM</w:t>
      </w:r>
    </w:p>
    <w:p>
      <w:pPr>
        <w:pStyle w:val="StandardBold"/>
        <w:rPr/>
      </w:pPr>
      <w:r>
        <w:rPr/>
        <w:t>Wdrożenie rozwiązania open-source oprogramowania ITSM, oraz aktualizacji systemów dla obszaru IT i OT/ICS/IIoT</w:t>
      </w:r>
    </w:p>
    <w:p>
      <w:pPr>
        <w:pStyle w:val="Normal"/>
        <w:rPr/>
      </w:pPr>
      <w:r>
        <w:rPr/>
      </w:r>
    </w:p>
    <w:p>
      <w:pPr>
        <w:pStyle w:val="ListParagraph"/>
        <w:numPr>
          <w:ilvl w:val="0"/>
          <w:numId w:val="10"/>
        </w:numPr>
        <w:spacing w:lineRule="auto" w:line="360" w:before="60" w:after="160"/>
        <w:contextualSpacing/>
        <w:jc w:val="both"/>
        <w:rPr>
          <w:rFonts w:ascii="Arial" w:hAnsi="Arial" w:cs="Arial"/>
        </w:rPr>
      </w:pPr>
      <w:r>
        <w:rPr>
          <w:rFonts w:cs="Arial" w:ascii="Arial" w:hAnsi="Arial"/>
        </w:rPr>
        <w:t>Instalacja oprogramowania open-source klasy ITSM oraz oprogramowania do zarządzania aktualizacjami systemów w środowisku serwerowym Zamawiającego.</w:t>
      </w:r>
    </w:p>
    <w:p>
      <w:pPr>
        <w:pStyle w:val="ListParagraph"/>
        <w:numPr>
          <w:ilvl w:val="0"/>
          <w:numId w:val="10"/>
        </w:numPr>
        <w:spacing w:lineRule="auto" w:line="360" w:before="60" w:after="160"/>
        <w:contextualSpacing/>
        <w:jc w:val="both"/>
        <w:rPr>
          <w:rFonts w:ascii="Arial" w:hAnsi="Arial" w:cs="Arial"/>
        </w:rPr>
      </w:pPr>
      <w:r>
        <w:rPr>
          <w:rFonts w:cs="Arial" w:ascii="Arial" w:hAnsi="Arial"/>
        </w:rPr>
        <w:t>Konfiguracja podstawowych parametrów systemowych rozwiązań, w tym adresacji IP, DNS oraz synchronizacji czasu NTP.</w:t>
      </w:r>
    </w:p>
    <w:p>
      <w:pPr>
        <w:pStyle w:val="ListParagraph"/>
        <w:numPr>
          <w:ilvl w:val="0"/>
          <w:numId w:val="10"/>
        </w:numPr>
        <w:spacing w:lineRule="auto" w:line="360" w:before="60" w:after="160"/>
        <w:contextualSpacing/>
        <w:jc w:val="both"/>
        <w:rPr>
          <w:rFonts w:ascii="Arial" w:hAnsi="Arial" w:cs="Arial"/>
        </w:rPr>
      </w:pPr>
      <w:r>
        <w:rPr>
          <w:rFonts w:cs="Arial" w:ascii="Arial" w:hAnsi="Arial"/>
        </w:rPr>
        <w:t>Konfiguracja dostępu administracyjnego do konsoli zarządzającej systemu ITSM oraz systemu zarządzania aktualizacjami.</w:t>
      </w:r>
    </w:p>
    <w:p>
      <w:pPr>
        <w:pStyle w:val="ListParagraph"/>
        <w:numPr>
          <w:ilvl w:val="0"/>
          <w:numId w:val="10"/>
        </w:numPr>
        <w:spacing w:lineRule="auto" w:line="360" w:before="60" w:after="160"/>
        <w:contextualSpacing/>
        <w:jc w:val="both"/>
        <w:rPr>
          <w:rFonts w:ascii="Arial" w:hAnsi="Arial" w:cs="Arial"/>
        </w:rPr>
      </w:pPr>
      <w:r>
        <w:rPr>
          <w:rFonts w:cs="Arial" w:ascii="Arial" w:hAnsi="Arial"/>
        </w:rPr>
        <w:t>Integracja systemu ITSM z usługą katalogową Microsoft Active Directory lub LDAP, jeżeli funkcjonalność ta jest dostępna w oferowanym rozwiązaniu.</w:t>
      </w:r>
    </w:p>
    <w:p>
      <w:pPr>
        <w:pStyle w:val="ListParagraph"/>
        <w:numPr>
          <w:ilvl w:val="0"/>
          <w:numId w:val="10"/>
        </w:numPr>
        <w:spacing w:lineRule="auto" w:line="360" w:before="60" w:after="160"/>
        <w:contextualSpacing/>
        <w:jc w:val="both"/>
        <w:rPr>
          <w:rFonts w:ascii="Arial" w:hAnsi="Arial" w:cs="Arial"/>
        </w:rPr>
      </w:pPr>
      <w:r>
        <w:rPr>
          <w:rFonts w:cs="Arial" w:ascii="Arial" w:hAnsi="Arial"/>
        </w:rPr>
        <w:t>Konfiguracja ról, uprawnień oraz grup użytkowników administracyjnych i użytkowników końcowych w systemie ITSM.</w:t>
      </w:r>
    </w:p>
    <w:p>
      <w:pPr>
        <w:pStyle w:val="ListParagraph"/>
        <w:numPr>
          <w:ilvl w:val="0"/>
          <w:numId w:val="10"/>
        </w:numPr>
        <w:spacing w:lineRule="auto" w:line="360" w:before="60" w:after="160"/>
        <w:contextualSpacing/>
        <w:jc w:val="both"/>
        <w:rPr>
          <w:rFonts w:ascii="Arial" w:hAnsi="Arial" w:cs="Arial"/>
        </w:rPr>
      </w:pPr>
      <w:r>
        <w:rPr>
          <w:rFonts w:cs="Arial" w:ascii="Arial" w:hAnsi="Arial"/>
        </w:rPr>
        <w:t>Konfiguracja ewidencji zasobów informatycznych lub bazy zasobów/CI w zakresie wymaganym do powiązania zgłoszeń z systemami, urządzeniami lub usługami Zamawiającego.</w:t>
      </w:r>
    </w:p>
    <w:p>
      <w:pPr>
        <w:pStyle w:val="ListParagraph"/>
        <w:numPr>
          <w:ilvl w:val="0"/>
          <w:numId w:val="10"/>
        </w:numPr>
        <w:spacing w:lineRule="auto" w:line="360" w:before="60" w:after="160"/>
        <w:contextualSpacing/>
        <w:jc w:val="both"/>
        <w:rPr>
          <w:rFonts w:ascii="Arial" w:hAnsi="Arial" w:cs="Arial"/>
        </w:rPr>
      </w:pPr>
      <w:r>
        <w:rPr>
          <w:rFonts w:cs="Arial" w:ascii="Arial" w:hAnsi="Arial"/>
        </w:rPr>
        <w:t>Konfiguracja mechanizmów zarządzania aktualizacjami dla wybranych systemów wskazanych przez Zamawiającego, obejmujących identyfikację systemów, przygotowanie zadań aktualizacyjnych oraz możliwość uruchamiania aktualizacji w uzgodnionych oknach serwisowych.</w:t>
      </w:r>
    </w:p>
    <w:p>
      <w:pPr>
        <w:pStyle w:val="Normal"/>
        <w:rPr/>
      </w:pPr>
      <w:r>
        <w:rPr/>
      </w:r>
    </w:p>
    <w:p>
      <w:pPr>
        <w:pStyle w:val="Nagwek1"/>
        <w:numPr>
          <w:ilvl w:val="0"/>
          <w:numId w:val="33"/>
        </w:numPr>
        <w:ind w:left="431" w:hanging="431"/>
        <w:rPr/>
      </w:pPr>
      <w:r>
        <w:rPr/>
        <w:t>Wdrożenie rozwiązania open-source do skanowania podatności serwisów internetowych</w:t>
      </w:r>
    </w:p>
    <w:p>
      <w:pPr>
        <w:pStyle w:val="StandardBold"/>
        <w:jc w:val="both"/>
        <w:rPr/>
      </w:pPr>
      <w:r>
        <w:rPr/>
        <w:t>Wdrożenie oprogramowania open - source do skanowania podatności serwisów internetowych</w:t>
      </w:r>
    </w:p>
    <w:p>
      <w:pPr>
        <w:pStyle w:val="Normal"/>
        <w:rPr/>
      </w:pPr>
      <w:r>
        <w:rPr/>
      </w:r>
    </w:p>
    <w:p>
      <w:pPr>
        <w:pStyle w:val="ListParagraph"/>
        <w:numPr>
          <w:ilvl w:val="0"/>
          <w:numId w:val="12"/>
        </w:numPr>
        <w:spacing w:lineRule="auto" w:line="360" w:before="60" w:after="160"/>
        <w:contextualSpacing/>
        <w:jc w:val="both"/>
        <w:rPr>
          <w:rFonts w:ascii="Arial" w:hAnsi="Arial" w:cs="Arial"/>
        </w:rPr>
      </w:pPr>
      <w:r>
        <w:rPr>
          <w:rFonts w:cs="Arial" w:ascii="Arial" w:hAnsi="Arial"/>
        </w:rPr>
        <w:t>Instalacja oprogramowania open-source do skanowania podatności serwisów internetowych w środowisku serwerowym Zamawiającego.</w:t>
      </w:r>
    </w:p>
    <w:p>
      <w:pPr>
        <w:pStyle w:val="ListParagraph"/>
        <w:numPr>
          <w:ilvl w:val="0"/>
          <w:numId w:val="12"/>
        </w:numPr>
        <w:spacing w:lineRule="auto" w:line="360" w:before="60" w:after="160"/>
        <w:contextualSpacing/>
        <w:jc w:val="both"/>
        <w:rPr>
          <w:rFonts w:ascii="Arial" w:hAnsi="Arial" w:cs="Arial"/>
        </w:rPr>
      </w:pPr>
      <w:r>
        <w:rPr>
          <w:rFonts w:cs="Arial" w:ascii="Arial" w:hAnsi="Arial"/>
        </w:rPr>
        <w:t>Konfiguracja podstawowych parametrów systemowych rozwiązania, w tym adresacji IP, DNS oraz synchronizacji czasu NTP.</w:t>
      </w:r>
    </w:p>
    <w:p>
      <w:pPr>
        <w:pStyle w:val="ListParagraph"/>
        <w:numPr>
          <w:ilvl w:val="0"/>
          <w:numId w:val="12"/>
        </w:numPr>
        <w:spacing w:lineRule="auto" w:line="360" w:before="60" w:after="160"/>
        <w:contextualSpacing/>
        <w:jc w:val="both"/>
        <w:rPr>
          <w:rFonts w:ascii="Arial" w:hAnsi="Arial" w:cs="Arial"/>
        </w:rPr>
      </w:pPr>
      <w:r>
        <w:rPr>
          <w:rFonts w:cs="Arial" w:ascii="Arial" w:hAnsi="Arial"/>
        </w:rPr>
        <w:t>Konfiguracja dostępu administracyjnego do konsoli lub interfejsu zarządzającego systemu.</w:t>
      </w:r>
    </w:p>
    <w:p>
      <w:pPr>
        <w:pStyle w:val="ListParagraph"/>
        <w:numPr>
          <w:ilvl w:val="0"/>
          <w:numId w:val="12"/>
        </w:numPr>
        <w:spacing w:lineRule="auto" w:line="360" w:before="60" w:after="160"/>
        <w:contextualSpacing/>
        <w:jc w:val="both"/>
        <w:rPr>
          <w:rFonts w:ascii="Arial" w:hAnsi="Arial" w:cs="Arial"/>
        </w:rPr>
      </w:pPr>
      <w:r>
        <w:rPr>
          <w:rFonts w:cs="Arial" w:ascii="Arial" w:hAnsi="Arial"/>
        </w:rPr>
        <w:t>Konfiguracja zakresu skanowania obejmującego wskazane przez Zamawiającego serwisy internetowe, adresy URL, aplikacje webowe lub interfejsy API.</w:t>
      </w:r>
    </w:p>
    <w:p>
      <w:pPr>
        <w:pStyle w:val="ListParagraph"/>
        <w:numPr>
          <w:ilvl w:val="0"/>
          <w:numId w:val="12"/>
        </w:numPr>
        <w:spacing w:lineRule="auto" w:line="360" w:before="60" w:after="160"/>
        <w:contextualSpacing/>
        <w:jc w:val="both"/>
        <w:rPr>
          <w:rFonts w:ascii="Arial" w:hAnsi="Arial" w:cs="Arial"/>
        </w:rPr>
      </w:pPr>
      <w:r>
        <w:rPr>
          <w:rFonts w:cs="Arial" w:ascii="Arial" w:hAnsi="Arial"/>
        </w:rPr>
        <w:t>Przeprowadzenie testów funkcjonalnych wdrożonego rozwiązania, obejmujących wykonanie skanu wskazanego serwisu internetowego, prezentację wyników w systemie oraz wygenerowanie raportu z wynikami skanowania.</w:t>
      </w:r>
    </w:p>
    <w:p>
      <w:pPr>
        <w:pStyle w:val="Nagwek1"/>
        <w:numPr>
          <w:ilvl w:val="0"/>
          <w:numId w:val="34"/>
        </w:numPr>
        <w:ind w:left="431" w:hanging="431"/>
        <w:rPr/>
      </w:pPr>
      <w:r>
        <w:rPr/>
        <w:t>Usługa segmentacji sieci dla obszarów IT i OT</w:t>
      </w:r>
    </w:p>
    <w:p>
      <w:pPr>
        <w:pStyle w:val="StandardBold"/>
        <w:rPr/>
      </w:pPr>
      <w:r>
        <w:rPr/>
        <w:t>Usługa segmentacji sieci dla obszarów IT i OT/ICS/IIoT</w:t>
      </w:r>
    </w:p>
    <w:p>
      <w:pPr>
        <w:pStyle w:val="Normal"/>
        <w:rPr/>
      </w:pPr>
      <w:r>
        <w:rPr/>
      </w:r>
    </w:p>
    <w:p>
      <w:pPr>
        <w:pStyle w:val="ListParagraph"/>
        <w:numPr>
          <w:ilvl w:val="0"/>
          <w:numId w:val="9"/>
        </w:numPr>
        <w:spacing w:lineRule="auto" w:line="360" w:before="60" w:after="160"/>
        <w:contextualSpacing/>
        <w:jc w:val="both"/>
        <w:rPr>
          <w:rFonts w:ascii="Arial" w:hAnsi="Arial" w:cs="Arial"/>
        </w:rPr>
      </w:pPr>
      <w:r>
        <w:rPr>
          <w:rFonts w:cs="Arial" w:ascii="Arial" w:hAnsi="Arial"/>
        </w:rPr>
        <w:t>Przeprowadzenie analizy obecnej architektury sieciowej Zamawiającego w zakresie obszarów IT oraz OT/ICS/IIoT, obejmującej identyfikację głównych segmentów, podsieci, VLAN, urządzeń, systemów oraz przepływów komunikacyjnych.</w:t>
      </w:r>
    </w:p>
    <w:p>
      <w:pPr>
        <w:pStyle w:val="ListParagraph"/>
        <w:numPr>
          <w:ilvl w:val="0"/>
          <w:numId w:val="9"/>
        </w:numPr>
        <w:spacing w:lineRule="auto" w:line="360" w:before="60" w:after="160"/>
        <w:contextualSpacing/>
        <w:jc w:val="both"/>
        <w:rPr>
          <w:rFonts w:ascii="Arial" w:hAnsi="Arial" w:cs="Arial"/>
        </w:rPr>
      </w:pPr>
      <w:r>
        <w:rPr>
          <w:rFonts w:cs="Arial" w:ascii="Arial" w:hAnsi="Arial"/>
        </w:rPr>
        <w:t>Opracowanie koncepcji logicznej segmentacji sieci z podziałem na obszary funkcjonalne, w tym co najmniej sieć użytkowników, serwerów, zarządzania, urządzeń bezpieczeństwa, systemów OT/ICS/IIoT oraz stref pośrednich/DMZ, jeżeli są wymagane.</w:t>
      </w:r>
    </w:p>
    <w:p>
      <w:pPr>
        <w:pStyle w:val="ListParagraph"/>
        <w:numPr>
          <w:ilvl w:val="0"/>
          <w:numId w:val="9"/>
        </w:numPr>
        <w:spacing w:lineRule="auto" w:line="360" w:before="60" w:after="160"/>
        <w:contextualSpacing/>
        <w:jc w:val="both"/>
        <w:rPr>
          <w:rFonts w:ascii="Arial" w:hAnsi="Arial" w:cs="Arial"/>
        </w:rPr>
      </w:pPr>
      <w:r>
        <w:rPr>
          <w:rFonts w:cs="Arial" w:ascii="Arial" w:hAnsi="Arial"/>
        </w:rPr>
        <w:t>Opracowanie zasad separacji komunikacji pomiędzy segmentami sieci, w szczególności pomiędzy obszarem IT i OT/ICS/IIoT, z uwzględnieniem zasady minimalnego wymaganego dostępu.</w:t>
      </w:r>
    </w:p>
    <w:p>
      <w:pPr>
        <w:pStyle w:val="ListParagraph"/>
        <w:numPr>
          <w:ilvl w:val="0"/>
          <w:numId w:val="9"/>
        </w:numPr>
        <w:spacing w:lineRule="auto" w:line="360" w:before="60" w:after="160"/>
        <w:contextualSpacing/>
        <w:jc w:val="both"/>
        <w:rPr>
          <w:rFonts w:ascii="Arial" w:hAnsi="Arial" w:cs="Arial"/>
        </w:rPr>
      </w:pPr>
      <w:r>
        <w:rPr>
          <w:rFonts w:cs="Arial" w:ascii="Arial" w:hAnsi="Arial"/>
        </w:rPr>
        <w:t>Konfiguracja segmentów logicznych sieci, w tym VLAN, podsieci IP, interfejsów logicznych, trasowania oraz innych mechanizmów separacji dostępnych w infrastrukturze Zamawiającego.</w:t>
      </w:r>
    </w:p>
    <w:p>
      <w:pPr>
        <w:pStyle w:val="ListParagraph"/>
        <w:numPr>
          <w:ilvl w:val="0"/>
          <w:numId w:val="9"/>
        </w:numPr>
        <w:spacing w:lineRule="auto" w:line="360" w:before="60" w:after="160"/>
        <w:contextualSpacing/>
        <w:jc w:val="both"/>
        <w:rPr>
          <w:rFonts w:ascii="Arial" w:hAnsi="Arial" w:cs="Arial"/>
        </w:rPr>
      </w:pPr>
      <w:r>
        <w:rPr>
          <w:rFonts w:cs="Arial" w:ascii="Arial" w:hAnsi="Arial"/>
        </w:rPr>
        <w:t>Konfiguracja polityk kontroli ruchu pomiędzy segmentami sieci, obejmujących dopuszczenie wyłącznie wymaganych kierunków komunikacji, adresów źródłowych i docelowych, portów, protokołów oraz usług.</w:t>
      </w:r>
    </w:p>
    <w:p>
      <w:pPr>
        <w:pStyle w:val="ListParagraph"/>
        <w:numPr>
          <w:ilvl w:val="0"/>
          <w:numId w:val="9"/>
        </w:numPr>
        <w:spacing w:lineRule="auto" w:line="360" w:before="60" w:after="160"/>
        <w:contextualSpacing/>
        <w:jc w:val="both"/>
        <w:rPr>
          <w:rFonts w:ascii="Arial" w:hAnsi="Arial" w:cs="Arial"/>
        </w:rPr>
      </w:pPr>
      <w:r>
        <w:rPr>
          <w:rFonts w:cs="Arial" w:ascii="Arial" w:hAnsi="Arial"/>
        </w:rPr>
        <w:t>Konfiguracja segmentacji dla obszaru OT/ICS/IIoT w sposób ograniczający bezpośrednią komunikację pomiędzy systemami przemysłowymi a siecią IT oraz Internetem, z uwzględnieniem wymagań ciągłości działania środowiska przemysłowego.</w:t>
      </w:r>
    </w:p>
    <w:p>
      <w:pPr>
        <w:pStyle w:val="ListParagraph"/>
        <w:numPr>
          <w:ilvl w:val="0"/>
          <w:numId w:val="9"/>
        </w:numPr>
        <w:spacing w:lineRule="auto" w:line="360" w:before="60" w:after="160"/>
        <w:contextualSpacing/>
        <w:jc w:val="both"/>
        <w:rPr>
          <w:rFonts w:ascii="Arial" w:hAnsi="Arial" w:cs="Arial"/>
        </w:rPr>
      </w:pPr>
      <w:r>
        <w:rPr>
          <w:rFonts w:cs="Arial" w:ascii="Arial" w:hAnsi="Arial"/>
        </w:rPr>
        <w:t>Konfiguracja strefy pośredniej/DMZ lub innego mechanizmu kontrolowanej wymiany danych pomiędzy obszarem IT i OT/ICS/IIoT, jeżeli jest wymagany przez architekturę Zamawiającego.</w:t>
      </w:r>
    </w:p>
    <w:p>
      <w:pPr>
        <w:pStyle w:val="ListParagraph"/>
        <w:numPr>
          <w:ilvl w:val="0"/>
          <w:numId w:val="9"/>
        </w:numPr>
        <w:spacing w:lineRule="auto" w:line="360" w:before="60" w:after="160"/>
        <w:contextualSpacing/>
        <w:jc w:val="both"/>
        <w:rPr>
          <w:rFonts w:ascii="Arial" w:hAnsi="Arial" w:cs="Arial"/>
        </w:rPr>
      </w:pPr>
      <w:r>
        <w:rPr>
          <w:rFonts w:cs="Arial" w:ascii="Arial" w:hAnsi="Arial"/>
        </w:rPr>
        <w:t>Konfiguracja dostępu administracyjnego do wybranych segmentów sieci, w tym ograniczenie dostępu zarządczego wyłącznie do wskazanych użytkowników, stacji administracyjnych, adresów IP lub systemów zarządzających.</w:t>
      </w:r>
    </w:p>
    <w:p>
      <w:pPr>
        <w:pStyle w:val="ListParagraph"/>
        <w:numPr>
          <w:ilvl w:val="0"/>
          <w:numId w:val="9"/>
        </w:numPr>
        <w:spacing w:lineRule="auto" w:line="360" w:before="60" w:after="160"/>
        <w:contextualSpacing/>
        <w:jc w:val="both"/>
        <w:rPr>
          <w:rFonts w:ascii="Arial" w:hAnsi="Arial" w:cs="Arial"/>
        </w:rPr>
      </w:pPr>
      <w:r>
        <w:rPr>
          <w:rFonts w:cs="Arial" w:ascii="Arial" w:hAnsi="Arial"/>
        </w:rPr>
        <w:t>Konfiguracja podstawowych mechanizmów monitorowania i logowania ruchu pomiędzy segmentami sieci, w szczególności dla komunikacji pomiędzy obszarem IT i OT/ICS/IIoT oraz dla ruchu blokowanego przez polityki bezpieczeństwa.</w:t>
      </w:r>
    </w:p>
    <w:p>
      <w:pPr>
        <w:pStyle w:val="ListParagraph"/>
        <w:numPr>
          <w:ilvl w:val="0"/>
          <w:numId w:val="9"/>
        </w:numPr>
        <w:spacing w:lineRule="auto" w:line="360" w:before="60" w:after="160"/>
        <w:contextualSpacing/>
        <w:jc w:val="both"/>
        <w:rPr>
          <w:rFonts w:ascii="Arial" w:hAnsi="Arial" w:cs="Arial"/>
        </w:rPr>
      </w:pPr>
      <w:r>
        <w:rPr>
          <w:rFonts w:cs="Arial" w:ascii="Arial" w:hAnsi="Arial"/>
        </w:rPr>
        <w:t>Przeprowadzenie testów funkcjonalnych wdrożonej segmentacji, obejmujących weryfikację dostępności wymaganych usług, blokowanie komunikacji niedozwolonej oraz poprawność działania reguł separacji pomiędzy segmentami.</w:t>
      </w:r>
    </w:p>
    <w:p>
      <w:pPr>
        <w:pStyle w:val="ListParagraph"/>
        <w:numPr>
          <w:ilvl w:val="0"/>
          <w:numId w:val="9"/>
        </w:numPr>
        <w:spacing w:lineRule="auto" w:line="360" w:before="60" w:after="160"/>
        <w:contextualSpacing/>
        <w:jc w:val="both"/>
        <w:rPr>
          <w:rFonts w:ascii="Arial" w:hAnsi="Arial" w:cs="Arial"/>
        </w:rPr>
      </w:pPr>
      <w:r>
        <w:rPr>
          <w:rFonts w:cs="Arial" w:ascii="Arial" w:hAnsi="Arial"/>
        </w:rPr>
        <w:t>Wprowadzenie uzgodnionych korekt konfiguracyjnych wynikających z przeprowadzonych testów, z zachowaniem wymagań bezpieczeństwa oraz ciągłości działania systemów Zamawiającego.</w:t>
      </w:r>
    </w:p>
    <w:p>
      <w:pPr>
        <w:pStyle w:val="ListParagraph"/>
        <w:numPr>
          <w:ilvl w:val="0"/>
          <w:numId w:val="9"/>
        </w:numPr>
        <w:spacing w:lineRule="auto" w:line="360" w:before="60" w:after="160"/>
        <w:contextualSpacing/>
        <w:jc w:val="both"/>
        <w:rPr>
          <w:rFonts w:ascii="Arial" w:hAnsi="Arial" w:cs="Arial"/>
        </w:rPr>
      </w:pPr>
      <w:r>
        <w:rPr>
          <w:rFonts w:cs="Arial" w:ascii="Arial" w:hAnsi="Arial"/>
        </w:rPr>
        <w:t>Przekazanie Zamawiającemu podstawowej dokumentacji powykonawczej obejmującej opis segmentów sieci, adresację IP, VLAN, zasady komunikacji pomiędzy segmentami, skonfigurowane polityki bezpieczeństwa oraz wyniki testów funkcjonalnych.</w:t>
      </w:r>
    </w:p>
    <w:sectPr>
      <w:headerReference w:type="default" r:id="rId2"/>
      <w:type w:val="nextPage"/>
      <w:pgSz w:w="12240" w:h="15840"/>
      <w:pgMar w:left="1440" w:right="1440" w:gutter="0" w:header="720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Aptos">
    <w:charset w:val="ee"/>
    <w:family w:val="roman"/>
    <w:pitch w:val="variable"/>
  </w:font>
  <w:font w:name="Calibri Light">
    <w:charset w:val="ee"/>
    <w:family w:val="roman"/>
    <w:pitch w:val="variable"/>
  </w:font>
  <w:font w:name="Times New Roman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Arial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jc w:val="center"/>
      <w:rPr/>
    </w:pPr>
    <w:r>
      <w:rPr/>
      <w:drawing>
        <wp:inline distT="0" distB="0" distL="0" distR="0">
          <wp:extent cx="4508500" cy="571500"/>
          <wp:effectExtent l="0" t="0" r="0" b="0"/>
          <wp:docPr id="1" name="Obraz 1" descr="Obraz zawierający tekst, Czcionka, zrzut ekranu, linia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Obraz zawierający tekst, Czcionka, zrzut ekranu, linia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508500" cy="571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Nagwek1"/>
      <w:numFmt w:val="decimal"/>
      <w:lvlText w:val="%1"/>
      <w:lvlJc w:val="left"/>
      <w:pPr>
        <w:tabs>
          <w:tab w:val="num" w:pos="0"/>
        </w:tabs>
        <w:ind w:left="432" w:hanging="432"/>
      </w:pPr>
      <w:rPr/>
    </w:lvl>
    <w:lvl w:ilvl="1">
      <w:start w:val="1"/>
      <w:pStyle w:val="Nagwek2"/>
      <w:numFmt w:val="decimal"/>
      <w:lvlText w:val="%1.%2"/>
      <w:lvlJc w:val="left"/>
      <w:pPr>
        <w:tabs>
          <w:tab w:val="num" w:pos="0"/>
        </w:tabs>
        <w:ind w:left="-1977" w:hanging="576"/>
      </w:pPr>
      <w:rPr/>
    </w:lvl>
    <w:lvl w:ilvl="2">
      <w:start w:val="1"/>
      <w:pStyle w:val="Nagwek3"/>
      <w:numFmt w:val="decimal"/>
      <w:lvlText w:val="%1.%2.%3"/>
      <w:lvlJc w:val="left"/>
      <w:pPr>
        <w:tabs>
          <w:tab w:val="num" w:pos="0"/>
        </w:tabs>
        <w:ind w:left="-1833" w:hanging="720"/>
      </w:pPr>
      <w:rPr/>
    </w:lvl>
    <w:lvl w:ilvl="3">
      <w:start w:val="1"/>
      <w:pStyle w:val="Nagwek4"/>
      <w:numFmt w:val="decimal"/>
      <w:lvlText w:val="%1.%2.%3.%4"/>
      <w:lvlJc w:val="left"/>
      <w:pPr>
        <w:tabs>
          <w:tab w:val="num" w:pos="0"/>
        </w:tabs>
        <w:ind w:left="-1689" w:hanging="864"/>
      </w:pPr>
      <w:rPr/>
    </w:lvl>
    <w:lvl w:ilvl="4">
      <w:start w:val="1"/>
      <w:pStyle w:val="Nagwek5"/>
      <w:numFmt w:val="decimal"/>
      <w:lvlText w:val="%1.%2.%3.%4.%5"/>
      <w:lvlJc w:val="left"/>
      <w:pPr>
        <w:tabs>
          <w:tab w:val="num" w:pos="0"/>
        </w:tabs>
        <w:ind w:left="-1545" w:hanging="1008"/>
      </w:pPr>
      <w:rPr/>
    </w:lvl>
    <w:lvl w:ilvl="5">
      <w:start w:val="1"/>
      <w:pStyle w:val="Nagwek6"/>
      <w:numFmt w:val="decimal"/>
      <w:lvlText w:val="%1.%2.%3.%4.%5.%6"/>
      <w:lvlJc w:val="left"/>
      <w:pPr>
        <w:tabs>
          <w:tab w:val="num" w:pos="0"/>
        </w:tabs>
        <w:ind w:left="-1401" w:hanging="1152"/>
      </w:pPr>
      <w:rPr/>
    </w:lvl>
    <w:lvl w:ilvl="6">
      <w:start w:val="1"/>
      <w:pStyle w:val="Nagwek7"/>
      <w:numFmt w:val="decimal"/>
      <w:lvlText w:val="%1.%2.%3.%4.%5.%6.%7"/>
      <w:lvlJc w:val="left"/>
      <w:pPr>
        <w:tabs>
          <w:tab w:val="num" w:pos="0"/>
        </w:tabs>
        <w:ind w:left="-1257" w:hanging="1296"/>
      </w:pPr>
      <w:rPr/>
    </w:lvl>
    <w:lvl w:ilvl="7">
      <w:start w:val="1"/>
      <w:pStyle w:val="Nagwek8"/>
      <w:numFmt w:val="decimal"/>
      <w:lvlText w:val="%1.%2.%3.%4.%5.%6.%7.%8"/>
      <w:lvlJc w:val="left"/>
      <w:pPr>
        <w:tabs>
          <w:tab w:val="num" w:pos="0"/>
        </w:tabs>
        <w:ind w:left="-1113" w:hanging="1440"/>
      </w:pPr>
      <w:rPr/>
    </w:lvl>
    <w:lvl w:ilvl="8">
      <w:start w:val="1"/>
      <w:pStyle w:val="Nagwek9"/>
      <w:numFmt w:val="decimal"/>
      <w:lvlText w:val="%1.%2.%3.%4.%5.%6.%7.%8.%9"/>
      <w:lvlJc w:val="left"/>
      <w:pPr>
        <w:tabs>
          <w:tab w:val="num" w:pos="0"/>
        </w:tabs>
        <w:ind w:left="-969" w:hanging="1584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"/>
      <w:lvlJc w:val="left"/>
      <w:pPr>
        <w:tabs>
          <w:tab w:val="num" w:pos="0"/>
        </w:tabs>
        <w:ind w:left="2160" w:hanging="180"/>
      </w:pPr>
      <w:rPr>
        <w:rFonts w:ascii="Symbol" w:hAnsi="Symbol" w:cs="Symbol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"/>
      <w:lvlJc w:val="left"/>
      <w:pPr>
        <w:tabs>
          <w:tab w:val="num" w:pos="0"/>
        </w:tabs>
        <w:ind w:left="2160" w:hanging="180"/>
      </w:pPr>
      <w:rPr>
        <w:rFonts w:ascii="Symbol" w:hAnsi="Symbol" w:cs="Symbol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"/>
      <w:lvlJc w:val="left"/>
      <w:pPr>
        <w:tabs>
          <w:tab w:val="num" w:pos="0"/>
        </w:tabs>
        <w:ind w:left="2160" w:hanging="180"/>
      </w:pPr>
      <w:rPr>
        <w:rFonts w:ascii="Symbol" w:hAnsi="Symbol" w:cs="Symbol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"/>
      <w:lvlJc w:val="left"/>
      <w:pPr>
        <w:tabs>
          <w:tab w:val="num" w:pos="0"/>
        </w:tabs>
        <w:ind w:left="2160" w:hanging="180"/>
      </w:pPr>
      <w:rPr>
        <w:rFonts w:ascii="Symbol" w:hAnsi="Symbol" w:cs="Symbol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"/>
      <w:lvlJc w:val="left"/>
      <w:pPr>
        <w:tabs>
          <w:tab w:val="num" w:pos="0"/>
        </w:tabs>
        <w:ind w:left="2160" w:hanging="180"/>
      </w:pPr>
      <w:rPr>
        <w:rFonts w:ascii="Symbol" w:hAnsi="Symbol" w:cs="Symbol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"/>
      <w:lvlJc w:val="left"/>
      <w:pPr>
        <w:tabs>
          <w:tab w:val="num" w:pos="0"/>
        </w:tabs>
        <w:ind w:left="2160" w:hanging="180"/>
      </w:pPr>
      <w:rPr>
        <w:rFonts w:ascii="Symbol" w:hAnsi="Symbol" w:cs="Symbol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"/>
      <w:lvlJc w:val="left"/>
      <w:pPr>
        <w:tabs>
          <w:tab w:val="num" w:pos="0"/>
        </w:tabs>
        <w:ind w:left="2160" w:hanging="180"/>
      </w:pPr>
      <w:rPr>
        <w:rFonts w:ascii="Symbol" w:hAnsi="Symbol" w:cs="Symbol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"/>
      <w:lvlJc w:val="left"/>
      <w:pPr>
        <w:tabs>
          <w:tab w:val="num" w:pos="0"/>
        </w:tabs>
        <w:ind w:left="2160" w:hanging="180"/>
      </w:pPr>
      <w:rPr>
        <w:rFonts w:ascii="Symbol" w:hAnsi="Symbol" w:cs="Symbol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"/>
      <w:lvlJc w:val="left"/>
      <w:pPr>
        <w:tabs>
          <w:tab w:val="num" w:pos="0"/>
        </w:tabs>
        <w:ind w:left="2160" w:hanging="180"/>
      </w:pPr>
      <w:rPr>
        <w:rFonts w:ascii="Symbol" w:hAnsi="Symbol" w:cs="Symbol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"/>
      <w:lvlJc w:val="left"/>
      <w:pPr>
        <w:tabs>
          <w:tab w:val="num" w:pos="0"/>
        </w:tabs>
        <w:ind w:left="2160" w:hanging="180"/>
      </w:pPr>
      <w:rPr>
        <w:rFonts w:ascii="Symbol" w:hAnsi="Symbol" w:cs="Symbol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"/>
      <w:lvlJc w:val="left"/>
      <w:pPr>
        <w:tabs>
          <w:tab w:val="num" w:pos="0"/>
        </w:tabs>
        <w:ind w:left="2160" w:hanging="180"/>
      </w:pPr>
      <w:rPr>
        <w:rFonts w:ascii="Symbol" w:hAnsi="Symbol" w:cs="Symbol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3">
    <w:lvl w:ilvl="0">
      <w:start w:val="1"/>
      <w:numFmt w:val="decimal"/>
      <w:lvlText w:val="%1"/>
      <w:lvlJc w:val="left"/>
      <w:pPr>
        <w:tabs>
          <w:tab w:val="num" w:pos="0"/>
        </w:tabs>
        <w:ind w:left="432" w:hanging="432"/>
      </w:pPr>
      <w:rPr/>
    </w:lvl>
    <w:lvl w:ilvl="1">
      <w:start w:val="1"/>
      <w:numFmt w:val="decimal"/>
      <w:lvlText w:val="%1.%2"/>
      <w:lvlJc w:val="left"/>
      <w:pPr>
        <w:tabs>
          <w:tab w:val="num" w:pos="0"/>
        </w:tabs>
        <w:ind w:left="-1977" w:hanging="576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-1833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-1689" w:hanging="864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-1545" w:hanging="1008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-1401" w:hanging="1152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-1257" w:hanging="1296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-1113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-969" w:hanging="1584"/>
      </w:pPr>
      <w:rPr/>
    </w:lvl>
  </w:abstractNum>
  <w:abstractNum w:abstractNumId="14">
    <w:lvl w:ilvl="0">
      <w:start w:val="1"/>
      <w:numFmt w:val="decimal"/>
      <w:lvlText w:val="%1"/>
      <w:lvlJc w:val="left"/>
      <w:pPr>
        <w:tabs>
          <w:tab w:val="num" w:pos="0"/>
        </w:tabs>
        <w:ind w:left="432" w:hanging="432"/>
      </w:pPr>
      <w:rPr/>
    </w:lvl>
    <w:lvl w:ilvl="1">
      <w:start w:val="1"/>
      <w:numFmt w:val="decimal"/>
      <w:lvlText w:val="%1.%2"/>
      <w:lvlJc w:val="left"/>
      <w:pPr>
        <w:tabs>
          <w:tab w:val="num" w:pos="0"/>
        </w:tabs>
        <w:ind w:left="-1977" w:hanging="576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-1833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-1689" w:hanging="864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-1545" w:hanging="1008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-1401" w:hanging="1152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-1257" w:hanging="1296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-1113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-969" w:hanging="1584"/>
      </w:pPr>
      <w:rPr/>
    </w:lvl>
  </w:abstractNum>
  <w:abstractNum w:abstractNumId="15">
    <w:lvl w:ilvl="0">
      <w:start w:val="1"/>
      <w:numFmt w:val="decimal"/>
      <w:lvlText w:val="%1"/>
      <w:lvlJc w:val="left"/>
      <w:pPr>
        <w:tabs>
          <w:tab w:val="num" w:pos="0"/>
        </w:tabs>
        <w:ind w:left="432" w:hanging="432"/>
      </w:pPr>
      <w:rPr/>
    </w:lvl>
    <w:lvl w:ilvl="1">
      <w:start w:val="1"/>
      <w:numFmt w:val="decimal"/>
      <w:lvlText w:val="%1.%2"/>
      <w:lvlJc w:val="left"/>
      <w:pPr>
        <w:tabs>
          <w:tab w:val="num" w:pos="0"/>
        </w:tabs>
        <w:ind w:left="-1977" w:hanging="576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-1833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-1689" w:hanging="864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-1545" w:hanging="1008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-1401" w:hanging="1152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-1257" w:hanging="1296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-1113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-969" w:hanging="1584"/>
      </w:pPr>
      <w:rPr/>
    </w:lvl>
  </w:abstractNum>
  <w:abstractNum w:abstractNumId="16">
    <w:lvl w:ilvl="0">
      <w:start w:val="1"/>
      <w:numFmt w:val="decimal"/>
      <w:lvlText w:val="%1"/>
      <w:lvlJc w:val="left"/>
      <w:pPr>
        <w:tabs>
          <w:tab w:val="num" w:pos="0"/>
        </w:tabs>
        <w:ind w:left="432" w:hanging="432"/>
      </w:pPr>
      <w:rPr/>
    </w:lvl>
    <w:lvl w:ilvl="1">
      <w:start w:val="1"/>
      <w:numFmt w:val="decimal"/>
      <w:lvlText w:val="%1.%2"/>
      <w:lvlJc w:val="left"/>
      <w:pPr>
        <w:tabs>
          <w:tab w:val="num" w:pos="0"/>
        </w:tabs>
        <w:ind w:left="-1977" w:hanging="576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-1833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-1689" w:hanging="864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-1545" w:hanging="1008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-1401" w:hanging="1152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-1257" w:hanging="1296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-1113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-969" w:hanging="1584"/>
      </w:pPr>
      <w:rPr/>
    </w:lvl>
  </w:abstractNum>
  <w:abstractNum w:abstractNumId="17">
    <w:lvl w:ilvl="0">
      <w:start w:val="1"/>
      <w:numFmt w:val="decimal"/>
      <w:lvlText w:val="%1"/>
      <w:lvlJc w:val="left"/>
      <w:pPr>
        <w:tabs>
          <w:tab w:val="num" w:pos="0"/>
        </w:tabs>
        <w:ind w:left="432" w:hanging="432"/>
      </w:pPr>
      <w:rPr/>
    </w:lvl>
    <w:lvl w:ilvl="1">
      <w:start w:val="1"/>
      <w:numFmt w:val="decimal"/>
      <w:lvlText w:val="%1.%2"/>
      <w:lvlJc w:val="left"/>
      <w:pPr>
        <w:tabs>
          <w:tab w:val="num" w:pos="0"/>
        </w:tabs>
        <w:ind w:left="-1977" w:hanging="576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-1833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-1689" w:hanging="864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-1545" w:hanging="1008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-1401" w:hanging="1152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-1257" w:hanging="1296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-1113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-969" w:hanging="1584"/>
      </w:pPr>
      <w:rPr/>
    </w:lvl>
  </w:abstractNum>
  <w:abstractNum w:abstractNumId="18">
    <w:lvl w:ilvl="0">
      <w:start w:val="1"/>
      <w:numFmt w:val="decimal"/>
      <w:lvlText w:val="%1"/>
      <w:lvlJc w:val="left"/>
      <w:pPr>
        <w:tabs>
          <w:tab w:val="num" w:pos="0"/>
        </w:tabs>
        <w:ind w:left="432" w:hanging="432"/>
      </w:pPr>
      <w:rPr/>
    </w:lvl>
    <w:lvl w:ilvl="1">
      <w:start w:val="1"/>
      <w:numFmt w:val="decimal"/>
      <w:lvlText w:val="%1.%2"/>
      <w:lvlJc w:val="left"/>
      <w:pPr>
        <w:tabs>
          <w:tab w:val="num" w:pos="0"/>
        </w:tabs>
        <w:ind w:left="-1977" w:hanging="576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-1833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-1689" w:hanging="864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-1545" w:hanging="1008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-1401" w:hanging="1152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-1257" w:hanging="1296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-1113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-969" w:hanging="1584"/>
      </w:pPr>
      <w:rPr/>
    </w:lvl>
  </w:abstractNum>
  <w:abstractNum w:abstractNumId="19">
    <w:lvl w:ilvl="0">
      <w:start w:val="1"/>
      <w:numFmt w:val="decimal"/>
      <w:lvlText w:val="%1"/>
      <w:lvlJc w:val="left"/>
      <w:pPr>
        <w:tabs>
          <w:tab w:val="num" w:pos="0"/>
        </w:tabs>
        <w:ind w:left="432" w:hanging="432"/>
      </w:pPr>
      <w:rPr/>
    </w:lvl>
    <w:lvl w:ilvl="1">
      <w:start w:val="1"/>
      <w:numFmt w:val="decimal"/>
      <w:lvlText w:val="%1.%2"/>
      <w:lvlJc w:val="left"/>
      <w:pPr>
        <w:tabs>
          <w:tab w:val="num" w:pos="0"/>
        </w:tabs>
        <w:ind w:left="-1977" w:hanging="576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-1833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-1689" w:hanging="864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-1545" w:hanging="1008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-1401" w:hanging="1152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-1257" w:hanging="1296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-1113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-969" w:hanging="1584"/>
      </w:pPr>
      <w:rPr/>
    </w:lvl>
  </w:abstractNum>
  <w:abstractNum w:abstractNumId="20">
    <w:lvl w:ilvl="0">
      <w:start w:val="1"/>
      <w:numFmt w:val="decimal"/>
      <w:lvlText w:val="%1"/>
      <w:lvlJc w:val="left"/>
      <w:pPr>
        <w:tabs>
          <w:tab w:val="num" w:pos="0"/>
        </w:tabs>
        <w:ind w:left="432" w:hanging="432"/>
      </w:pPr>
      <w:rPr/>
    </w:lvl>
    <w:lvl w:ilvl="1">
      <w:start w:val="1"/>
      <w:numFmt w:val="decimal"/>
      <w:lvlText w:val="%1.%2"/>
      <w:lvlJc w:val="left"/>
      <w:pPr>
        <w:tabs>
          <w:tab w:val="num" w:pos="0"/>
        </w:tabs>
        <w:ind w:left="-1977" w:hanging="576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-1833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-1689" w:hanging="864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-1545" w:hanging="1008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-1401" w:hanging="1152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-1257" w:hanging="1296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-1113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-969" w:hanging="1584"/>
      </w:pPr>
      <w:rPr/>
    </w:lvl>
  </w:abstractNum>
  <w:abstractNum w:abstractNumId="21">
    <w:lvl w:ilvl="0">
      <w:start w:val="1"/>
      <w:numFmt w:val="decimal"/>
      <w:lvlText w:val="%1"/>
      <w:lvlJc w:val="left"/>
      <w:pPr>
        <w:tabs>
          <w:tab w:val="num" w:pos="0"/>
        </w:tabs>
        <w:ind w:left="432" w:hanging="432"/>
      </w:pPr>
      <w:rPr/>
    </w:lvl>
    <w:lvl w:ilvl="1">
      <w:start w:val="1"/>
      <w:numFmt w:val="decimal"/>
      <w:lvlText w:val="%1.%2"/>
      <w:lvlJc w:val="left"/>
      <w:pPr>
        <w:tabs>
          <w:tab w:val="num" w:pos="0"/>
        </w:tabs>
        <w:ind w:left="-1977" w:hanging="576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-1833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-1689" w:hanging="864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-1545" w:hanging="1008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-1401" w:hanging="1152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-1257" w:hanging="1296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-1113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-969" w:hanging="1584"/>
      </w:pPr>
      <w:rPr/>
    </w:lvl>
  </w:abstractNum>
  <w:abstractNum w:abstractNumId="22">
    <w:lvl w:ilvl="0">
      <w:start w:val="1"/>
      <w:numFmt w:val="decimal"/>
      <w:lvlText w:val="%1"/>
      <w:lvlJc w:val="left"/>
      <w:pPr>
        <w:tabs>
          <w:tab w:val="num" w:pos="0"/>
        </w:tabs>
        <w:ind w:left="432" w:hanging="432"/>
      </w:pPr>
      <w:rPr/>
    </w:lvl>
    <w:lvl w:ilvl="1">
      <w:start w:val="1"/>
      <w:numFmt w:val="decimal"/>
      <w:lvlText w:val="%1.%2"/>
      <w:lvlJc w:val="left"/>
      <w:pPr>
        <w:tabs>
          <w:tab w:val="num" w:pos="0"/>
        </w:tabs>
        <w:ind w:left="-1977" w:hanging="576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-1833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-1689" w:hanging="864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-1545" w:hanging="1008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-1401" w:hanging="1152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-1257" w:hanging="1296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-1113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-969" w:hanging="1584"/>
      </w:pPr>
      <w:rPr/>
    </w:lvl>
  </w:abstractNum>
  <w:abstractNum w:abstractNumId="23">
    <w:lvl w:ilvl="0">
      <w:start w:val="1"/>
      <w:numFmt w:val="decimal"/>
      <w:lvlText w:val="%1"/>
      <w:lvlJc w:val="left"/>
      <w:pPr>
        <w:tabs>
          <w:tab w:val="num" w:pos="0"/>
        </w:tabs>
        <w:ind w:left="432" w:hanging="432"/>
      </w:pPr>
      <w:rPr/>
    </w:lvl>
    <w:lvl w:ilvl="1">
      <w:start w:val="1"/>
      <w:numFmt w:val="decimal"/>
      <w:lvlText w:val="%1.%2"/>
      <w:lvlJc w:val="left"/>
      <w:pPr>
        <w:tabs>
          <w:tab w:val="num" w:pos="0"/>
        </w:tabs>
        <w:ind w:left="-1977" w:hanging="576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-1833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-1689" w:hanging="864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-1545" w:hanging="1008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-1401" w:hanging="1152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-1257" w:hanging="1296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-1113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-969" w:hanging="1584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13"/>
    <w:lvlOverride w:ilvl="0">
      <w:startOverride w:val="1"/>
    </w:lvlOverride>
  </w:num>
  <w:num w:numId="25">
    <w:abstractNumId w:val="13"/>
  </w:num>
  <w:num w:numId="26">
    <w:abstractNumId w:val="13"/>
  </w:num>
  <w:num w:numId="27">
    <w:abstractNumId w:val="13"/>
  </w:num>
  <w:num w:numId="28">
    <w:abstractNumId w:val="13"/>
  </w:num>
  <w:num w:numId="29">
    <w:abstractNumId w:val="13"/>
  </w:num>
  <w:num w:numId="30">
    <w:abstractNumId w:val="13"/>
  </w:num>
  <w:num w:numId="31">
    <w:abstractNumId w:val="13"/>
  </w:num>
  <w:num w:numId="32">
    <w:abstractNumId w:val="13"/>
  </w:num>
  <w:num w:numId="33">
    <w:abstractNumId w:val="13"/>
  </w:num>
  <w:num w:numId="34">
    <w:abstractNumId w:val="13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3587c"/>
    <w:pPr>
      <w:widowControl/>
      <w:suppressAutoHyphens w:val="true"/>
      <w:bidi w:val="0"/>
      <w:spacing w:lineRule="auto" w:line="240" w:before="60" w:after="60"/>
      <w:jc w:val="left"/>
    </w:pPr>
    <w:rPr>
      <w:rFonts w:ascii="Aptos" w:hAnsi="Aptos" w:eastAsia="Times New Roman" w:cs="Times New Roman"/>
      <w:color w:val="auto"/>
      <w:kern w:val="0"/>
      <w:sz w:val="20"/>
      <w:szCs w:val="20"/>
      <w:lang w:val="pl-PL" w:eastAsia="pl-PL" w:bidi="ar-SA"/>
    </w:rPr>
  </w:style>
  <w:style w:type="paragraph" w:styleId="Nagwek1">
    <w:name w:val="Heading 1"/>
    <w:basedOn w:val="Normal"/>
    <w:next w:val="Normal"/>
    <w:link w:val="Nagwek1Znak"/>
    <w:uiPriority w:val="9"/>
    <w:qFormat/>
    <w:rsid w:val="00231ba7"/>
    <w:pPr>
      <w:keepNext w:val="true"/>
      <w:keepLines/>
      <w:numPr>
        <w:ilvl w:val="0"/>
        <w:numId w:val="1"/>
      </w:numPr>
      <w:pBdr>
        <w:bottom w:val="single" w:sz="8" w:space="1" w:color="C45911"/>
      </w:pBdr>
      <w:spacing w:before="240" w:after="120"/>
      <w:ind w:left="431" w:hanging="431"/>
      <w:outlineLvl w:val="0"/>
    </w:pPr>
    <w:rPr>
      <w:rFonts w:eastAsia="等线 Light" w:cs="" w:cstheme="majorBidi" w:eastAsiaTheme="majorEastAsia"/>
      <w:b/>
      <w:color w:val="1F3864" w:themeColor="accent1" w:themeShade="80"/>
      <w:sz w:val="28"/>
      <w:szCs w:val="32"/>
    </w:rPr>
  </w:style>
  <w:style w:type="paragraph" w:styleId="Nagwek2">
    <w:name w:val="Heading 2"/>
    <w:basedOn w:val="Normal"/>
    <w:next w:val="Normal"/>
    <w:link w:val="Nagwek2Znak"/>
    <w:uiPriority w:val="9"/>
    <w:unhideWhenUsed/>
    <w:qFormat/>
    <w:rsid w:val="005e466d"/>
    <w:pPr>
      <w:keepNext w:val="true"/>
      <w:keepLines/>
      <w:numPr>
        <w:ilvl w:val="1"/>
        <w:numId w:val="1"/>
      </w:numPr>
      <w:spacing w:before="40" w:after="60"/>
      <w:outlineLvl w:val="1"/>
    </w:pPr>
    <w:rPr>
      <w:rFonts w:ascii="Calibri Light" w:hAnsi="Calibri Light" w:eastAsia="等线 Light" w:cs="" w:asciiTheme="majorHAnsi" w:cstheme="majorBidi" w:eastAsiaTheme="majorEastAsia" w:hAnsiTheme="majorHAnsi"/>
      <w:color w:val="2F5496" w:themeColor="accent1" w:themeShade="bf"/>
      <w:sz w:val="26"/>
      <w:szCs w:val="26"/>
    </w:rPr>
  </w:style>
  <w:style w:type="paragraph" w:styleId="Nagwek3">
    <w:name w:val="Heading 3"/>
    <w:basedOn w:val="Normal"/>
    <w:next w:val="Normal"/>
    <w:link w:val="Nagwek3Znak"/>
    <w:uiPriority w:val="9"/>
    <w:unhideWhenUsed/>
    <w:qFormat/>
    <w:rsid w:val="005e466d"/>
    <w:pPr>
      <w:keepNext w:val="true"/>
      <w:keepLines/>
      <w:numPr>
        <w:ilvl w:val="2"/>
        <w:numId w:val="1"/>
      </w:numPr>
      <w:spacing w:before="40" w:after="60"/>
      <w:outlineLvl w:val="2"/>
    </w:pPr>
    <w:rPr>
      <w:rFonts w:ascii="Calibri Light" w:hAnsi="Calibri Light" w:eastAsia="等线 Light" w:cs="" w:asciiTheme="majorHAnsi" w:cstheme="majorBidi" w:eastAsiaTheme="majorEastAsia" w:hAnsiTheme="majorHAnsi"/>
      <w:color w:val="1F3763" w:themeColor="accent1" w:themeShade="7f"/>
      <w:sz w:val="24"/>
      <w:szCs w:val="24"/>
    </w:rPr>
  </w:style>
  <w:style w:type="paragraph" w:styleId="Nagwek4">
    <w:name w:val="Heading 4"/>
    <w:basedOn w:val="Normal"/>
    <w:next w:val="Normal"/>
    <w:link w:val="Nagwek4Znak"/>
    <w:uiPriority w:val="9"/>
    <w:unhideWhenUsed/>
    <w:qFormat/>
    <w:rsid w:val="005e466d"/>
    <w:pPr>
      <w:keepNext w:val="true"/>
      <w:keepLines/>
      <w:numPr>
        <w:ilvl w:val="3"/>
        <w:numId w:val="1"/>
      </w:numPr>
      <w:spacing w:before="40" w:after="60"/>
      <w:outlineLvl w:val="3"/>
    </w:pPr>
    <w:rPr>
      <w:rFonts w:ascii="Calibri Light" w:hAnsi="Calibri Light" w:eastAsia="等线 Light" w:cs="" w:asciiTheme="majorHAnsi" w:cstheme="majorBidi" w:eastAsiaTheme="majorEastAsia" w:hAnsiTheme="majorHAnsi"/>
      <w:i/>
      <w:iCs/>
      <w:color w:val="2F5496" w:themeColor="accent1" w:themeShade="bf"/>
    </w:rPr>
  </w:style>
  <w:style w:type="paragraph" w:styleId="Nagwek5">
    <w:name w:val="Heading 5"/>
    <w:basedOn w:val="Normal"/>
    <w:next w:val="Normal"/>
    <w:link w:val="Nagwek5Znak"/>
    <w:uiPriority w:val="9"/>
    <w:unhideWhenUsed/>
    <w:qFormat/>
    <w:rsid w:val="005e466d"/>
    <w:pPr>
      <w:keepNext w:val="true"/>
      <w:keepLines/>
      <w:numPr>
        <w:ilvl w:val="4"/>
        <w:numId w:val="1"/>
      </w:numPr>
      <w:spacing w:before="40" w:after="60"/>
      <w:outlineLvl w:val="4"/>
    </w:pPr>
    <w:rPr>
      <w:rFonts w:ascii="Calibri Light" w:hAnsi="Calibri Light" w:eastAsia="等线 Light" w:cs="" w:asciiTheme="majorHAnsi" w:cstheme="majorBidi" w:eastAsiaTheme="majorEastAsia" w:hAnsiTheme="majorHAnsi"/>
      <w:color w:val="2F5496" w:themeColor="accent1" w:themeShade="bf"/>
    </w:rPr>
  </w:style>
  <w:style w:type="paragraph" w:styleId="Nagwek6">
    <w:name w:val="Heading 6"/>
    <w:basedOn w:val="Normal"/>
    <w:next w:val="Normal"/>
    <w:link w:val="Nagwek6Znak"/>
    <w:uiPriority w:val="9"/>
    <w:unhideWhenUsed/>
    <w:qFormat/>
    <w:rsid w:val="005e466d"/>
    <w:pPr>
      <w:keepNext w:val="true"/>
      <w:keepLines/>
      <w:numPr>
        <w:ilvl w:val="5"/>
        <w:numId w:val="1"/>
      </w:numPr>
      <w:spacing w:before="40" w:after="60"/>
      <w:outlineLvl w:val="5"/>
    </w:pPr>
    <w:rPr>
      <w:rFonts w:ascii="Calibri Light" w:hAnsi="Calibri Light" w:eastAsia="等线 Light" w:cs="" w:asciiTheme="majorHAnsi" w:cstheme="majorBidi" w:eastAsiaTheme="majorEastAsia" w:hAnsiTheme="majorHAnsi"/>
      <w:color w:val="1F3763" w:themeColor="accent1" w:themeShade="7f"/>
    </w:rPr>
  </w:style>
  <w:style w:type="paragraph" w:styleId="Nagwek7">
    <w:name w:val="Heading 7"/>
    <w:basedOn w:val="Normal"/>
    <w:next w:val="Normal"/>
    <w:link w:val="Nagwek7Znak"/>
    <w:uiPriority w:val="9"/>
    <w:unhideWhenUsed/>
    <w:qFormat/>
    <w:rsid w:val="005e466d"/>
    <w:pPr>
      <w:keepNext w:val="true"/>
      <w:keepLines/>
      <w:numPr>
        <w:ilvl w:val="6"/>
        <w:numId w:val="1"/>
      </w:numPr>
      <w:spacing w:before="40" w:after="60"/>
      <w:outlineLvl w:val="6"/>
    </w:pPr>
    <w:rPr>
      <w:rFonts w:ascii="Calibri Light" w:hAnsi="Calibri Light" w:eastAsia="等线 Light" w:cs="" w:asciiTheme="majorHAnsi" w:cstheme="majorBidi" w:eastAsiaTheme="majorEastAsia" w:hAnsiTheme="majorHAnsi"/>
      <w:i/>
      <w:iCs/>
      <w:color w:val="1F3763" w:themeColor="accent1" w:themeShade="7f"/>
    </w:rPr>
  </w:style>
  <w:style w:type="paragraph" w:styleId="Nagwek8">
    <w:name w:val="Heading 8"/>
    <w:basedOn w:val="Normal"/>
    <w:next w:val="Normal"/>
    <w:link w:val="Nagwek8Znak"/>
    <w:uiPriority w:val="9"/>
    <w:semiHidden/>
    <w:unhideWhenUsed/>
    <w:qFormat/>
    <w:rsid w:val="005e466d"/>
    <w:pPr>
      <w:keepNext w:val="true"/>
      <w:keepLines/>
      <w:numPr>
        <w:ilvl w:val="7"/>
        <w:numId w:val="1"/>
      </w:numPr>
      <w:spacing w:before="40" w:after="60"/>
      <w:outlineLvl w:val="7"/>
    </w:pPr>
    <w:rPr>
      <w:rFonts w:ascii="Calibri Light" w:hAnsi="Calibri Light" w:eastAsia="等线 Light" w:cs="" w:asciiTheme="majorHAnsi" w:cstheme="majorBidi" w:eastAsiaTheme="majorEastAsia" w:hAnsiTheme="majorHAnsi"/>
      <w:color w:val="272727" w:themeColor="text1" w:themeTint="d8"/>
      <w:sz w:val="21"/>
      <w:szCs w:val="21"/>
    </w:rPr>
  </w:style>
  <w:style w:type="paragraph" w:styleId="Nagwek9">
    <w:name w:val="Heading 9"/>
    <w:basedOn w:val="Normal"/>
    <w:next w:val="Normal"/>
    <w:link w:val="Nagwek9Znak"/>
    <w:uiPriority w:val="9"/>
    <w:semiHidden/>
    <w:unhideWhenUsed/>
    <w:qFormat/>
    <w:rsid w:val="005e466d"/>
    <w:pPr>
      <w:keepNext w:val="true"/>
      <w:keepLines/>
      <w:numPr>
        <w:ilvl w:val="8"/>
        <w:numId w:val="1"/>
      </w:numPr>
      <w:spacing w:before="40" w:after="60"/>
      <w:outlineLvl w:val="8"/>
    </w:pPr>
    <w:rPr>
      <w:rFonts w:ascii="Calibri Light" w:hAnsi="Calibri Light" w:eastAsia="等线 Light" w:cs="" w:asciiTheme="majorHAnsi" w:cstheme="majorBidi" w:eastAsiaTheme="majorEastAsia" w:hAnsiTheme="majorHAnsi"/>
      <w:i/>
      <w:iCs/>
      <w:color w:val="272727" w:themeColor="text1" w:themeTint="d8"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basedOn w:val="DefaultParagraphFont"/>
    <w:uiPriority w:val="9"/>
    <w:qFormat/>
    <w:rsid w:val="00231ba7"/>
    <w:rPr>
      <w:rFonts w:ascii="Aptos" w:hAnsi="Aptos" w:eastAsia="等线 Light" w:cs="" w:cstheme="majorBidi" w:eastAsiaTheme="majorEastAsia"/>
      <w:b/>
      <w:color w:val="1F3864" w:themeColor="accent1" w:themeShade="80"/>
      <w:sz w:val="28"/>
      <w:szCs w:val="32"/>
      <w:lang w:val="pl-PL" w:eastAsia="pl-PL"/>
    </w:rPr>
  </w:style>
  <w:style w:type="character" w:styleId="Nagwek2Znak" w:customStyle="1">
    <w:name w:val="Nagłówek 2 Znak"/>
    <w:basedOn w:val="DefaultParagraphFont"/>
    <w:uiPriority w:val="9"/>
    <w:qFormat/>
    <w:rsid w:val="005e466d"/>
    <w:rPr>
      <w:rFonts w:ascii="Calibri Light" w:hAnsi="Calibri Light" w:eastAsia="等线 Light" w:cs="" w:asciiTheme="majorHAnsi" w:cstheme="majorBidi" w:eastAsiaTheme="majorEastAsia" w:hAnsiTheme="majorHAnsi"/>
      <w:color w:val="2F5496" w:themeColor="accent1" w:themeShade="bf"/>
      <w:sz w:val="26"/>
      <w:szCs w:val="26"/>
      <w:lang w:val="pl-PL" w:eastAsia="pl-PL"/>
    </w:rPr>
  </w:style>
  <w:style w:type="character" w:styleId="Nagwek3Znak" w:customStyle="1">
    <w:name w:val="Nagłówek 3 Znak"/>
    <w:basedOn w:val="DefaultParagraphFont"/>
    <w:uiPriority w:val="9"/>
    <w:qFormat/>
    <w:rsid w:val="005e466d"/>
    <w:rPr>
      <w:rFonts w:ascii="Calibri Light" w:hAnsi="Calibri Light" w:eastAsia="等线 Light" w:cs="" w:asciiTheme="majorHAnsi" w:cstheme="majorBidi" w:eastAsiaTheme="majorEastAsia" w:hAnsiTheme="majorHAnsi"/>
      <w:color w:val="1F3763" w:themeColor="accent1" w:themeShade="7f"/>
      <w:sz w:val="24"/>
      <w:szCs w:val="24"/>
      <w:lang w:val="pl-PL" w:eastAsia="pl-PL"/>
    </w:rPr>
  </w:style>
  <w:style w:type="character" w:styleId="Nagwek4Znak" w:customStyle="1">
    <w:name w:val="Nagłówek 4 Znak"/>
    <w:basedOn w:val="DefaultParagraphFont"/>
    <w:uiPriority w:val="9"/>
    <w:qFormat/>
    <w:rsid w:val="005e466d"/>
    <w:rPr>
      <w:rFonts w:ascii="Calibri Light" w:hAnsi="Calibri Light" w:eastAsia="等线 Light" w:cs="" w:asciiTheme="majorHAnsi" w:cstheme="majorBidi" w:eastAsiaTheme="majorEastAsia" w:hAnsiTheme="majorHAnsi"/>
      <w:i/>
      <w:iCs/>
      <w:color w:val="2F5496" w:themeColor="accent1" w:themeShade="bf"/>
      <w:sz w:val="20"/>
      <w:szCs w:val="20"/>
      <w:lang w:val="pl-PL" w:eastAsia="pl-PL"/>
    </w:rPr>
  </w:style>
  <w:style w:type="character" w:styleId="Nagwek5Znak" w:customStyle="1">
    <w:name w:val="Nagłówek 5 Znak"/>
    <w:basedOn w:val="DefaultParagraphFont"/>
    <w:uiPriority w:val="9"/>
    <w:qFormat/>
    <w:rsid w:val="005e466d"/>
    <w:rPr>
      <w:rFonts w:ascii="Calibri Light" w:hAnsi="Calibri Light" w:eastAsia="等线 Light" w:cs="" w:asciiTheme="majorHAnsi" w:cstheme="majorBidi" w:eastAsiaTheme="majorEastAsia" w:hAnsiTheme="majorHAnsi"/>
      <w:color w:val="2F5496" w:themeColor="accent1" w:themeShade="bf"/>
      <w:sz w:val="20"/>
      <w:szCs w:val="20"/>
      <w:lang w:val="pl-PL" w:eastAsia="pl-PL"/>
    </w:rPr>
  </w:style>
  <w:style w:type="character" w:styleId="Nagwek6Znak" w:customStyle="1">
    <w:name w:val="Nagłówek 6 Znak"/>
    <w:basedOn w:val="DefaultParagraphFont"/>
    <w:uiPriority w:val="9"/>
    <w:qFormat/>
    <w:rsid w:val="005e466d"/>
    <w:rPr>
      <w:rFonts w:ascii="Calibri Light" w:hAnsi="Calibri Light" w:eastAsia="等线 Light" w:cs="" w:asciiTheme="majorHAnsi" w:cstheme="majorBidi" w:eastAsiaTheme="majorEastAsia" w:hAnsiTheme="majorHAnsi"/>
      <w:color w:val="1F3763" w:themeColor="accent1" w:themeShade="7f"/>
      <w:sz w:val="20"/>
      <w:szCs w:val="20"/>
      <w:lang w:val="pl-PL" w:eastAsia="pl-PL"/>
    </w:rPr>
  </w:style>
  <w:style w:type="character" w:styleId="Nagwek7Znak" w:customStyle="1">
    <w:name w:val="Nagłówek 7 Znak"/>
    <w:basedOn w:val="DefaultParagraphFont"/>
    <w:uiPriority w:val="9"/>
    <w:qFormat/>
    <w:rsid w:val="005e466d"/>
    <w:rPr>
      <w:rFonts w:ascii="Calibri Light" w:hAnsi="Calibri Light" w:eastAsia="等线 Light" w:cs="" w:asciiTheme="majorHAnsi" w:cstheme="majorBidi" w:eastAsiaTheme="majorEastAsia" w:hAnsiTheme="majorHAnsi"/>
      <w:i/>
      <w:iCs/>
      <w:color w:val="1F3763" w:themeColor="accent1" w:themeShade="7f"/>
      <w:sz w:val="20"/>
      <w:szCs w:val="20"/>
      <w:lang w:val="pl-PL" w:eastAsia="pl-PL"/>
    </w:rPr>
  </w:style>
  <w:style w:type="character" w:styleId="Nagwek8Znak" w:customStyle="1">
    <w:name w:val="Nagłówek 8 Znak"/>
    <w:basedOn w:val="DefaultParagraphFont"/>
    <w:uiPriority w:val="9"/>
    <w:semiHidden/>
    <w:qFormat/>
    <w:rsid w:val="005e466d"/>
    <w:rPr>
      <w:rFonts w:ascii="Calibri Light" w:hAnsi="Calibri Light" w:eastAsia="等线 Light" w:cs="" w:asciiTheme="majorHAnsi" w:cstheme="majorBidi" w:eastAsiaTheme="majorEastAsia" w:hAnsiTheme="majorHAnsi"/>
      <w:color w:val="272727" w:themeColor="text1" w:themeTint="d8"/>
      <w:sz w:val="21"/>
      <w:szCs w:val="21"/>
      <w:lang w:val="pl-PL" w:eastAsia="pl-PL"/>
    </w:rPr>
  </w:style>
  <w:style w:type="character" w:styleId="Nagwek9Znak" w:customStyle="1">
    <w:name w:val="Nagłówek 9 Znak"/>
    <w:basedOn w:val="DefaultParagraphFont"/>
    <w:uiPriority w:val="9"/>
    <w:semiHidden/>
    <w:qFormat/>
    <w:rsid w:val="005e466d"/>
    <w:rPr>
      <w:rFonts w:ascii="Calibri Light" w:hAnsi="Calibri Light" w:eastAsia="等线 Light" w:cs="" w:asciiTheme="majorHAnsi" w:cstheme="majorBidi" w:eastAsiaTheme="majorEastAsia" w:hAnsiTheme="majorHAnsi"/>
      <w:i/>
      <w:iCs/>
      <w:color w:val="272727" w:themeColor="text1" w:themeTint="d8"/>
      <w:sz w:val="21"/>
      <w:szCs w:val="21"/>
      <w:lang w:val="pl-PL" w:eastAsia="pl-PL"/>
    </w:rPr>
  </w:style>
  <w:style w:type="character" w:styleId="Czeinternetowe">
    <w:name w:val="Łącze internetowe"/>
    <w:basedOn w:val="DefaultParagraphFont"/>
    <w:uiPriority w:val="99"/>
    <w:unhideWhenUsed/>
    <w:rsid w:val="00c71ab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c71ab6"/>
    <w:rPr>
      <w:color w:val="605E5C"/>
      <w:shd w:fill="E1DFDD" w:val="clear"/>
    </w:rPr>
  </w:style>
  <w:style w:type="character" w:styleId="AkapitzlistZnak" w:customStyle="1">
    <w:name w:val="Akapit z listą Znak"/>
    <w:link w:val="ListParagraph"/>
    <w:uiPriority w:val="34"/>
    <w:qFormat/>
    <w:locked/>
    <w:rsid w:val="00373c34"/>
    <w:rPr>
      <w:rFonts w:ascii="Times New Roman" w:hAnsi="Times New Roman" w:eastAsia="Times New Roman" w:cs="Times New Roman"/>
      <w:sz w:val="20"/>
      <w:szCs w:val="20"/>
      <w:lang w:val="pl-PL" w:eastAsia="pl-PL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d31d20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Annotationtext"/>
    <w:uiPriority w:val="99"/>
    <w:qFormat/>
    <w:rsid w:val="00d31d20"/>
    <w:rPr>
      <w:rFonts w:ascii="Times New Roman" w:hAnsi="Times New Roman" w:eastAsia="Times New Roman" w:cs="Times New Roman"/>
      <w:sz w:val="20"/>
      <w:szCs w:val="20"/>
      <w:lang w:val="pl-PL" w:eastAsia="pl-PL"/>
    </w:rPr>
  </w:style>
  <w:style w:type="character" w:styleId="TematkomentarzaZnak" w:customStyle="1">
    <w:name w:val="Temat komentarza Znak"/>
    <w:basedOn w:val="TekstkomentarzaZnak"/>
    <w:link w:val="Annotationsubject"/>
    <w:uiPriority w:val="99"/>
    <w:semiHidden/>
    <w:qFormat/>
    <w:rsid w:val="00d31d20"/>
    <w:rPr>
      <w:rFonts w:ascii="Times New Roman" w:hAnsi="Times New Roman" w:eastAsia="Times New Roman" w:cs="Times New Roman"/>
      <w:b/>
      <w:bCs/>
      <w:sz w:val="20"/>
      <w:szCs w:val="20"/>
      <w:lang w:val="pl-PL" w:eastAsia="pl-PL"/>
    </w:rPr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d31d20"/>
    <w:rPr>
      <w:rFonts w:ascii="Segoe UI" w:hAnsi="Segoe UI" w:eastAsia="Times New Roman" w:cs="Segoe UI"/>
      <w:sz w:val="18"/>
      <w:szCs w:val="18"/>
      <w:lang w:val="pl-PL" w:eastAsia="pl-PL"/>
    </w:rPr>
  </w:style>
  <w:style w:type="character" w:styleId="TekstprzypisukocowegoZnak" w:customStyle="1">
    <w:name w:val="Tekst przypisu końcowego Znak"/>
    <w:basedOn w:val="DefaultParagraphFont"/>
    <w:uiPriority w:val="99"/>
    <w:semiHidden/>
    <w:qFormat/>
    <w:rsid w:val="002064ae"/>
    <w:rPr>
      <w:rFonts w:ascii="Times New Roman" w:hAnsi="Times New Roman" w:eastAsia="Times New Roman" w:cs="Times New Roman"/>
      <w:sz w:val="20"/>
      <w:szCs w:val="20"/>
      <w:lang w:val="pl-PL" w:eastAsia="pl-PL"/>
    </w:rPr>
  </w:style>
  <w:style w:type="character" w:styleId="Zakotwiczenieprzypisukocowego">
    <w:name w:val="Zakotwiczenie przypisu końcowego"/>
    <w:rPr>
      <w:vertAlign w:val="superscript"/>
    </w:rPr>
  </w:style>
  <w:style w:type="character" w:styleId="EndnoteCharacters">
    <w:name w:val="Endnote Characters"/>
    <w:basedOn w:val="DefaultParagraphFont"/>
    <w:uiPriority w:val="99"/>
    <w:semiHidden/>
    <w:unhideWhenUsed/>
    <w:qFormat/>
    <w:rsid w:val="002064ae"/>
    <w:rPr>
      <w:vertAlign w:val="superscript"/>
    </w:rPr>
  </w:style>
  <w:style w:type="character" w:styleId="NagwekZnak" w:customStyle="1">
    <w:name w:val="Nagłówek Znak"/>
    <w:basedOn w:val="DefaultParagraphFont"/>
    <w:uiPriority w:val="99"/>
    <w:qFormat/>
    <w:rsid w:val="00eb08a3"/>
    <w:rPr>
      <w:rFonts w:ascii="Aptos" w:hAnsi="Aptos" w:eastAsia="Times New Roman" w:cs="Times New Roman"/>
      <w:sz w:val="20"/>
      <w:szCs w:val="20"/>
      <w:lang w:val="pl-PL" w:eastAsia="pl-PL"/>
    </w:rPr>
  </w:style>
  <w:style w:type="character" w:styleId="StopkaZnak" w:customStyle="1">
    <w:name w:val="Stopka Znak"/>
    <w:basedOn w:val="DefaultParagraphFont"/>
    <w:uiPriority w:val="99"/>
    <w:qFormat/>
    <w:rsid w:val="00eb08a3"/>
    <w:rPr>
      <w:rFonts w:ascii="Aptos" w:hAnsi="Aptos" w:eastAsia="Times New Roman" w:cs="Times New Roman"/>
      <w:sz w:val="20"/>
      <w:szCs w:val="20"/>
      <w:lang w:val="pl-PL" w:eastAsia="pl-PL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  <w:lang w:val="zxx" w:eastAsia="zxx" w:bidi="zxx"/>
    </w:rPr>
  </w:style>
  <w:style w:type="paragraph" w:styleId="Standard" w:customStyle="1">
    <w:name w:val="Standard"/>
    <w:qFormat/>
    <w:rsid w:val="005e466d"/>
    <w:pPr>
      <w:widowControl/>
      <w:suppressAutoHyphens w:val="true"/>
      <w:bidi w:val="0"/>
      <w:spacing w:lineRule="auto" w:line="240"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2"/>
      <w:sz w:val="24"/>
      <w:szCs w:val="24"/>
      <w:lang w:val="pl-PL" w:eastAsia="pl-PL" w:bidi="ar-SA"/>
    </w:rPr>
  </w:style>
  <w:style w:type="paragraph" w:styleId="ListParagraph">
    <w:name w:val="List Paragraph"/>
    <w:basedOn w:val="Normal"/>
    <w:link w:val="AkapitzlistZnak"/>
    <w:uiPriority w:val="34"/>
    <w:qFormat/>
    <w:rsid w:val="00373c34"/>
    <w:pPr>
      <w:widowControl w:val="false"/>
      <w:spacing w:before="60" w:after="60"/>
      <w:ind w:left="720" w:hanging="0"/>
      <w:contextualSpacing/>
    </w:pPr>
    <w:rPr/>
  </w:style>
  <w:style w:type="paragraph" w:styleId="Annotationtext">
    <w:name w:val="annotation text"/>
    <w:basedOn w:val="Normal"/>
    <w:link w:val="TekstkomentarzaZnak"/>
    <w:uiPriority w:val="99"/>
    <w:unhideWhenUsed/>
    <w:qFormat/>
    <w:rsid w:val="00d31d20"/>
    <w:pPr/>
    <w:rPr/>
  </w:style>
  <w:style w:type="paragraph" w:styleId="Annotationsubject">
    <w:name w:val="annotation subject"/>
    <w:basedOn w:val="Annotationtext"/>
    <w:next w:val="Annotationtext"/>
    <w:link w:val="TematkomentarzaZnak"/>
    <w:uiPriority w:val="99"/>
    <w:semiHidden/>
    <w:unhideWhenUsed/>
    <w:qFormat/>
    <w:rsid w:val="00d31d20"/>
    <w:pPr/>
    <w:rPr>
      <w:b/>
      <w:bCs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d31d20"/>
    <w:pPr/>
    <w:rPr>
      <w:rFonts w:ascii="Segoe UI" w:hAnsi="Segoe UI" w:cs="Segoe UI"/>
      <w:sz w:val="18"/>
      <w:szCs w:val="18"/>
    </w:rPr>
  </w:style>
  <w:style w:type="paragraph" w:styleId="Revision">
    <w:name w:val="Revision"/>
    <w:uiPriority w:val="99"/>
    <w:semiHidden/>
    <w:qFormat/>
    <w:rsid w:val="00287f97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pl-PL" w:eastAsia="pl-PL" w:bidi="ar-SA"/>
    </w:rPr>
  </w:style>
  <w:style w:type="paragraph" w:styleId="Default" w:customStyle="1">
    <w:name w:val="Default"/>
    <w:qFormat/>
    <w:rsid w:val="001e3076"/>
    <w:pPr>
      <w:widowControl/>
      <w:suppressAutoHyphens w:val="true"/>
      <w:bidi w:val="0"/>
      <w:spacing w:lineRule="auto" w:line="240" w:before="0" w:after="0"/>
      <w:jc w:val="left"/>
    </w:pPr>
    <w:rPr>
      <w:rFonts w:ascii="Segoe UI" w:hAnsi="Segoe UI" w:eastAsia="Calibri" w:cs="Segoe UI"/>
      <w:color w:val="000000"/>
      <w:kern w:val="0"/>
      <w:sz w:val="24"/>
      <w:szCs w:val="24"/>
      <w:lang w:val="pl-PL" w:eastAsia="en-US" w:bidi="ar-SA"/>
    </w:rPr>
  </w:style>
  <w:style w:type="paragraph" w:styleId="Przypiskocowy">
    <w:name w:val="Endnote Text"/>
    <w:basedOn w:val="Normal"/>
    <w:link w:val="TekstprzypisukocowegoZnak"/>
    <w:uiPriority w:val="99"/>
    <w:semiHidden/>
    <w:unhideWhenUsed/>
    <w:rsid w:val="002064ae"/>
    <w:pPr/>
    <w:rPr/>
  </w:style>
  <w:style w:type="paragraph" w:styleId="NormalWeb">
    <w:name w:val="Normal (Web)"/>
    <w:basedOn w:val="Normal"/>
    <w:uiPriority w:val="99"/>
    <w:semiHidden/>
    <w:unhideWhenUsed/>
    <w:qFormat/>
    <w:rsid w:val="008d3f7c"/>
    <w:pPr>
      <w:spacing w:beforeAutospacing="1" w:afterAutospacing="1"/>
    </w:pPr>
    <w:rPr>
      <w:sz w:val="24"/>
      <w:szCs w:val="24"/>
    </w:rPr>
  </w:style>
  <w:style w:type="paragraph" w:styleId="StandardBold" w:customStyle="1">
    <w:name w:val="Standard_Bold"/>
    <w:basedOn w:val="Normal"/>
    <w:qFormat/>
    <w:rsid w:val="00ec4f88"/>
    <w:pPr/>
    <w:rPr>
      <w:b/>
      <w:sz w:val="22"/>
    </w:rPr>
  </w:style>
  <w:style w:type="paragraph" w:styleId="NoSpacing">
    <w:name w:val="No Spacing"/>
    <w:uiPriority w:val="1"/>
    <w:qFormat/>
    <w:rsid w:val="008a63a7"/>
    <w:pPr>
      <w:widowControl/>
      <w:suppressAutoHyphens w:val="true"/>
      <w:bidi w:val="0"/>
      <w:spacing w:lineRule="auto" w:line="240" w:before="0" w:after="0"/>
      <w:jc w:val="left"/>
    </w:pPr>
    <w:rPr>
      <w:rFonts w:ascii="Aptos" w:hAnsi="Aptos" w:eastAsia="Times New Roman" w:cs="Times New Roman"/>
      <w:color w:val="auto"/>
      <w:kern w:val="0"/>
      <w:sz w:val="20"/>
      <w:szCs w:val="20"/>
      <w:lang w:val="pl-PL" w:eastAsia="pl-PL" w:bidi="ar-SA"/>
    </w:rPr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Normal"/>
    <w:link w:val="NagwekZnak"/>
    <w:uiPriority w:val="99"/>
    <w:unhideWhenUsed/>
    <w:rsid w:val="00eb08a3"/>
    <w:pPr>
      <w:tabs>
        <w:tab w:val="clear" w:pos="720"/>
        <w:tab w:val="center" w:pos="4536" w:leader="none"/>
        <w:tab w:val="right" w:pos="9072" w:leader="none"/>
      </w:tabs>
      <w:spacing w:before="0" w:after="0"/>
    </w:pPr>
    <w:rPr/>
  </w:style>
  <w:style w:type="paragraph" w:styleId="Stopka">
    <w:name w:val="Footer"/>
    <w:basedOn w:val="Normal"/>
    <w:link w:val="StopkaZnak"/>
    <w:uiPriority w:val="99"/>
    <w:unhideWhenUsed/>
    <w:rsid w:val="00eb08a3"/>
    <w:pPr>
      <w:tabs>
        <w:tab w:val="clear" w:pos="720"/>
        <w:tab w:val="center" w:pos="4536" w:leader="none"/>
        <w:tab w:val="right" w:pos="9072" w:leader="none"/>
      </w:tabs>
      <w:spacing w:before="0" w:after="0"/>
    </w:pPr>
    <w:rPr/>
  </w:style>
  <w:style w:type="paragraph" w:styleId="Zawartotabeli" w:customStyle="1">
    <w:name w:val="Zawartość tabeli"/>
    <w:basedOn w:val="Standard"/>
    <w:qFormat/>
    <w:rsid w:val="007456d1"/>
    <w:pPr>
      <w:widowControl w:val="false"/>
      <w:suppressLineNumbers/>
    </w:pPr>
    <w:rPr>
      <w:rFonts w:ascii="Liberation Serif" w:hAnsi="Liberation Serif" w:eastAsia="NSimSun" w:cs="Arial"/>
      <w:lang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1e3076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536FA7-E575-4596-BFC8-409AB0E3D7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Application>LibreOffice/7.3.2.2$Windows_X86_64 LibreOffice_project/49f2b1bff42cfccbd8f788c8dc32c1c309559be0</Application>
  <AppVersion>15.0000</AppVersion>
  <Pages>8</Pages>
  <Words>1879</Words>
  <Characters>14285</Characters>
  <CharactersWithSpaces>15937</CharactersWithSpaces>
  <Paragraphs>125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2026-07-21T09:19:00Z</dcterms:created>
  <dc:creator/>
  <dc:description/>
  <dc:language>pl-PL</dc:language>
  <cp:lastModifiedBy/>
  <dcterms:modified xsi:type="dcterms:W3CDTF">2026-10-16T11:54:32Z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