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-Siatka"/>
        <w:tblW w:w="906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0"/>
        <w:gridCol w:w="2112"/>
        <w:gridCol w:w="1556"/>
        <w:gridCol w:w="887"/>
        <w:gridCol w:w="1623"/>
        <w:gridCol w:w="1395"/>
        <w:gridCol w:w="938"/>
      </w:tblGrid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Lp.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Nazwa produktu</w:t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Obszar wpisać OT lub IT</w:t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Liczba jednostek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Kwota netto w (zł) za jednostkę</w:t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Kwota brutto w (zł) za jednostkę</w:t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Kwota łączna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(poz. 4 x poz. 6)</w:t>
            </w:r>
          </w:p>
        </w:tc>
      </w:tr>
      <w:tr>
        <w:trPr/>
        <w:tc>
          <w:tcPr>
            <w:tcW w:w="55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</w:t>
            </w:r>
          </w:p>
        </w:tc>
        <w:tc>
          <w:tcPr>
            <w:tcW w:w="2112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center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2</w:t>
            </w:r>
          </w:p>
        </w:tc>
        <w:tc>
          <w:tcPr>
            <w:tcW w:w="155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center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3</w:t>
            </w:r>
          </w:p>
        </w:tc>
        <w:tc>
          <w:tcPr>
            <w:tcW w:w="88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center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162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center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139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center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6</w:t>
            </w:r>
          </w:p>
        </w:tc>
        <w:tc>
          <w:tcPr>
            <w:tcW w:w="938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center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7</w:t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Wdrożenie rozwiązania open-source typu NAC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2.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Wdrożenie rozwiązania open-source typu NDR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3.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Wdrożenie rozwiązania open-source typu SIEM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4.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Wdrożenie rozwiązania open-source typu SOAR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5.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Wdrożenie rozwiązania open-source typu menadżer logów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6.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Wdrożenie rozwiązania open-source do skanowania, badania i zarządzania podatnościami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7.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  <w:bCs/>
              </w:rPr>
            </w:pPr>
            <w:r>
              <w:rPr>
                <w:rFonts w:eastAsia="Calibri" w:cs=""/>
                <w:b/>
                <w:bCs/>
                <w:kern w:val="2"/>
                <w:sz w:val="22"/>
                <w:szCs w:val="22"/>
                <w:lang w:val="pl-PL" w:eastAsia="en-US" w:bidi="ar-SA"/>
              </w:rPr>
              <w:t>Wdrożenie rozwiązania open-source do monitorowania infrastruktury IT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  <w:bCs/>
              </w:rPr>
            </w:pPr>
            <w:r>
              <w:rPr>
                <w:b/>
                <w:bCs/>
                <w:sz w:val="22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8.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Wdrożenie rozwiązania open-source do analizy po włamaniowej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9.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Wdrożenie rozwiązania open-source oprogramowania ITSM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10.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Wdrożenie rozwiązania open-source do skanowania podatności serwisów internetowych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5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11.</w:t>
            </w:r>
          </w:p>
        </w:tc>
        <w:tc>
          <w:tcPr>
            <w:tcW w:w="211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2"/>
                <w:sz w:val="22"/>
                <w:szCs w:val="22"/>
                <w:lang w:val="pl-PL" w:eastAsia="en-US" w:bidi="ar-SA"/>
              </w:rPr>
              <w:t>Usługa segmentacji sieci dla obszarów IT i OT</w:t>
            </w:r>
          </w:p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88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1 szt.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</w:tr>
      <w:tr>
        <w:trPr/>
        <w:tc>
          <w:tcPr>
            <w:tcW w:w="5105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Razem:</w:t>
            </w:r>
          </w:p>
        </w:tc>
        <w:tc>
          <w:tcPr>
            <w:tcW w:w="162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395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3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59" w:before="0" w:after="160"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*…………… zł</w:t>
            </w:r>
          </w:p>
        </w:tc>
      </w:tr>
    </w:tbl>
    <w:p>
      <w:pPr>
        <w:pStyle w:val="Normal"/>
        <w:spacing w:before="0" w:after="200"/>
        <w:contextualSpacing/>
        <w:jc w:val="both"/>
        <w:rPr>
          <w:rFonts w:ascii="Calibri Light" w:hAnsi="Calibri Light" w:eastAsia="" w:cs="" w:asciiTheme="majorHAnsi" w:cstheme="majorBidi" w:eastAsiaTheme="majorEastAsia" w:hAnsiTheme="majorHAnsi"/>
          <w:i/>
          <w:i/>
          <w:iCs/>
          <w:sz w:val="22"/>
          <w:szCs w:val="22"/>
        </w:rPr>
      </w:pPr>
      <w:r>
        <w:rPr>
          <w:rFonts w:eastAsia="" w:cs="" w:ascii="Calibri Light" w:hAnsi="Calibri Light" w:asciiTheme="majorHAnsi" w:cstheme="majorBidi" w:eastAsiaTheme="majorEastAsia" w:hAnsiTheme="majorHAnsi"/>
          <w:i/>
          <w:iCs/>
          <w:sz w:val="22"/>
          <w:szCs w:val="22"/>
        </w:rPr>
        <w:t>*łączną kwotę brutto (RAZEM - suma pozycji z kolumny nr 7 tabeli) należy przenieść odpowiednio do formularza ofertowego stanowiącego Załącznik nr 1 do SWZ</w:t>
      </w:r>
    </w:p>
    <w:p>
      <w:pPr>
        <w:pStyle w:val="Normal"/>
        <w:spacing w:before="0" w:after="200"/>
        <w:contextualSpacing/>
        <w:jc w:val="both"/>
        <w:rPr>
          <w:rFonts w:ascii="Calibri Light" w:hAnsi="Calibri Light" w:eastAsia="" w:cs="" w:asciiTheme="majorHAnsi" w:cstheme="majorBidi" w:eastAsiaTheme="majorEastAsia" w:hAnsiTheme="majorHAnsi"/>
          <w:i/>
          <w:i/>
          <w:iCs/>
          <w:sz w:val="22"/>
          <w:szCs w:val="22"/>
        </w:rPr>
      </w:pPr>
      <w:r>
        <w:rPr>
          <w:rFonts w:eastAsia="" w:cs="" w:cstheme="majorBidi" w:eastAsiaTheme="majorEastAsia" w:ascii="Calibri Light" w:hAnsi="Calibri Light"/>
          <w:i/>
          <w:iCs/>
          <w:sz w:val="22"/>
          <w:szCs w:val="22"/>
        </w:rPr>
      </w:r>
    </w:p>
    <w:p>
      <w:pPr>
        <w:pStyle w:val="Normal"/>
        <w:spacing w:before="0" w:after="200"/>
        <w:contextualSpacing/>
        <w:jc w:val="both"/>
        <w:rPr>
          <w:rFonts w:ascii="Calibri Light" w:hAnsi="Calibri Light" w:eastAsia="" w:cs="" w:asciiTheme="majorHAnsi" w:cstheme="majorBidi" w:eastAsiaTheme="majorEastAsia" w:hAnsiTheme="majorHAnsi"/>
          <w:i/>
          <w:i/>
          <w:iCs/>
          <w:sz w:val="22"/>
          <w:szCs w:val="22"/>
        </w:rPr>
      </w:pPr>
      <w:r>
        <w:rPr>
          <w:rFonts w:eastAsia="" w:cs="" w:cstheme="majorBidi" w:eastAsiaTheme="majorEastAsia" w:ascii="Calibri Light" w:hAnsi="Calibri Light"/>
          <w:i/>
          <w:iCs/>
          <w:sz w:val="22"/>
          <w:szCs w:val="22"/>
        </w:rPr>
      </w:r>
    </w:p>
    <w:p>
      <w:pPr>
        <w:pStyle w:val="Normal"/>
        <w:spacing w:before="0" w:after="200"/>
        <w:contextualSpacing/>
        <w:jc w:val="both"/>
        <w:rPr>
          <w:rFonts w:ascii="Calibri Light" w:hAnsi="Calibri Light" w:eastAsia="" w:cs="" w:asciiTheme="majorHAnsi" w:cstheme="majorBidi" w:eastAsiaTheme="majorEastAsia" w:hAnsiTheme="majorHAnsi"/>
          <w:sz w:val="22"/>
          <w:szCs w:val="22"/>
        </w:rPr>
      </w:pPr>
      <w:r>
        <w:rPr>
          <w:rFonts w:eastAsia="" w:cs="" w:cstheme="majorBidi" w:eastAsiaTheme="majorEastAsia" w:ascii="Calibri Light" w:hAnsi="Calibri Light"/>
          <w:sz w:val="22"/>
          <w:szCs w:val="22"/>
        </w:rPr>
      </w:r>
    </w:p>
    <w:p>
      <w:pPr>
        <w:pStyle w:val="Normal"/>
        <w:spacing w:before="0" w:after="200"/>
        <w:contextualSpacing/>
        <w:jc w:val="both"/>
        <w:rPr>
          <w:i/>
          <w:i/>
          <w:iCs/>
          <w:sz w:val="20"/>
          <w:szCs w:val="20"/>
        </w:rPr>
      </w:pPr>
      <w:r>
        <w:rPr>
          <w:rFonts w:eastAsia="" w:cs="" w:ascii="Calibri Light" w:hAnsi="Calibri Light" w:asciiTheme="majorHAnsi" w:cstheme="majorBidi" w:eastAsiaTheme="majorEastAsia" w:hAnsiTheme="majorHAnsi"/>
          <w:b/>
          <w:bCs/>
          <w:i/>
          <w:iCs/>
          <w:color w:val="C9211E"/>
          <w:sz w:val="22"/>
          <w:szCs w:val="22"/>
        </w:rPr>
        <w:t>Uwaga! Przedmiotowy dokument pod rygorem nieważności należy opatrzeć kwalifikowanym podpisem elektronicznym, podpisem zaufanym lub podpisem osobistym.</w:t>
      </w:r>
    </w:p>
    <w:sectPr>
      <w:headerReference w:type="default" r:id="rId2"/>
      <w:type w:val="nextPage"/>
      <w:pgSz w:w="11906" w:h="16838"/>
      <w:pgMar w:left="1417" w:right="1417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Montserrat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  <w:drawing>
        <wp:inline distT="0" distB="0" distL="0" distR="0">
          <wp:extent cx="4511675" cy="572770"/>
          <wp:effectExtent l="0" t="0" r="0" b="0"/>
          <wp:docPr id="1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11675" cy="572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Gwka"/>
      <w:rPr/>
    </w:pPr>
    <w:r>
      <w:rPr/>
    </w:r>
  </w:p>
  <w:p>
    <w:pPr>
      <w:pStyle w:val="Gwka"/>
      <w:jc w:val="right"/>
      <w:rPr/>
    </w:pPr>
    <w:r>
      <w:rPr/>
      <w:t>Załącznik nr 1a do SWZ</w:t>
    </w:r>
  </w:p>
  <w:p>
    <w:pPr>
      <w:pStyle w:val="Normal"/>
      <w:jc w:val="left"/>
      <w:rPr>
        <w:b/>
        <w:b/>
        <w:bCs/>
        <w:sz w:val="24"/>
        <w:szCs w:val="24"/>
      </w:rPr>
    </w:pPr>
    <w:r>
      <w:rPr>
        <w:b/>
        <w:bCs/>
        <w:sz w:val="24"/>
        <w:szCs w:val="24"/>
      </w:rPr>
      <w:t>Znak: IGP.I.271.51.2026</w:t>
    </w:r>
  </w:p>
  <w:p>
    <w:pPr>
      <w:pStyle w:val="Normal"/>
      <w:jc w:val="center"/>
      <w:rPr>
        <w:b/>
        <w:b/>
        <w:bCs/>
        <w:sz w:val="24"/>
        <w:szCs w:val="24"/>
      </w:rPr>
    </w:pPr>
    <w:r>
      <w:rPr>
        <w:b/>
        <w:bCs/>
        <w:sz w:val="24"/>
        <w:szCs w:val="24"/>
      </w:rPr>
    </w:r>
  </w:p>
  <w:p>
    <w:pPr>
      <w:pStyle w:val="Normal"/>
      <w:jc w:val="center"/>
      <w:rPr>
        <w:b/>
        <w:b/>
        <w:bCs/>
        <w:sz w:val="24"/>
        <w:szCs w:val="24"/>
      </w:rPr>
    </w:pPr>
    <w:r>
      <w:rPr>
        <w:rFonts w:cs="Calibri"/>
        <w:b/>
        <w:bCs/>
        <w:i/>
        <w:iCs/>
        <w:sz w:val="24"/>
        <w:szCs w:val="24"/>
      </w:rPr>
      <w:t>„</w:t>
    </w:r>
    <w:r>
      <w:rPr>
        <w:rFonts w:cs="Calibri"/>
        <w:b/>
        <w:bCs/>
        <w:i/>
        <w:iCs/>
        <w:sz w:val="24"/>
        <w:szCs w:val="24"/>
      </w:rPr>
      <w:t xml:space="preserve">Wdrożenie i uruchomienie rozwiązania open-source dla obszaru IT i OT/ICS/IioT” </w:t>
    </w:r>
  </w:p>
  <w:p>
    <w:pPr>
      <w:pStyle w:val="Gwka"/>
      <w:jc w:val="center"/>
      <w:rPr>
        <w:b/>
        <w:b/>
        <w:bCs/>
        <w:sz w:val="24"/>
        <w:szCs w:val="24"/>
      </w:rPr>
    </w:pPr>
    <w:r>
      <w:rPr>
        <w:b/>
        <w:bCs/>
        <w:sz w:val="24"/>
        <w:szCs w:val="24"/>
      </w:rPr>
    </w:r>
  </w:p>
  <w:p>
    <w:pPr>
      <w:pStyle w:val="Gwka"/>
      <w:jc w:val="center"/>
      <w:rPr>
        <w:b/>
        <w:b/>
        <w:bCs/>
        <w:sz w:val="24"/>
        <w:szCs w:val="24"/>
      </w:rPr>
    </w:pPr>
    <w:r>
      <w:rPr>
        <w:b/>
        <w:bCs/>
        <w:sz w:val="24"/>
        <w:szCs w:val="24"/>
      </w:rPr>
    </w:r>
  </w:p>
  <w:p>
    <w:pPr>
      <w:pStyle w:val="Gwka"/>
      <w:jc w:val="center"/>
      <w:rPr>
        <w:b/>
        <w:b/>
        <w:bCs/>
        <w:sz w:val="24"/>
        <w:szCs w:val="24"/>
      </w:rPr>
    </w:pPr>
    <w:r>
      <w:rPr>
        <w:b/>
        <w:bCs/>
        <w:sz w:val="24"/>
        <w:szCs w:val="24"/>
      </w:rPr>
      <w:t>FORMULARZ ASORTYMENTOWO- CENOWY</w:t>
    </w:r>
  </w:p>
  <w:p>
    <w:pPr>
      <w:pStyle w:val="Normal"/>
      <w:jc w:val="center"/>
      <w:rPr>
        <w:b w:val="false"/>
        <w:b w:val="false"/>
        <w:bCs w:val="false"/>
        <w:sz w:val="24"/>
        <w:szCs w:val="24"/>
      </w:rPr>
    </w:pPr>
    <w:r>
      <w:rPr>
        <w:b w:val="false"/>
        <w:bCs w:val="false"/>
        <w:sz w:val="24"/>
        <w:szCs w:val="24"/>
      </w:rPr>
      <w:t>(należy wypełnić wszystkie wiersze przypisane do kolumn nr 3,5,6 i 7)</w:t>
    </w:r>
  </w:p>
  <w:p>
    <w:pPr>
      <w:pStyle w:val="Gwka"/>
      <w:rPr>
        <w:b/>
        <w:b/>
        <w:bCs/>
      </w:rPr>
    </w:pPr>
    <w:r>
      <w:rPr>
        <w:b/>
        <w:bCs/>
      </w:rPr>
    </w:r>
  </w:p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Nagwek1">
    <w:name w:val="Heading 1"/>
    <w:basedOn w:val="Normal"/>
    <w:next w:val="Normal"/>
    <w:link w:val="Nagwek1Znak"/>
    <w:uiPriority w:val="9"/>
    <w:qFormat/>
    <w:rsid w:val="00963107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Nagwek2">
    <w:name w:val="Heading 2"/>
    <w:basedOn w:val="Normal"/>
    <w:next w:val="Normal"/>
    <w:link w:val="Nagwek2Znak"/>
    <w:uiPriority w:val="9"/>
    <w:unhideWhenUsed/>
    <w:qFormat/>
    <w:rsid w:val="00963107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Nagwek3">
    <w:name w:val="Heading 3"/>
    <w:basedOn w:val="Normal"/>
    <w:next w:val="Normal"/>
    <w:link w:val="Nagwek3Znak"/>
    <w:uiPriority w:val="9"/>
    <w:unhideWhenUsed/>
    <w:qFormat/>
    <w:rsid w:val="0096310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Nagwek4">
    <w:name w:val="Heading 4"/>
    <w:basedOn w:val="Normal"/>
    <w:next w:val="Normal"/>
    <w:link w:val="Nagwek4Znak"/>
    <w:uiPriority w:val="9"/>
    <w:unhideWhenUsed/>
    <w:qFormat/>
    <w:rsid w:val="0096310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Nagwek5">
    <w:name w:val="Heading 5"/>
    <w:basedOn w:val="Normal"/>
    <w:next w:val="Normal"/>
    <w:link w:val="Nagwek5Znak"/>
    <w:uiPriority w:val="9"/>
    <w:unhideWhenUsed/>
    <w:qFormat/>
    <w:rsid w:val="0096310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Nagwek6">
    <w:name w:val="Heading 6"/>
    <w:basedOn w:val="Normal"/>
    <w:next w:val="Normal"/>
    <w:link w:val="Nagwek6Znak"/>
    <w:uiPriority w:val="9"/>
    <w:unhideWhenUsed/>
    <w:qFormat/>
    <w:rsid w:val="0096310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gwek7">
    <w:name w:val="Heading 7"/>
    <w:basedOn w:val="Normal"/>
    <w:next w:val="Normal"/>
    <w:link w:val="Nagwek7Znak"/>
    <w:uiPriority w:val="9"/>
    <w:unhideWhenUsed/>
    <w:qFormat/>
    <w:rsid w:val="0096310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96310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96310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963107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963107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963107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963107"/>
    <w:rPr>
      <w:rFonts w:eastAsia="" w:cs="" w:cstheme="majorBidi" w:eastAsiaTheme="majorEastAsia"/>
      <w:i/>
      <w:iCs/>
      <w:color w:val="2F5496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963107"/>
    <w:rPr>
      <w:rFonts w:eastAsia="" w:cs="" w:cstheme="majorBidi" w:eastAsiaTheme="majorEastAsia"/>
      <w:color w:val="2F5496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963107"/>
    <w:rPr>
      <w:rFonts w:eastAsia="" w:cs="" w:cstheme="majorBidi" w:eastAsiaTheme="majorEastAsia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963107"/>
    <w:rPr>
      <w:rFonts w:eastAsia="" w:cs="" w:cstheme="majorBidi" w:eastAsiaTheme="majorEastAsia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963107"/>
    <w:rPr>
      <w:rFonts w:eastAsia="" w:cs="" w:cstheme="majorBidi" w:eastAsiaTheme="majorEastAsia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963107"/>
    <w:rPr>
      <w:rFonts w:eastAsia="" w:cs="" w:cstheme="majorBidi" w:eastAsiaTheme="majorEastAsia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96310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963107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96310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63107"/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9631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107"/>
    <w:rPr>
      <w:b/>
      <w:bCs/>
      <w:smallCaps/>
      <w:color w:val="2F5496" w:themeColor="accent1" w:themeShade="bf"/>
      <w:spacing w:val="5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c67ff"/>
    <w:rPr>
      <w:sz w:val="16"/>
      <w:szCs w:val="16"/>
    </w:rPr>
  </w:style>
  <w:style w:type="character" w:styleId="NagwekZnak" w:customStyle="1">
    <w:name w:val="Nagłówek Znak"/>
    <w:basedOn w:val="DefaultParagraphFont"/>
    <w:uiPriority w:val="99"/>
    <w:qFormat/>
    <w:rsid w:val="00b97e8e"/>
    <w:rPr/>
  </w:style>
  <w:style w:type="character" w:styleId="StopkaZnak" w:customStyle="1">
    <w:name w:val="Stopka Znak"/>
    <w:basedOn w:val="DefaultParagraphFont"/>
    <w:uiPriority w:val="99"/>
    <w:qFormat/>
    <w:rsid w:val="00b97e8e"/>
    <w:rPr/>
  </w:style>
  <w:style w:type="character" w:styleId="UnresolvedMention">
    <w:name w:val="Unresolved Mention"/>
    <w:qFormat/>
    <w:rPr>
      <w:color w:val="605E5C"/>
      <w:shd w:fill="E1DFDD" w:val="clear"/>
    </w:rPr>
  </w:style>
  <w:style w:type="character" w:styleId="Nierozpoznanawzmianka1">
    <w:name w:val="Nierozpoznana wzmianka1"/>
    <w:qFormat/>
    <w:rPr>
      <w:color w:val="605E5C"/>
      <w:shd w:fill="E1DFDD" w:val="clear"/>
    </w:rPr>
  </w:style>
  <w:style w:type="character" w:styleId="TematkomentarzaZnak">
    <w:name w:val="Temat komentarza Znak"/>
    <w:qFormat/>
    <w:rPr>
      <w:b/>
      <w:bCs/>
      <w:sz w:val="20"/>
      <w:szCs w:val="20"/>
    </w:rPr>
  </w:style>
  <w:style w:type="character" w:styleId="ZwykytekstZnak">
    <w:name w:val="Zwykły tekst Znak"/>
    <w:qFormat/>
    <w:rPr>
      <w:rFonts w:ascii="Montserrat" w:hAnsi="Montserrat" w:eastAsia="Times New Roman" w:cs="Times New Roman (Tekst podstawo"/>
      <w:kern w:val="2"/>
      <w:sz w:val="21"/>
      <w:szCs w:val="21"/>
    </w:rPr>
  </w:style>
  <w:style w:type="character" w:styleId="Appleconvertedspace">
    <w:name w:val="apple-converted-space"/>
    <w:qFormat/>
    <w:rPr/>
  </w:style>
  <w:style w:type="character" w:styleId="TekstkomentarzaZnak">
    <w:name w:val="Tekst komentarza Znak"/>
    <w:qFormat/>
    <w:rPr>
      <w:sz w:val="20"/>
      <w:szCs w:val="20"/>
    </w:rPr>
  </w:style>
  <w:style w:type="character" w:styleId="Eop">
    <w:name w:val="eop"/>
    <w:qFormat/>
    <w:rPr/>
  </w:style>
  <w:style w:type="character" w:styleId="Normaltextrun">
    <w:name w:val="normaltextrun"/>
    <w:qFormat/>
    <w:rPr/>
  </w:style>
  <w:style w:type="character" w:styleId="Teksttreci">
    <w:name w:val="Tekst treści_"/>
    <w:qFormat/>
    <w:rPr>
      <w:rFonts w:ascii="Times New Roman" w:hAnsi="Times New Roman" w:eastAsia="Times New Roman"/>
      <w:shd w:fill="FFFFFF" w:val="clear"/>
    </w:rPr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Highlight">
    <w:name w:val="highlight"/>
    <w:qFormat/>
    <w:rPr/>
  </w:style>
  <w:style w:type="character" w:styleId="AkapitzlistZnak">
    <w:name w:val="Akapit z listą Znak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Tytu">
    <w:name w:val="Title"/>
    <w:basedOn w:val="Normal"/>
    <w:next w:val="Normal"/>
    <w:link w:val="TytuZnak"/>
    <w:uiPriority w:val="10"/>
    <w:qFormat/>
    <w:rsid w:val="00963107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ytu">
    <w:name w:val="Subtitle"/>
    <w:basedOn w:val="Normal"/>
    <w:next w:val="Normal"/>
    <w:link w:val="PodtytuZnak"/>
    <w:uiPriority w:val="11"/>
    <w:qFormat/>
    <w:rsid w:val="00963107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963107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107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96310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b97e8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b97e8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Tekstpodstawowy22">
    <w:name w:val="Tekst podstawowy 22"/>
    <w:basedOn w:val="Normal"/>
    <w:qFormat/>
    <w:pPr>
      <w:spacing w:lineRule="exact" w:line="480" w:before="0" w:after="120"/>
    </w:pPr>
    <w:rPr>
      <w:rFonts w:ascii="Times New Roman" w:hAnsi="Times New Roman" w:eastAsia="Times New Roman" w:cs="Times New Roman"/>
      <w:lang w:bidi="pl-PL"/>
    </w:rPr>
  </w:style>
  <w:style w:type="paragraph" w:styleId="ProPublico1">
    <w:name w:val="ProPublico1"/>
    <w:basedOn w:val="Normal"/>
    <w:qFormat/>
    <w:pPr>
      <w:spacing w:lineRule="exact" w:line="360"/>
      <w:jc w:val="both"/>
    </w:pPr>
    <w:rPr>
      <w:rFonts w:ascii="Arial" w:hAnsi="Arial" w:eastAsia="Times New Roman"/>
      <w:b/>
      <w:szCs w:val="20"/>
    </w:rPr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pl-PL" w:bidi="ar-SA"/>
    </w:rPr>
  </w:style>
  <w:style w:type="paragraph" w:styleId="Annotationsubject">
    <w:name w:val="annotation subject"/>
    <w:qFormat/>
    <w:pPr>
      <w:widowControl/>
      <w:suppressAutoHyphens w:val="true"/>
      <w:bidi w:val="0"/>
      <w:spacing w:lineRule="exact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b/>
      <w:bCs/>
      <w:color w:val="auto"/>
      <w:kern w:val="2"/>
      <w:sz w:val="20"/>
      <w:szCs w:val="20"/>
      <w:lang w:val="pl-PL" w:eastAsia="en-US" w:bidi="ar-SA"/>
      <w14:ligatures w14:val="standardContextual"/>
    </w:rPr>
  </w:style>
  <w:style w:type="paragraph" w:styleId="PlainText">
    <w:name w:val="Plain Text"/>
    <w:basedOn w:val="Normal"/>
    <w:qFormat/>
    <w:pPr>
      <w:suppressAutoHyphens w:val="false"/>
      <w:spacing w:lineRule="exact" w:line="240" w:before="0" w:after="0"/>
    </w:pPr>
    <w:rPr>
      <w:rFonts w:ascii="Montserrat" w:hAnsi="Montserrat" w:eastAsia="Times New Roman" w:cs="Times New Roman (Tekst podstawo"/>
      <w:kern w:val="2"/>
      <w:sz w:val="21"/>
      <w:szCs w:val="21"/>
    </w:rPr>
  </w:style>
  <w:style w:type="paragraph" w:styleId="Annotationtext">
    <w:name w:val="annotation text"/>
    <w:basedOn w:val="Normal"/>
    <w:qFormat/>
    <w:pPr>
      <w:spacing w:lineRule="exact" w:line="240"/>
    </w:pPr>
    <w:rPr>
      <w:sz w:val="20"/>
      <w:szCs w:val="20"/>
    </w:rPr>
  </w:style>
  <w:style w:type="paragraph" w:styleId="Paragraph">
    <w:name w:val="paragraph"/>
    <w:basedOn w:val="Normal"/>
    <w:qFormat/>
    <w:pPr>
      <w:spacing w:lineRule="exact" w:line="240" w:before="280" w:after="280"/>
    </w:pPr>
    <w:rPr>
      <w:rFonts w:ascii="Times New Roman" w:hAnsi="Times New Roman"/>
      <w:lang w:eastAsia="pl-PL"/>
    </w:rPr>
  </w:style>
  <w:style w:type="paragraph" w:styleId="Teksttreci1">
    <w:name w:val="Tekst treści"/>
    <w:basedOn w:val="Normal"/>
    <w:qFormat/>
    <w:pPr>
      <w:widowControl w:val="false"/>
      <w:shd w:fill="FFFFFF"/>
      <w:suppressAutoHyphens w:val="false"/>
      <w:spacing w:lineRule="exact" w:line="413" w:before="0" w:after="0"/>
      <w:ind w:left="357" w:hanging="357"/>
    </w:pPr>
    <w:rPr>
      <w:rFonts w:ascii="Times New Roman" w:hAnsi="Times New Roman" w:eastAsia="Times New Roman"/>
    </w:rPr>
  </w:style>
  <w:style w:type="paragraph" w:styleId="NoSpacing">
    <w:name w:val="No Spacing"/>
    <w:qFormat/>
    <w:pPr>
      <w:widowControl/>
      <w:suppressAutoHyphens w:val="fals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Tahoma" w:hAnsi="Tahoma"/>
      <w:sz w:val="16"/>
      <w:szCs w:val="16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ahoma"/>
      <w:color w:val="000000"/>
      <w:kern w:val="0"/>
      <w:sz w:val="24"/>
      <w:szCs w:val="22"/>
      <w:lang w:val="pl-PL" w:eastAsia="en-US" w:bidi="ar-SA"/>
    </w:rPr>
  </w:style>
  <w:style w:type="paragraph" w:styleId="Caption">
    <w:name w:val="caption"/>
    <w:basedOn w:val="Normal"/>
    <w:qFormat/>
    <w:pPr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c67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30230-25B1-4B05-9094-26D9F6170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Application>LibreOffice/7.3.2.2$Windows_X86_64 LibreOffice_project/49f2b1bff42cfccbd8f788c8dc32c1c309559be0</Application>
  <AppVersion>15.0000</AppVersion>
  <Pages>3</Pages>
  <Words>213</Words>
  <Characters>1245</Characters>
  <CharactersWithSpaces>1402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kicinski</dc:creator>
  <dc:description/>
  <dc:language>pl-PL</dc:language>
  <cp:lastModifiedBy/>
  <dcterms:modified xsi:type="dcterms:W3CDTF">2026-10-16T11:53:52Z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