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rFonts w:ascii="Arial" w:hAnsi="Arial" w:cs="Arial"/>
          <w:b/>
          <w:bCs/>
          <w:spacing w:val="202"/>
          <w:sz w:val="18"/>
          <w:szCs w:val="18"/>
          <w:u w:val="single"/>
        </w:rPr>
      </w:pPr>
      <w:r>
        <w:rPr>
          <w:rFonts w:cs="Arial" w:ascii="Arial" w:hAnsi="Arial"/>
          <w:b/>
          <w:bCs/>
          <w:spacing w:val="202"/>
          <w:sz w:val="18"/>
          <w:szCs w:val="18"/>
          <w:u w:val="single"/>
        </w:rPr>
        <w:t>ZAŁĄCZNIK NR. 1.</w:t>
      </w:r>
    </w:p>
    <w:p>
      <w:pPr>
        <w:pStyle w:val="Normal"/>
        <w:jc w:val="center"/>
        <w:rPr>
          <w:rFonts w:ascii="Arial" w:hAnsi="Arial" w:cs="Arial"/>
          <w:b/>
          <w:bCs/>
          <w:spacing w:val="202"/>
          <w:sz w:val="18"/>
          <w:szCs w:val="18"/>
          <w:u w:val="single"/>
        </w:rPr>
      </w:pPr>
      <w:r>
        <w:rPr>
          <w:rFonts w:cs="Arial" w:ascii="Arial" w:hAnsi="Arial"/>
          <w:b/>
          <w:bCs/>
          <w:spacing w:val="202"/>
          <w:sz w:val="18"/>
          <w:szCs w:val="18"/>
          <w:u w:val="single"/>
        </w:rPr>
      </w:r>
    </w:p>
    <w:p>
      <w:pPr>
        <w:pStyle w:val="Normal"/>
        <w:jc w:val="center"/>
        <w:rPr>
          <w:rFonts w:ascii="Arial" w:hAnsi="Arial" w:cs="Arial"/>
          <w:b/>
          <w:bCs/>
          <w:spacing w:val="202"/>
          <w:sz w:val="18"/>
          <w:szCs w:val="18"/>
          <w:u w:val="single"/>
        </w:rPr>
      </w:pPr>
      <w:r>
        <w:rPr>
          <w:rFonts w:cs="Arial" w:ascii="Arial" w:hAnsi="Arial"/>
          <w:b/>
          <w:color w:val="000000"/>
          <w:sz w:val="24"/>
          <w:szCs w:val="24"/>
          <w:u w:val="single"/>
        </w:rPr>
      </w:r>
    </w:p>
    <w:p>
      <w:pPr>
        <w:pStyle w:val="Normal"/>
        <w:spacing w:lineRule="auto" w:line="288"/>
        <w:textAlignment w:val="baseline"/>
        <w:rPr/>
      </w:pPr>
      <w:r>
        <w:rPr>
          <w:b/>
          <w:color w:val="000000"/>
          <w:sz w:val="24"/>
          <w:szCs w:val="24"/>
          <w:u w:val="single"/>
          <w:lang w:val="en-GB"/>
        </w:rPr>
        <w:t>Ambulans furgon typ C – 1  szt.</w:t>
      </w:r>
    </w:p>
    <w:p>
      <w:pPr>
        <w:pStyle w:val="Normal"/>
        <w:jc w:val="both"/>
        <w:textAlignment w:val="baseline"/>
        <w:rPr>
          <w:color w:val="000000"/>
          <w:sz w:val="24"/>
          <w:szCs w:val="24"/>
        </w:rPr>
      </w:pPr>
      <w:r>
        <w:rPr>
          <w:color w:val="000000"/>
          <w:sz w:val="24"/>
          <w:szCs w:val="24"/>
        </w:rPr>
        <w:t>Pojazd skompletowany (specjalny sanitarny): Marka/Typ/Oznaczenie handlowe: …………………….</w:t>
      </w:r>
    </w:p>
    <w:p>
      <w:pPr>
        <w:pStyle w:val="Normal"/>
        <w:jc w:val="both"/>
        <w:textAlignment w:val="baseline"/>
        <w:rPr>
          <w:color w:val="000000"/>
          <w:sz w:val="24"/>
          <w:szCs w:val="24"/>
        </w:rPr>
      </w:pPr>
      <w:r>
        <w:rPr>
          <w:color w:val="000000"/>
          <w:sz w:val="24"/>
          <w:szCs w:val="24"/>
        </w:rPr>
        <w:t>Rok produkcji min. 2026 r.:(podać) : ………….</w:t>
      </w:r>
    </w:p>
    <w:p>
      <w:pPr>
        <w:pStyle w:val="Normal"/>
        <w:jc w:val="both"/>
        <w:textAlignment w:val="baseline"/>
        <w:rPr>
          <w:rFonts w:ascii="Calibri" w:hAnsi="Calibri" w:eastAsia="Calibri"/>
        </w:rPr>
      </w:pPr>
      <w:r>
        <w:rPr>
          <w:color w:val="000000"/>
          <w:sz w:val="24"/>
          <w:szCs w:val="24"/>
        </w:rPr>
        <w:t>Nazwa i adres producenta: ………………………………………………………………………………</w:t>
      </w:r>
    </w:p>
    <w:tbl>
      <w:tblPr>
        <w:tblW w:w="15034" w:type="dxa"/>
        <w:jc w:val="start"/>
        <w:tblInd w:w="-30" w:type="dxa"/>
        <w:tblLayout w:type="fixed"/>
        <w:tblCellMar>
          <w:top w:w="0" w:type="dxa"/>
          <w:start w:w="5" w:type="dxa"/>
          <w:bottom w:w="0" w:type="dxa"/>
          <w:end w:w="5" w:type="dxa"/>
        </w:tblCellMar>
        <w:tblLook w:val="04a0" w:firstRow="1" w:noVBand="1" w:lastRow="0" w:firstColumn="1" w:lastColumn="0" w:noHBand="0"/>
      </w:tblPr>
      <w:tblGrid>
        <w:gridCol w:w="565"/>
        <w:gridCol w:w="6648"/>
        <w:gridCol w:w="2252"/>
        <w:gridCol w:w="5507"/>
        <w:gridCol w:w="21"/>
        <w:gridCol w:w="41"/>
      </w:tblGrid>
      <w:tr>
        <w:trPr>
          <w:trHeight w:val="268" w:hRule="atLeast"/>
        </w:trPr>
        <w:tc>
          <w:tcPr>
            <w:tcW w:w="565" w:type="dxa"/>
            <w:vMerge w:val="restart"/>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Lp.</w:t>
            </w:r>
          </w:p>
        </w:tc>
        <w:tc>
          <w:tcPr>
            <w:tcW w:w="6648" w:type="dxa"/>
            <w:vMerge w:val="restart"/>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 xml:space="preserve">Wymagane warunki </w:t>
            </w:r>
          </w:p>
          <w:p>
            <w:pPr>
              <w:pStyle w:val="Normal"/>
              <w:snapToGrid w:val="false"/>
              <w:jc w:val="center"/>
              <w:textAlignment w:val="baseline"/>
              <w:rPr/>
            </w:pPr>
            <w:r>
              <w:rPr>
                <w:b/>
              </w:rPr>
              <w:t>(parametry)</w:t>
            </w:r>
          </w:p>
        </w:tc>
        <w:tc>
          <w:tcPr>
            <w:tcW w:w="2252" w:type="dxa"/>
            <w:vMerge w:val="restart"/>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Warunek graniczny:</w:t>
            </w:r>
          </w:p>
          <w:p>
            <w:pPr>
              <w:pStyle w:val="Normal"/>
              <w:widowControl w:val="false"/>
              <w:jc w:val="center"/>
              <w:textAlignment w:val="baseline"/>
              <w:rPr>
                <w:b/>
              </w:rPr>
            </w:pPr>
            <w:r>
              <w:rPr>
                <w:b/>
              </w:rPr>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ind w:hanging="0" w:start="283"/>
              <w:jc w:val="center"/>
              <w:textAlignment w:val="baseline"/>
              <w:rPr>
                <w:b/>
              </w:rPr>
            </w:pPr>
            <w:r>
              <w:rPr>
                <w:b/>
              </w:rPr>
              <w:t>(Opisuje Wykonawca)</w:t>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b/>
              </w:rPr>
            </w:pPr>
            <w:r>
              <w:rPr>
                <w:rFonts w:eastAsia="SimSun"/>
                <w:b/>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center"/>
              <w:textAlignment w:val="baseline"/>
              <w:rPr>
                <w:b/>
              </w:rPr>
            </w:pPr>
            <w:r>
              <w:rPr>
                <w:b/>
              </w:rPr>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 xml:space="preserve">Oferowane przez Wykonawcę parametry </w:t>
            </w:r>
          </w:p>
          <w:p>
            <w:pPr>
              <w:pStyle w:val="Normal"/>
              <w:snapToGrid w:val="false"/>
              <w:jc w:val="center"/>
              <w:textAlignment w:val="baseline"/>
              <w:rPr>
                <w:b/>
              </w:rPr>
            </w:pPr>
            <w:r>
              <w:rPr>
                <w:b/>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1</w:t>
            </w:r>
          </w:p>
        </w:tc>
        <w:tc>
          <w:tcPr>
            <w:tcW w:w="6648"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2</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ind w:firstLine="10" w:start="-10"/>
              <w:jc w:val="center"/>
              <w:textAlignment w:val="baseline"/>
              <w:rPr>
                <w:b/>
              </w:rPr>
            </w:pPr>
            <w:r>
              <w:rPr>
                <w:b/>
              </w:rPr>
              <w:t>3</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t>4</w:t>
            </w:r>
          </w:p>
        </w:tc>
      </w:tr>
      <w:tr>
        <w:trPr>
          <w:trHeight w:val="457"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I.</w:t>
            </w:r>
          </w:p>
        </w:tc>
        <w:tc>
          <w:tcPr>
            <w:tcW w:w="6648"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b/>
              </w:rPr>
            </w:pPr>
            <w:r>
              <w:rPr>
                <w:b/>
              </w:rPr>
            </w:r>
          </w:p>
          <w:p>
            <w:pPr>
              <w:pStyle w:val="Normal"/>
              <w:jc w:val="center"/>
              <w:textAlignment w:val="baseline"/>
              <w:rPr>
                <w:b/>
              </w:rPr>
            </w:pPr>
            <w:r>
              <w:rPr>
                <w:b/>
              </w:rPr>
              <w:t>NADWOZIE</w:t>
            </w:r>
          </w:p>
          <w:p>
            <w:pPr>
              <w:pStyle w:val="Normal"/>
              <w:textAlignment w:val="baseline"/>
              <w:rPr>
                <w:b/>
              </w:rPr>
            </w:pPr>
            <w:r>
              <w:rPr>
                <w:b/>
              </w:rPr>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w:t>
            </w:r>
          </w:p>
        </w:tc>
      </w:tr>
      <w:tr>
        <w:trPr>
          <w:trHeight w:val="268" w:hRule="atLeast"/>
        </w:trPr>
        <w:tc>
          <w:tcPr>
            <w:tcW w:w="565" w:type="dxa"/>
            <w:vMerge w:val="restart"/>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Pojazd kompletny (bazowy) typu furgon, z nadwoziem samonośnym, zabezpieczonym antykorozyjnie, z izolacją termiczną inakustyczną obejmującą ściany oraz sufit zapobiegającą skraplaniu się pary wodnej. Ściany i sufit wyłożone łatwo zmywalnymi szczelnymi elementami z tworzywa sztucznego w kolorze żółtym (bez ogranicznika prędkości i rejestratora czasu pracy kierowcy)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jc w:val="both"/>
              <w:textAlignment w:val="baseline"/>
              <w:rPr>
                <w:rFonts w:eastAsia="SimSun"/>
                <w:lang w:eastAsia="fa-IR" w:bidi="fa-IR"/>
              </w:rPr>
            </w:pPr>
            <w:r>
              <w:rPr>
                <w:rFonts w:eastAsia="SimSun"/>
                <w:lang w:eastAsia="fa-IR" w:bidi="fa-IR"/>
              </w:rPr>
              <w:t>Ściany i sufit wyłożone łatwo zmywalnymi szczelnymi tłoczonymi elementami z tworzywa sztucznego w kolorze białym obejmującymi całe powierzchnie łącznie z pośrednimi i końcowymi słupkami nadwozia - parametr dodatkowo punktowany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ind w:hanging="709" w:start="709"/>
              <w:jc w:val="center"/>
              <w:textAlignment w:val="baseline"/>
              <w:rPr/>
            </w:pPr>
            <w:r>
              <w:rPr>
                <w:rFonts w:eastAsia="Andale Sans UI"/>
                <w:lang w:eastAsia="fa-IR" w:bidi="fa-I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jc w:val="both"/>
              <w:textAlignment w:val="baseline"/>
              <w:rPr>
                <w:rFonts w:ascii="Calibri" w:hAnsi="Calibri" w:eastAsia="Calibri"/>
              </w:rPr>
            </w:pPr>
            <w:r>
              <w:rPr>
                <w:rFonts w:eastAsia="SimSun"/>
                <w:lang w:eastAsia="fa-IR" w:bidi="fa-IR"/>
              </w:rPr>
              <w:t>Podłoga ze sklejki wodoodpornej dodatkowo izolowana materiałem izolacyjnym posiadającym współczynnik przenikalności cieplnej nie gorszy jak materiał izolujący ściany i sufit (podać typ materiału izolacyjnego i jego grubość)- parametr dodatkowo punktowany.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ind w:hanging="709" w:start="709"/>
              <w:jc w:val="center"/>
              <w:textAlignment w:val="baseline"/>
              <w:rPr/>
            </w:pPr>
            <w:r>
              <w:rPr>
                <w:rFonts w:eastAsia="Andale Sans UI"/>
                <w:lang w:eastAsia="fa-IR" w:bidi="fa-IR"/>
              </w:rPr>
              <w:t>Tak</w:t>
            </w:r>
          </w:p>
          <w:p>
            <w:pPr>
              <w:pStyle w:val="Normal"/>
              <w:widowControl w:val="false"/>
              <w:ind w:hanging="709" w:start="709"/>
              <w:jc w:val="center"/>
              <w:textAlignment w:val="baseline"/>
              <w:rPr>
                <w:rFonts w:eastAsia="SimSun"/>
                <w:lang w:eastAsia="fa-IR" w:bidi="fa-IR"/>
              </w:rPr>
            </w:pPr>
            <w:r>
              <w:rPr>
                <w:rFonts w:eastAsia="SimSun"/>
                <w:lang w:eastAsia="fa-IR" w:bidi="fa-IR"/>
              </w:rPr>
            </w:r>
          </w:p>
          <w:p>
            <w:pPr>
              <w:pStyle w:val="Normal"/>
              <w:widowControl w:val="false"/>
              <w:ind w:hanging="709" w:start="709"/>
              <w:jc w:val="center"/>
              <w:textAlignment w:val="baseline"/>
              <w:rPr>
                <w:rFonts w:eastAsia="SimSun"/>
                <w:lang w:eastAsia="fa-IR" w:bidi="fa-IR"/>
              </w:rPr>
            </w:pPr>
            <w:r>
              <w:rPr>
                <w:rFonts w:eastAsia="SimSun"/>
                <w:lang w:eastAsia="fa-IR" w:bidi="fa-IR"/>
              </w:rPr>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 xml:space="preserve">DMC powyżej 4,0 t </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spacing w:lineRule="atLeast" w:line="100"/>
              <w:jc w:val="center"/>
              <w:textAlignment w:val="baseline"/>
              <w:rPr/>
            </w:pPr>
            <w:r>
              <w:rPr>
                <w:rFonts w:eastAsia="Andale Sans UI"/>
                <w:lang w:eastAsia="fa-IR" w:bidi="fa-I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Częściowo przeszklony (wszystkie szyby termoizolacyjne) z możliwością ewakuacji  pacjenta i person</w:t>
            </w:r>
            <w:r>
              <w:rPr>
                <w:color w:val="000000"/>
              </w:rPr>
              <w:t>elu przez szybę drzwi   tylnych i bocznych. Szyba przednia z przyciemnianym pasem przy górnej krawędzi , dodatkowe elektryczne ogrzewanie szyby przedniej. Półki nad przednią szybą. Półka po stronie kierowcy wyposażona w min. 1 szt. gniazdo USB i 1 szt. gniazdo 12V.</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 xml:space="preserve">Kabina kierowcy dwuosobowa zapewniająca miejsce pracy kierowcy zgodnie z PN EN 1789 </w:t>
            </w:r>
            <w:r>
              <w:rPr>
                <w:i/>
              </w:rPr>
              <w:t>lub równoważną</w:t>
            </w:r>
            <w:r>
              <w:rPr/>
              <w:t xml:space="preserve">. Sufitowe lampki do czytania dla kierowcy i pasażera, wnęka nad przednią szybą na radiotelefon, fotele kierowcy i pasażera wyposażone w regulowane podłokietniki  i regulowane oparcia oraz przesuw wzdłużny. </w:t>
            </w:r>
            <w:r>
              <w:rPr>
                <w:color w:val="000000"/>
              </w:rPr>
              <w:t>W kabinie kierowcy zamontowany uchwyt do stacji dokującej dla tabletu ZEBRA XPLORE.</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284" w:start="284" w:end="141"/>
              <w:textAlignment w:val="baseline"/>
              <w:rPr/>
            </w:pPr>
            <w:r>
              <w:rPr/>
              <w:t>W komorze silnika złącze rozruchowe (dodatkowy biegun dodatni)</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284" w:start="284" w:end="141"/>
              <w:textAlignment w:val="baseline"/>
              <w:rPr/>
            </w:pPr>
            <w:r>
              <w:rPr/>
              <w:t xml:space="preserve">Furgon-lakier w kolorze żółtym </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Nadwozie przystosowane do przewozu  min. 4 osób w pozycji siedzącej oraz 1 osoba w pozycji leżącej na noszach.</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Wysokość przedziału medycznego  min.1,85 m</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end="141"/>
              <w:jc w:val="both"/>
              <w:textAlignment w:val="baseline"/>
              <w:rPr>
                <w:rFonts w:eastAsia="SimSun"/>
                <w:color w:val="000000"/>
              </w:rPr>
            </w:pPr>
            <w:r>
              <w:rPr>
                <w:rFonts w:eastAsia="SimSun"/>
                <w:color w:val="000000"/>
              </w:rPr>
              <w:t>Długość przedziału medycznego min. 3,20 m</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center"/>
              <w:textAlignment w:val="baseline"/>
              <w:rPr>
                <w:rFonts w:eastAsia="SimSun"/>
              </w:rPr>
            </w:pPr>
            <w:r>
              <w:rPr>
                <w:rFonts w:eastAsia="SimSun"/>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Szerokość przedziału medycznego min.1,75 m</w:t>
            </w:r>
          </w:p>
          <w:p>
            <w:pPr>
              <w:pStyle w:val="Normal"/>
              <w:snapToGrid w:val="false"/>
              <w:ind w:hanging="0" w:end="141"/>
              <w:jc w:val="both"/>
              <w:textAlignment w:val="baseline"/>
              <w:rPr/>
            </w:pPr>
            <w:r>
              <w:rPr/>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rFonts w:ascii="Calibri" w:hAnsi="Calibri" w:eastAsia="Calibri"/>
              </w:rPr>
            </w:pPr>
            <w:r>
              <w:rPr/>
              <w:t xml:space="preserve">Drzwi tylne przeszklone otwierane na boki do kąta min. 260 stopni, </w:t>
            </w:r>
            <w:r>
              <w:rPr>
                <w:color w:val="000000"/>
              </w:rPr>
              <w:t>wyposażone w ograniczniki położenia drzwi, wys. min. 1,80 m, kieszenie siatkowe na tylnych drzwiach.</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 xml:space="preserve">Drzwi boczne prawe przeszklone, przesuwane, z  otwieraną  szybą, </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783"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Drzwi boczne prawe z fabrycznym systemem elektrycznym wspomagającym zamykanie drzwi (</w:t>
            </w:r>
            <w:r>
              <w:rPr>
                <w:i/>
              </w:rPr>
              <w:t>podać kod opcji producenta pojazdu bazowego tego wyposażenia</w:t>
            </w:r>
            <w:r>
              <w:rPr/>
              <w:t>).</w:t>
            </w:r>
          </w:p>
          <w:p>
            <w:pPr>
              <w:pStyle w:val="Normal"/>
              <w:snapToGrid w:val="false"/>
              <w:ind w:hanging="0" w:end="141"/>
              <w:jc w:val="both"/>
              <w:textAlignment w:val="baseline"/>
              <w:rPr>
                <w:rFonts w:ascii="Calibri" w:hAnsi="Calibri" w:eastAsia="Calibri"/>
              </w:rPr>
            </w:pPr>
            <w:r>
              <w:rPr/>
              <w:t>Stopień zewnętrzny, mechaniczny wysuwany/wsuwany przy otwarciu/zamknięciu drzwi. Stopień nie może być chowany do kasety.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spacing w:lineRule="atLeast" w:line="100"/>
              <w:jc w:val="center"/>
              <w:textAlignment w:val="baseline"/>
              <w:rPr/>
            </w:pPr>
            <w:r>
              <w:rPr>
                <w:rFonts w:eastAsia="Andale Sans UI"/>
                <w:lang w:eastAsia="fa-IR" w:bidi="fa-IR"/>
              </w:rPr>
              <w:t>Tak</w:t>
            </w:r>
          </w:p>
          <w:p>
            <w:pPr>
              <w:pStyle w:val="Normal"/>
              <w:widowControl w:val="false"/>
              <w:spacing w:lineRule="atLeast" w:line="100"/>
              <w:jc w:val="center"/>
              <w:textAlignment w:val="baseline"/>
              <w:rPr>
                <w:rFonts w:ascii="Calibri" w:hAnsi="Calibri" w:eastAsia="Calibri"/>
              </w:rPr>
            </w:pPr>
            <w:r>
              <w:rPr>
                <w:rFonts w:eastAsia="Andale Sans UI"/>
                <w:lang w:eastAsia="fa-IR" w:bidi="fa-IR"/>
              </w:rPr>
              <w:t>.</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9</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Uchwyt sufitowy dla pasażera w kabinie kierowcy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10</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Zewnętrzne okna przedziału medycznego pokryte w 2/3 wysokości folią półprzeźroczystą.</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11</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0" w:end="141"/>
              <w:jc w:val="both"/>
              <w:textAlignment w:val="baseline"/>
              <w:rPr>
                <w:rFonts w:ascii="Calibri" w:hAnsi="Calibri" w:eastAsia="Calibri"/>
              </w:rPr>
            </w:pPr>
            <w:r>
              <w:rPr>
                <w:rFonts w:eastAsia="SimSun"/>
                <w:color w:val="000000"/>
              </w:rPr>
              <w:t xml:space="preserve">Przegroda oddzielająca kabinę kierowcy od przedziału medycznego wyposażona w otwierane drzwi z oknem zgodnie z PN EN 1789 </w:t>
            </w:r>
            <w:r>
              <w:rPr>
                <w:rFonts w:eastAsia="SimSun"/>
                <w:i/>
                <w:color w:val="000000"/>
              </w:rPr>
              <w:t>lub równoważną</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ind w:hanging="709" w:start="709"/>
              <w:jc w:val="center"/>
              <w:textAlignment w:val="baseline"/>
              <w:rPr>
                <w:rFonts w:eastAsia="SimSun"/>
              </w:rPr>
            </w:pPr>
            <w:r>
              <w:rPr>
                <w:rFonts w:eastAsia="SimSun"/>
              </w:rPr>
            </w:r>
          </w:p>
          <w:p>
            <w:pPr>
              <w:pStyle w:val="Normal"/>
              <w:widowControl w:val="false"/>
              <w:ind w:hanging="709" w:start="709"/>
              <w:jc w:val="center"/>
              <w:textAlignment w:val="baseline"/>
              <w:rPr>
                <w:rFonts w:eastAsia="SimSun"/>
              </w:rPr>
            </w:pPr>
            <w:r>
              <w:rPr>
                <w:rFonts w:eastAsia="SimSun"/>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b/>
                <w:bCs/>
                <w:color w:val="FF0000"/>
              </w:rPr>
            </w:pPr>
            <w:r>
              <w:rPr>
                <w:b/>
                <w:bCs/>
                <w:color w:val="FF0000"/>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12</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Centralny zamek wszystkich drzwi (łącznie z drzwiami do zewnętrznego schowka) z alarmem obejmujący wszystkie drzwi pojazdu</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b/>
                <w:bCs/>
                <w:color w:val="FF0000"/>
              </w:rPr>
            </w:pPr>
            <w:r>
              <w:rPr>
                <w:b/>
                <w:bCs/>
                <w:color w:val="FF0000"/>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13</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color w:val="000000"/>
              </w:rPr>
            </w:pPr>
            <w:r>
              <w:rPr>
                <w:color w:val="000000"/>
              </w:rPr>
              <w:t>Drzwi boczne lewe przesuwane do tyłu, bez szyby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14</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rFonts w:ascii="Calibri" w:hAnsi="Calibri" w:eastAsia="Calibri"/>
              </w:rPr>
            </w:pPr>
            <w:r>
              <w:rPr/>
              <w:t xml:space="preserve">Drzwi boczne lewe z fabrycznym systemem elektrycznym wspomagającym zamykanie drzwi </w:t>
            </w:r>
            <w:r>
              <w:rPr>
                <w:i/>
              </w:rPr>
              <w:t>(podać kod opcji producenta pojazdu bazowego tego wyposażenia)</w:t>
            </w:r>
            <w:r>
              <w:rPr/>
              <w:t>.</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spacing w:lineRule="atLeast" w:line="100"/>
              <w:jc w:val="center"/>
              <w:textAlignment w:val="baseline"/>
              <w:rPr/>
            </w:pPr>
            <w:r>
              <w:rPr>
                <w:rFonts w:eastAsia="Andale Sans UI"/>
                <w:lang w:eastAsia="fa-IR" w:bidi="fa-IR"/>
              </w:rPr>
              <w:t>Tak</w:t>
            </w:r>
          </w:p>
          <w:p>
            <w:pPr>
              <w:pStyle w:val="Normal"/>
              <w:widowControl w:val="false"/>
              <w:spacing w:lineRule="atLeast" w:line="100"/>
              <w:jc w:val="center"/>
              <w:textAlignment w:val="baseline"/>
              <w:rPr>
                <w:rFonts w:ascii="Calibri" w:hAnsi="Calibri" w:eastAsia="Calibri"/>
              </w:rPr>
            </w:pPr>
            <w:r>
              <w:rPr>
                <w:rFonts w:eastAsia="Calibri" w:ascii="Calibri" w:hAnsi="Calibri"/>
              </w:rPr>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15</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Wzmocnione szyny drzwi przesuwnych prawych i lewych (podać kod opcji producenta pojazdu bazowego tego wyposażenia).</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spacing w:lineRule="atLeast" w:line="100"/>
              <w:jc w:val="center"/>
              <w:textAlignment w:val="baseline"/>
              <w:rPr>
                <w:rFonts w:eastAsia="Andale Sans UI"/>
                <w:lang w:eastAsia="fa-IR" w:bidi="fa-IR"/>
              </w:rPr>
            </w:pPr>
            <w:r>
              <w:rPr>
                <w:rFonts w:eastAsia="Andale Sans UI"/>
                <w:lang w:eastAsia="fa-IR" w:bidi="fa-I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15</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Zewnętrzny schowek za lewymi drzwiami przesuwnymi z oświetleniem zapewniający mocowania:</w:t>
            </w:r>
          </w:p>
          <w:p>
            <w:pPr>
              <w:pStyle w:val="Normal"/>
              <w:widowControl w:val="false"/>
              <w:numPr>
                <w:ilvl w:val="0"/>
                <w:numId w:val="1"/>
              </w:numPr>
              <w:tabs>
                <w:tab w:val="clear" w:pos="708"/>
                <w:tab w:val="left" w:pos="0" w:leader="none"/>
              </w:tabs>
              <w:jc w:val="both"/>
              <w:textAlignment w:val="baseline"/>
              <w:rPr/>
            </w:pPr>
            <w:r>
              <w:rPr/>
              <w:t>2 szt. butli tlenowych 10l z reduktorami,</w:t>
            </w:r>
          </w:p>
          <w:p>
            <w:pPr>
              <w:pStyle w:val="Normal"/>
              <w:widowControl w:val="false"/>
              <w:numPr>
                <w:ilvl w:val="0"/>
                <w:numId w:val="1"/>
              </w:numPr>
              <w:jc w:val="both"/>
              <w:textAlignment w:val="baseline"/>
              <w:rPr/>
            </w:pPr>
            <w:r>
              <w:rPr/>
              <w:t>krzesełka kardiologicznego z systemem płozowym,</w:t>
            </w:r>
          </w:p>
          <w:p>
            <w:pPr>
              <w:pStyle w:val="Normal"/>
              <w:widowControl w:val="false"/>
              <w:numPr>
                <w:ilvl w:val="0"/>
                <w:numId w:val="1"/>
              </w:numPr>
              <w:jc w:val="both"/>
              <w:textAlignment w:val="baseline"/>
              <w:rPr/>
            </w:pPr>
            <w:r>
              <w:rPr/>
              <w:t>noszy podbierakowych,</w:t>
            </w:r>
          </w:p>
          <w:p>
            <w:pPr>
              <w:pStyle w:val="Normal"/>
              <w:widowControl w:val="false"/>
              <w:numPr>
                <w:ilvl w:val="0"/>
                <w:numId w:val="1"/>
              </w:numPr>
              <w:suppressLineNumbers/>
              <w:jc w:val="both"/>
              <w:textAlignment w:val="baseline"/>
              <w:rPr/>
            </w:pPr>
            <w:r>
              <w:rPr/>
              <w:t>deski ortopedycznej dla dorosłych,</w:t>
            </w:r>
          </w:p>
          <w:p>
            <w:pPr>
              <w:pStyle w:val="Normal"/>
              <w:widowControl w:val="false"/>
              <w:numPr>
                <w:ilvl w:val="0"/>
                <w:numId w:val="1"/>
              </w:numPr>
              <w:suppressLineNumbers/>
              <w:jc w:val="both"/>
              <w:textAlignment w:val="baseline"/>
              <w:rPr/>
            </w:pPr>
            <w:r>
              <w:rPr/>
              <w:t>deski ortopedycznej dla dzieci,</w:t>
            </w:r>
          </w:p>
          <w:p>
            <w:pPr>
              <w:pStyle w:val="Normal"/>
              <w:widowControl w:val="false"/>
              <w:numPr>
                <w:ilvl w:val="0"/>
                <w:numId w:val="1"/>
              </w:numPr>
              <w:jc w:val="both"/>
              <w:textAlignment w:val="baseline"/>
              <w:rPr/>
            </w:pPr>
            <w:r>
              <w:rPr/>
              <w:t>materaca próżniowego,</w:t>
            </w:r>
          </w:p>
          <w:p>
            <w:pPr>
              <w:pStyle w:val="Normal"/>
              <w:widowControl w:val="false"/>
              <w:numPr>
                <w:ilvl w:val="0"/>
                <w:numId w:val="1"/>
              </w:numPr>
              <w:suppressLineNumbers/>
              <w:jc w:val="both"/>
              <w:textAlignment w:val="baseline"/>
              <w:rPr/>
            </w:pPr>
            <w:r>
              <w:rPr/>
              <w:t>szyn Kramera,</w:t>
            </w:r>
          </w:p>
          <w:p>
            <w:pPr>
              <w:pStyle w:val="Normal"/>
              <w:widowControl w:val="false"/>
              <w:numPr>
                <w:ilvl w:val="0"/>
                <w:numId w:val="1"/>
              </w:numPr>
              <w:suppressLineNumbers/>
              <w:jc w:val="both"/>
              <w:textAlignment w:val="baseline"/>
              <w:rPr/>
            </w:pPr>
            <w:r>
              <w:rPr/>
              <w:t>kamizelki unieruchamiającej typu KED,</w:t>
            </w:r>
          </w:p>
          <w:p>
            <w:pPr>
              <w:pStyle w:val="Normal"/>
              <w:widowControl w:val="false"/>
              <w:numPr>
                <w:ilvl w:val="0"/>
                <w:numId w:val="1"/>
              </w:numPr>
              <w:suppressLineNumbers/>
              <w:jc w:val="both"/>
              <w:textAlignment w:val="baseline"/>
              <w:rPr/>
            </w:pPr>
            <w:r>
              <w:rPr/>
              <w:t>min. 2 kasków ochronnych,</w:t>
            </w:r>
          </w:p>
          <w:p>
            <w:pPr>
              <w:pStyle w:val="Normal"/>
              <w:widowControl w:val="false"/>
              <w:numPr>
                <w:ilvl w:val="0"/>
                <w:numId w:val="1"/>
              </w:numPr>
              <w:suppressLineNumbers/>
              <w:jc w:val="both"/>
              <w:textAlignment w:val="baseline"/>
              <w:rPr/>
            </w:pPr>
            <w:r>
              <w:rPr/>
              <w:t>torby opatrunkowej z dostępem również z przedziału medycznego,</w:t>
            </w:r>
          </w:p>
          <w:p>
            <w:pPr>
              <w:pStyle w:val="Normal"/>
              <w:widowControl w:val="false"/>
              <w:numPr>
                <w:ilvl w:val="0"/>
                <w:numId w:val="1"/>
              </w:numPr>
              <w:suppressLineNumbers/>
              <w:jc w:val="both"/>
              <w:textAlignment w:val="baseline"/>
              <w:rPr/>
            </w:pPr>
            <w:r>
              <w:rPr/>
              <w:t xml:space="preserve">pojemnika reimplantacyjnego o pojemności min. 7l, z możliwością jego zasilania z instalacji 12V ambulansu, </w:t>
            </w:r>
          </w:p>
          <w:p>
            <w:pPr>
              <w:pStyle w:val="Normal"/>
              <w:widowControl w:val="false"/>
              <w:numPr>
                <w:ilvl w:val="0"/>
                <w:numId w:val="1"/>
              </w:numPr>
              <w:suppressLineNumbers/>
              <w:jc w:val="both"/>
              <w:textAlignment w:val="baseline"/>
              <w:rPr/>
            </w:pPr>
            <w:r>
              <w:rPr/>
              <w:t>pasów do desek, krzesełka i noszy oraz systemów unieruchamiających głowę,</w:t>
            </w:r>
          </w:p>
          <w:p>
            <w:pPr>
              <w:pStyle w:val="Normal"/>
              <w:widowControl w:val="false"/>
              <w:numPr>
                <w:ilvl w:val="0"/>
                <w:numId w:val="1"/>
              </w:numPr>
              <w:suppressLineNumbers/>
              <w:jc w:val="both"/>
              <w:textAlignment w:val="baseline"/>
              <w:rPr/>
            </w:pPr>
            <w:r>
              <w:rPr/>
              <w:t>wyposażenia technicznego (łom, łopata).</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16</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 xml:space="preserve">Poduszka powietrzna dla kierowcy i pasażera, dwie poduszki boczne dla kierowcy i pasażera </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color w:val="000000"/>
              </w:rPr>
            </w:pPr>
            <w:r>
              <w:rPr>
                <w:color w:val="000000"/>
              </w:rPr>
              <w:t>17</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color w:val="000000"/>
              </w:rPr>
            </w:pPr>
            <w:r>
              <w:rPr>
                <w:color w:val="000000"/>
              </w:rPr>
              <w:t>Stopień wejściowy tylny zintegrowany ze zderzakiem.</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color w:val="000000"/>
              </w:rPr>
            </w:pPr>
            <w:r>
              <w:rPr>
                <w:color w:val="000000"/>
              </w:rPr>
              <w:t>18</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 xml:space="preserve">Stopień wejściowy do przedziału medycznego wewnętrzny pokryty wykładziną antypoślizgową z podświetleniem </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19</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Elektrycznie otwierane szyby boczne w kabinie kierowcy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20</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Światła boczne pozycyjne</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21</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Dzielone wsteczne lusterka zewnętrzne elektrycznie podgrzewane i regulowane.</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22</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Kamera cofania oraz kamera w przedziale medycznym, wyświetlacz LCD w formie dodatkowego monitora zamontowany w kabinie kierowcy.</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23</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Układ wydechowy fabrycznie przedłużony do końca pojazdu przystosowany do pełnienia funkcji samochodu specjalnego sanitarnego</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24</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rFonts w:ascii="Calibri" w:hAnsi="Calibri" w:eastAsia="Calibri"/>
              </w:rPr>
            </w:pPr>
            <w:r>
              <w:rPr/>
              <w:t xml:space="preserve">Elektrycznie podgrzewana szyba przednia </w:t>
            </w:r>
            <w:r>
              <w:rPr>
                <w:i/>
              </w:rPr>
              <w:t>(podać kod opcji producenta pojazdu bazowego tego wyposażenia)</w:t>
            </w:r>
            <w:r>
              <w:rPr/>
              <w:t>.</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napToGrid w:val="false"/>
              <w:spacing w:lineRule="atLeast" w:line="100"/>
              <w:jc w:val="center"/>
              <w:textAlignment w:val="baseline"/>
              <w:rPr>
                <w:rFonts w:eastAsia="Andale Sans UI"/>
                <w:lang w:eastAsia="fa-IR" w:bidi="fa-IR"/>
              </w:rPr>
            </w:pPr>
            <w:r>
              <w:rPr>
                <w:rFonts w:eastAsia="Andale Sans UI"/>
                <w:lang w:eastAsia="fa-IR" w:bidi="fa-IR"/>
              </w:rPr>
              <w:t>TAK</w:t>
            </w:r>
          </w:p>
          <w:p>
            <w:pPr>
              <w:pStyle w:val="Normal"/>
              <w:widowControl w:val="false"/>
              <w:spacing w:lineRule="atLeast" w:line="100"/>
              <w:jc w:val="center"/>
              <w:textAlignment w:val="baseline"/>
              <w:rPr>
                <w:rFonts w:ascii="Calibri" w:hAnsi="Calibri" w:eastAsia="Calibri"/>
              </w:rPr>
            </w:pPr>
            <w:r>
              <w:rPr>
                <w:rFonts w:eastAsia="Andale Sans UI"/>
                <w:lang w:eastAsia="fa-IR" w:bidi="fa-IR"/>
              </w:rPr>
              <w:t>.</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25</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Przednie reflektory przeciwmgielne z funkcją doświetlania zakrętów</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26</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pPr>
            <w:r>
              <w:rPr/>
              <w:t>Zbiornik paliwa o pojemności min. 90 l.</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27</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both"/>
              <w:textAlignment w:val="baseline"/>
              <w:rPr>
                <w:rFonts w:ascii="Calibri" w:hAnsi="Calibri" w:eastAsia="Calibri"/>
              </w:rPr>
            </w:pPr>
            <w:r>
              <w:rPr/>
              <w:t>Parametryzowany moduł specjalny pojazdu bazowego typu PSM, KFG, itp. do którego muszą być podłączone urządzenia elektryczne zabudowy specjalnej (</w:t>
            </w:r>
            <w:r>
              <w:rPr>
                <w:i/>
              </w:rPr>
              <w:t>podać kod opcji producenta pojazdu bazowego tego wyposażenia</w:t>
            </w:r>
            <w:r>
              <w:rPr/>
              <w:t>)</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Tak/Podać</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28</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Radioodtwarzacz CD z głośnikami w kabinie kierowcy i przedziale medycznym, zasilany z 12V z eliminacją zakłóceń i anteną dachową ze wzmacniaczem antenowym.</w:t>
            </w:r>
          </w:p>
        </w:tc>
        <w:tc>
          <w:tcPr>
            <w:tcW w:w="225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textAlignment w:val="baseline"/>
              <w:rPr>
                <w:shd w:fill="FFFF00" w:val="clear"/>
              </w:rPr>
            </w:pPr>
            <w:r>
              <w:rPr>
                <w:shd w:fill="FFFF00" w:val="clear"/>
              </w:rPr>
            </w:r>
          </w:p>
        </w:tc>
      </w:tr>
      <w:tr>
        <w:trPr>
          <w:trHeight w:val="2530" w:hRule="atLeast"/>
        </w:trPr>
        <w:tc>
          <w:tcPr>
            <w:tcW w:w="565"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napToGrid w:val="false"/>
              <w:jc w:val="center"/>
              <w:textAlignment w:val="baseline"/>
              <w:rPr/>
            </w:pPr>
            <w:r>
              <w:rPr/>
              <w:t>29</w:t>
            </w:r>
          </w:p>
        </w:tc>
        <w:tc>
          <w:tcPr>
            <w:tcW w:w="6648"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ind w:hanging="0" w:end="141"/>
              <w:jc w:val="both"/>
              <w:textAlignment w:val="baseline"/>
              <w:rPr/>
            </w:pPr>
            <w:r>
              <w:rPr/>
              <w:t>Kabina kierowcy ma być wyposażona w  panel wyposażony w przełączniki typu micro switch sterujący następującymi funkcjami (Zamawiający nie dopuszcza panelu z ekranem dotykowym):</w:t>
            </w:r>
          </w:p>
          <w:p>
            <w:pPr>
              <w:pStyle w:val="Normal"/>
              <w:suppressLineNumbers/>
              <w:tabs>
                <w:tab w:val="clear" w:pos="708"/>
                <w:tab w:val="left" w:pos="850" w:leader="none"/>
              </w:tabs>
              <w:snapToGrid w:val="false"/>
              <w:ind w:hanging="170" w:start="170"/>
              <w:textAlignment w:val="baseline"/>
              <w:rPr/>
            </w:pPr>
            <w:r>
              <w:rPr/>
              <w:t>-sterowanie oświetleniem zewnętrznym (światła robocze)</w:t>
            </w:r>
          </w:p>
          <w:p>
            <w:pPr>
              <w:pStyle w:val="Normal"/>
              <w:tabs>
                <w:tab w:val="clear" w:pos="708"/>
                <w:tab w:val="left" w:pos="850" w:leader="none"/>
              </w:tabs>
              <w:snapToGrid w:val="false"/>
              <w:ind w:hanging="170" w:start="170"/>
              <w:textAlignment w:val="baseline"/>
              <w:rPr/>
            </w:pPr>
            <w:r>
              <w:rPr/>
              <w:t>-sygnalizacja graficzna niskiego poziomu naładowania akumulatorów</w:t>
            </w:r>
          </w:p>
          <w:p>
            <w:pPr>
              <w:pStyle w:val="Normal"/>
              <w:tabs>
                <w:tab w:val="clear" w:pos="708"/>
                <w:tab w:val="left" w:pos="850" w:leader="none"/>
              </w:tabs>
              <w:snapToGrid w:val="false"/>
              <w:ind w:hanging="170" w:start="170"/>
              <w:textAlignment w:val="baseline"/>
              <w:rPr/>
            </w:pPr>
            <w:r>
              <w:rPr/>
              <w:t xml:space="preserve">-sterowanie sygnalizacja uprzywilejowaną </w:t>
            </w:r>
          </w:p>
          <w:p>
            <w:pPr>
              <w:pStyle w:val="Normal"/>
              <w:tabs>
                <w:tab w:val="clear" w:pos="708"/>
                <w:tab w:val="left" w:pos="850" w:leader="none"/>
              </w:tabs>
              <w:snapToGrid w:val="false"/>
              <w:ind w:hanging="170" w:start="170"/>
              <w:textAlignment w:val="baseline"/>
              <w:rPr/>
            </w:pPr>
            <w:r>
              <w:rPr/>
              <w:t>-sygnalizacja niedomknięcia którychkolwiek drzwi ambulansu,</w:t>
            </w:r>
          </w:p>
          <w:p>
            <w:pPr>
              <w:pStyle w:val="Normal"/>
              <w:tabs>
                <w:tab w:val="clear" w:pos="708"/>
                <w:tab w:val="left" w:pos="0" w:leader="none"/>
              </w:tabs>
              <w:snapToGrid w:val="false"/>
              <w:textAlignment w:val="baseline"/>
              <w:rPr/>
            </w:pPr>
            <w:r>
              <w:rPr/>
              <w:t>-sterowanie układem klimatyzacji, sterowanie układem ogrzewania dodatkowego niezależnego od pracy silnika</w:t>
            </w:r>
          </w:p>
          <w:p>
            <w:pPr>
              <w:pStyle w:val="Normal"/>
              <w:tabs>
                <w:tab w:val="clear" w:pos="708"/>
                <w:tab w:val="left" w:pos="850" w:leader="none"/>
              </w:tabs>
              <w:snapToGrid w:val="false"/>
              <w:ind w:hanging="170" w:start="170"/>
              <w:textAlignment w:val="baseline"/>
              <w:rPr/>
            </w:pPr>
            <w:r>
              <w:rPr/>
              <w:t>-sygnalizacja podłączenia ambulansu do sieci 230V</w:t>
            </w:r>
          </w:p>
        </w:tc>
        <w:tc>
          <w:tcPr>
            <w:tcW w:w="2252" w:type="dxa"/>
            <w:tcBorders>
              <w:top w:val="single" w:sz="4" w:space="0" w:color="000001"/>
              <w:start w:val="single" w:sz="4" w:space="0" w:color="000001"/>
              <w:bottom w:val="single" w:sz="4" w:space="0" w:color="000001"/>
              <w:end w:val="single" w:sz="4" w:space="0" w:color="000001"/>
            </w:tcBorders>
            <w:shd w:fill="auto" w:val="clear"/>
          </w:tcPr>
          <w:p>
            <w:pPr>
              <w:pStyle w:val="Normal"/>
              <w:snapToGrid w:val="false"/>
              <w:jc w:val="center"/>
              <w:textAlignment w:val="baseline"/>
              <w:rPr/>
            </w:pPr>
            <w:r>
              <w:rPr/>
            </w:r>
          </w:p>
          <w:p>
            <w:pPr>
              <w:pStyle w:val="Normal"/>
              <w:suppressLineNumbers/>
              <w:jc w:val="center"/>
              <w:textAlignment w:val="baseline"/>
              <w:rPr/>
            </w:pPr>
            <w:r>
              <w:rPr/>
              <w:t>Tak</w:t>
            </w:r>
          </w:p>
        </w:tc>
        <w:tc>
          <w:tcPr>
            <w:tcW w:w="5569" w:type="dxa"/>
            <w:gridSpan w:val="3"/>
            <w:tcBorders>
              <w:top w:val="single" w:sz="4" w:space="0" w:color="000001"/>
              <w:start w:val="single" w:sz="4" w:space="0" w:color="000001"/>
              <w:bottom w:val="single" w:sz="4" w:space="0" w:color="000001"/>
              <w:end w:val="single" w:sz="4" w:space="0" w:color="000001"/>
            </w:tcBorders>
            <w:shd w:fill="auto" w:val="clear"/>
          </w:tcPr>
          <w:p>
            <w:pPr>
              <w:pStyle w:val="Normal"/>
              <w:snapToGrid w:val="false"/>
              <w:textAlignment w:val="baseline"/>
              <w:rPr/>
            </w:pPr>
            <w:r>
              <w:rPr/>
            </w:r>
          </w:p>
          <w:p>
            <w:pPr>
              <w:pStyle w:val="Normal"/>
              <w:suppressLineNumbers/>
              <w:textAlignment w:val="baseline"/>
              <w:rPr/>
            </w:pPr>
            <w:r>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30</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both"/>
              <w:textAlignment w:val="baseline"/>
              <w:rPr/>
            </w:pPr>
            <w:r>
              <w:rPr/>
              <w:t>Pojemnik reimplantacyjny o pojemności min. 7l zasilany z instalacji 12V/230V ambulansu z możliwością chłodzenia i grzania wyposażony w pasek do noszenia na ramieniu.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II.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SILNIK</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both"/>
              <w:textAlignment w:val="baseline"/>
              <w:rPr/>
            </w:pPr>
            <w:r>
              <w:rPr/>
              <w:t xml:space="preserve">            </w:t>
            </w: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823"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rFonts w:ascii="Calibri" w:hAnsi="Calibri" w:eastAsia="Calibri"/>
              </w:rPr>
            </w:pPr>
            <w:r>
              <w:rPr/>
              <w:t xml:space="preserve">Z zapłonem samoczynnym, wtryskiem bezpośrednim typu Common Rail lub </w:t>
            </w:r>
            <w:r>
              <w:rPr>
                <w:i/>
              </w:rPr>
              <w:t>równoważny</w:t>
            </w:r>
            <w:r>
              <w:rPr/>
              <w:t>, turbodoładowany, elastyczny, zapewniający przyspieszenie pozwalające na sprawną pracę w ruchu miejskim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Silnik o pojemności  min. 1900 cm³</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center"/>
              <w:textAlignment w:val="baseline"/>
              <w:rPr>
                <w:rFonts w:ascii="Calibri" w:hAnsi="Calibri" w:eastAsia="Calibri"/>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Silnik o mocy min. 140 KW</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Moment obrotowy min. 400 Nm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Norma emisji spalin Euro 6 lub Euro VI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III.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hd w:val="clear" w:color="auto" w:fill="FFFFFF"/>
              <w:jc w:val="center"/>
              <w:textAlignment w:val="baseline"/>
              <w:rPr>
                <w:b/>
              </w:rPr>
            </w:pPr>
            <w:r>
              <w:rPr>
                <w:b/>
              </w:rPr>
              <w:t>ZESPÓŁ PRZENIESIENIA NAPĘDU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Skrzynia biegów automatyczna (Zamawiający nie dopuszcza skrzyni półautomatycznej i zautomatyzowanej)</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Min. 7-biegów do przodu i bieg wsteczny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Napęd 4x4</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w:t>
            </w:r>
            <w:r>
              <w:rPr/>
              <w:tab/>
              <w:t>Min. prześwit 19 cm,</w:t>
            </w:r>
          </w:p>
          <w:p>
            <w:pPr>
              <w:pStyle w:val="Normal"/>
              <w:snapToGrid w:val="false"/>
              <w:jc w:val="both"/>
              <w:textAlignment w:val="baseline"/>
              <w:rPr/>
            </w:pPr>
            <w:r>
              <w:rPr/>
              <w:t>•</w:t>
            </w:r>
            <w:r>
              <w:rPr/>
              <w:tab/>
              <w:t>Min. kat natarcia 25º,</w:t>
            </w:r>
          </w:p>
          <w:p>
            <w:pPr>
              <w:pStyle w:val="Normal"/>
              <w:snapToGrid w:val="false"/>
              <w:jc w:val="both"/>
              <w:textAlignment w:val="baseline"/>
              <w:rPr/>
            </w:pPr>
            <w:r>
              <w:rPr/>
              <w:t>•</w:t>
            </w:r>
            <w:r>
              <w:rPr/>
              <w:tab/>
              <w:t>Min. kąt zejścia 16º,</w:t>
            </w:r>
          </w:p>
          <w:p>
            <w:pPr>
              <w:pStyle w:val="Normal"/>
              <w:snapToGrid w:val="false"/>
              <w:jc w:val="both"/>
              <w:textAlignment w:val="baseline"/>
              <w:rPr/>
            </w:pPr>
            <w:r>
              <w:rPr/>
              <w:t>•</w:t>
            </w:r>
            <w:r>
              <w:rPr/>
              <w:tab/>
              <w:t>Min. kat rampowy 20º</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IV.</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rFonts w:ascii="Calibri" w:hAnsi="Calibri" w:eastAsia="Calibri"/>
              </w:rPr>
            </w:pPr>
            <w:r>
              <w:rPr>
                <w:b/>
              </w:rPr>
              <w:t>UKŁAD HAMULCOWY i SYSTEMY BEZPIECZEŃSTWA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Układ hamulcowy ze wspomaganiem, wskaźnik zużycia klocków hamulcowych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rFonts w:ascii="Calibri" w:hAnsi="Calibri" w:eastAsia="Calibri"/>
              </w:rPr>
            </w:pPr>
            <w:r>
              <w:rPr/>
              <w:t xml:space="preserve">Z systemem zapobiegającym blokadzie kół podczas hamowania -  ABS lub </w:t>
            </w:r>
            <w:r>
              <w:rPr>
                <w:i/>
              </w:rPr>
              <w:t>równoważny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Elektroniczny korektor siły hamowania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Z systemem wspomagania nagłego (awaryjnego) hamowania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Hamulce tarczowe na obu osiach (przód i tył), przednie wentylowane,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System stabilizacji toru jazdy typu ESP adaptacyjny tzn. uwzględniający obciążenie pojazdu,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System zapobiegający poślizgowi kół osi napędzanej przy ruszaniu typu ASR</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jc w:val="both"/>
              <w:textAlignment w:val="baseline"/>
              <w:rPr>
                <w:rFonts w:ascii="Calibri" w:hAnsi="Calibri" w:eastAsia="Calibri"/>
              </w:rPr>
            </w:pPr>
            <w:r>
              <w:rPr>
                <w:rFonts w:eastAsia="SimSun"/>
                <w:color w:val="000000"/>
              </w:rPr>
              <w:t xml:space="preserve">System zapobiegający niespodziewanym zmianom pasa ruchu spowodowanym nagłymi podmuchami bocznego wiatru wykorzystujący czujniki systemu stabilizacji toru jazdy lub </w:t>
            </w:r>
            <w:r>
              <w:rPr>
                <w:rFonts w:eastAsia="SimSun"/>
                <w:i/>
                <w:color w:val="000000"/>
              </w:rPr>
              <w:t>równoważny</w:t>
            </w:r>
            <w:r>
              <w:rPr>
                <w:rFonts w:eastAsia="SimSun"/>
                <w:color w:val="000000"/>
              </w:rPr>
              <w:t>.</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center"/>
              <w:textAlignment w:val="baseline"/>
              <w:rPr>
                <w:rFonts w:eastAsia="SimSun"/>
              </w:rPr>
            </w:pPr>
            <w:r>
              <w:rPr>
                <w:rFonts w:eastAsia="SimSun"/>
              </w:rPr>
              <w:t>TAK</w:t>
            </w:r>
          </w:p>
          <w:p>
            <w:pPr>
              <w:pStyle w:val="Normal"/>
              <w:widowControl w:val="false"/>
              <w:ind w:hanging="709" w:start="709"/>
              <w:jc w:val="center"/>
              <w:textAlignment w:val="baseline"/>
              <w:rPr>
                <w:rFonts w:eastAsia="SimSun"/>
              </w:rPr>
            </w:pPr>
            <w:r>
              <w:rPr>
                <w:rFonts w:eastAsia="SimSun"/>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9</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Asystent wspomagania ruszania pod górę</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10</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Czujnik deszczu i zmierzchu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Tempomat</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W kabinie kierowcy kamera z czujnikiem monitorującym zmęczenie kierowcy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p>
            <w:pPr>
              <w:pStyle w:val="Normal"/>
              <w:snapToGrid w:val="false"/>
              <w:jc w:val="center"/>
              <w:textAlignment w:val="baseline"/>
              <w:rPr/>
            </w:pPr>
            <w: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V.</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b/>
              </w:rPr>
            </w:pPr>
            <w:r>
              <w:rPr>
                <w:b/>
              </w:rPr>
              <w:t>ZAWIESZENIE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rFonts w:ascii="Calibri" w:hAnsi="Calibri" w:eastAsia="Calibri"/>
              </w:rPr>
            </w:pPr>
            <w:r>
              <w:rPr/>
              <w:t xml:space="preserve">Fabryczne </w:t>
              <w:tab/>
              <w:t xml:space="preserve">zawieszenie posiadające wzmocnione drążki stabilizacyjne obu osi </w:t>
            </w:r>
            <w:r>
              <w:rPr>
                <w:color w:val="000000"/>
              </w:rPr>
              <w:t>(</w:t>
            </w:r>
            <w:r>
              <w:rPr>
                <w:i/>
                <w:color w:val="000000"/>
              </w:rPr>
              <w:t>podać kod opcji producenta pojazdu bazowego tego wyposażenia</w:t>
            </w:r>
            <w:r>
              <w:rPr>
                <w:color w:val="000000"/>
              </w:rPr>
              <w:t>)</w:t>
            </w:r>
            <w:r>
              <w:rPr/>
              <w:t xml:space="preserve">. Zawieszenie przednie i tylne wzmocnione zapewniające odpowiedni komfort transportu pacjenta.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Zawieszenie gwarantujące  dobrą  przyczepność kół do nawierzchni, stabilność i manewrowość w trudnym terenie oraz  zapewniające odpowiedni komfort transportu  pacjenta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VI.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rPr>
              <w:t>UKŁAD KIEROWNICZY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Ze wspomaganiem i regulacją kolumny kierowniczej w dwóch płaszczyznach.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VII.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color w:val="000000"/>
              </w:rPr>
            </w:pPr>
            <w:r>
              <w:rPr>
                <w:b/>
                <w:color w:val="000000"/>
              </w:rPr>
              <w:t>OGRZEWANIE I WENTYLACJA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p>
            <w:pPr>
              <w:pStyle w:val="Normal"/>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rFonts w:ascii="Calibri" w:hAnsi="Calibri" w:eastAsia="Calibri"/>
              </w:rPr>
            </w:pPr>
            <w:r>
              <w:rPr/>
              <w:t xml:space="preserve">Fabryczne będące wyposażeniem pojazdu bazowego pomocnicze ogrzewanie elektryczne o maksymalnej mocy grzewczej min. 1,5 kW uzyskiwanej w czasie max. 1 min. od momentu uruchomienia silnika.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spacing w:lineRule="atLeast" w:line="100"/>
              <w:jc w:val="center"/>
              <w:textAlignment w:val="baseline"/>
              <w:rPr/>
            </w:pPr>
            <w:r>
              <w:rPr>
                <w:rFonts w:eastAsia="Andale Sans UI"/>
                <w:lang w:eastAsia="fa-IR" w:bidi="fa-I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Ogrzewanie wewnętrzne postojowe – grzejnik elektryczny z sieci 230 V z możliwością ustawienia temperatury i termostatem, min. moc grzewcza  2000 W.</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Mechaniczna wentylacja  nawiewno  – wywiewna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 xml:space="preserve">Niezależny od silnika system ogrzewania przedziału medycznego (typu powietrznego) z możliwością ustawienia temperatury i termostatem,  o mocy min. 5,0 kW . umożliwiający ogrzanie przedziału medycznego zgodnie z PN EN 1789 pkt. 4.5.5.1 lub równoważną </w:t>
            </w:r>
            <w:r>
              <w:rPr>
                <w:i/>
                <w:iCs/>
              </w:rPr>
              <w:t>(podać markę i model)</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Nagrzewnica wodna wpięta w układ chłodzenia silnika o maksymalnej mocy grzewczej min. 6 kW.</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Otwierany szyberdach, pełniący funkcję doświetlania i wentylacji przedziału medycznego o minimalnych wymiarach 500 mm x 500 mm. (dopuszcza się szyberdach o wymiarach max. 900x600 mm) wyposażony w roletę oraz moskitierę.</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both"/>
              <w:textAlignment w:val="baseline"/>
              <w:rPr/>
            </w:pPr>
            <w:r>
              <w:rPr>
                <w:color w:val="000000"/>
              </w:rPr>
              <w:t>Klimatyzacja dwuparownikowa i dwusprężarkowa tzn. oddzielna sprężarka i parownik dla kabiny kierowcy i oddzielna sprężarka i parownik dla przedziału medycznego. W przedziale medycznym klimatyzacja automatyczna tj. po ustawieniu żądanej temperatury systemy chłodzące lub grzewcze automatycznie utrzymują żądaną temperaturę w przedziale medycznym umożliwiając klimatyzowanie przedziału medycznego.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 xml:space="preserve">Dodatkowy fabryczny wodny dogrzewacz niezależny od pracy silnika o mocy min. 5 kW umożliwiający ogrzewanie przedziału medycznego oraz silnika (rozwiązanie fabryczne to znaczy producenta pojazdu bazowego i objęte jego gwarancją – </w:t>
            </w:r>
            <w:r>
              <w:rPr>
                <w:i/>
              </w:rPr>
              <w:t>podać kod opcji fabrycznej</w:t>
            </w:r>
            <w:r>
              <w:rPr/>
              <w:t>)</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System oszczędzania energii polegający na możliwości ogrzewania i chłodzenia przedziału medycznego tylko przy zamkniętych wszystkich drzwiach a po ich otwarciu automatycznie wyłączający urządzenia. Po zamknięciu drzwi system automatycznie powraca do ustawionych parametrów termicznych.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p>
            <w:pPr>
              <w:pStyle w:val="Normal"/>
              <w:snapToGrid w:val="false"/>
              <w:jc w:val="center"/>
              <w:textAlignment w:val="baseline"/>
              <w:rPr/>
            </w:pPr>
            <w: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196"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jc w:val="center"/>
              <w:textAlignment w:val="baseline"/>
              <w:rPr>
                <w:b/>
              </w:rPr>
            </w:pPr>
            <w:r>
              <w:rPr>
                <w:b/>
              </w:rPr>
              <w:t>III.</w:t>
            </w:r>
          </w:p>
          <w:p>
            <w:pPr>
              <w:pStyle w:val="Normal"/>
              <w:textAlignment w:val="baseline"/>
              <w:rPr>
                <w:b/>
                <w:shd w:fill="FFFF00" w:val="clear"/>
              </w:rPr>
            </w:pPr>
            <w:r>
              <w:rPr>
                <w:b/>
                <w:shd w:fill="FFFF00" w:val="clear"/>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b/>
              </w:rPr>
            </w:pPr>
            <w:r>
              <w:rPr>
                <w:b/>
              </w:rPr>
              <w:t>INSTALACJA ELEKTRYCZNA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0" w:end="141"/>
              <w:textAlignment w:val="baseline"/>
              <w:rPr>
                <w:rFonts w:eastAsia="SimSun"/>
                <w:color w:val="000000"/>
              </w:rPr>
            </w:pPr>
            <w:r>
              <w:rPr>
                <w:rFonts w:eastAsia="SimSun"/>
                <w:color w:val="000000"/>
              </w:rPr>
              <w:t>Zespół 2 fabrycznych akumulatorów o łącznej pojemności  min. 180 Ah do zasilania wszystkich odbiorników prądu.</w:t>
            </w:r>
          </w:p>
          <w:p>
            <w:pPr>
              <w:pStyle w:val="Normal"/>
              <w:widowControl w:val="false"/>
              <w:ind w:hanging="0" w:end="141"/>
              <w:textAlignment w:val="baseline"/>
              <w:rPr>
                <w:rFonts w:eastAsia="SimSun"/>
                <w:i/>
                <w:color w:val="000000"/>
              </w:rPr>
            </w:pPr>
            <w:r>
              <w:rPr>
                <w:rFonts w:eastAsia="SimSun"/>
                <w:i/>
                <w:color w:val="000000"/>
              </w:rPr>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p>
            <w:pPr>
              <w:pStyle w:val="Normal"/>
              <w:widowControl w:val="false"/>
              <w:ind w:hanging="709" w:start="709"/>
              <w:jc w:val="center"/>
              <w:textAlignment w:val="baseline"/>
              <w:rPr>
                <w:rFonts w:eastAsia="SimSun"/>
              </w:rPr>
            </w:pPr>
            <w:r>
              <w:rPr>
                <w:rFonts w:eastAsia="SimSun"/>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bCs/>
                <w:color w:val="FF0000"/>
                <w:shd w:fill="FFFF00" w:val="clear"/>
              </w:rPr>
            </w:pPr>
            <w:r>
              <w:rPr>
                <w:b/>
                <w:bCs/>
                <w:color w:val="FF0000"/>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Wzmocniony alternator spełniający wymogi obsługi wszystkich odbiorników prądu i jednoczesnego ładowania akumulatorów -  min 180 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center"/>
              <w:textAlignment w:val="baseline"/>
              <w:rPr>
                <w:rFonts w:eastAsia="SimSun"/>
              </w:rPr>
            </w:pPr>
            <w:r>
              <w:rPr>
                <w:rFonts w:eastAsia="SimSun"/>
              </w:rPr>
              <w:t>TAK (określić)</w:t>
            </w:r>
          </w:p>
          <w:p>
            <w:pPr>
              <w:pStyle w:val="Normal"/>
              <w:jc w:val="center"/>
              <w:textAlignment w:val="baseline"/>
              <w:rPr/>
            </w:pPr>
            <w: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Automatyczna ładowarka akumulatorowa (zasilana prądem 230V) sterowana mikroprocesorem ładująca akumulatory prądem odpowiednim do poziomu rozładowania każdego z nich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Instalacja elektryczna 230 V:</w:t>
            </w:r>
          </w:p>
          <w:p>
            <w:pPr>
              <w:pStyle w:val="Normal"/>
              <w:ind w:hanging="0" w:end="141"/>
              <w:jc w:val="both"/>
              <w:textAlignment w:val="baseline"/>
              <w:rPr/>
            </w:pPr>
            <w:r>
              <w:rPr/>
              <w:t>a) zasilanie zewnętrzne 230 V</w:t>
            </w:r>
          </w:p>
          <w:p>
            <w:pPr>
              <w:pStyle w:val="Normal"/>
              <w:ind w:hanging="0" w:end="141"/>
              <w:jc w:val="both"/>
              <w:textAlignment w:val="baseline"/>
              <w:rPr/>
            </w:pPr>
            <w:r>
              <w:rPr/>
              <w:t xml:space="preserve">b) min. 2  zerowane gniazda w przedziale medycznym  </w:t>
            </w:r>
          </w:p>
          <w:p>
            <w:pPr>
              <w:pStyle w:val="Normal"/>
              <w:ind w:hanging="0" w:end="141"/>
              <w:jc w:val="both"/>
              <w:textAlignment w:val="baseline"/>
              <w:rPr/>
            </w:pPr>
            <w:r>
              <w:rPr/>
              <w:t>c) zabezpieczenie uniemożliwiające rozruch silnika przy podłączonym  zasilaniu zewnętrznym</w:t>
            </w:r>
          </w:p>
          <w:p>
            <w:pPr>
              <w:pStyle w:val="Normal"/>
              <w:ind w:hanging="0" w:end="141"/>
              <w:jc w:val="both"/>
              <w:textAlignment w:val="baseline"/>
              <w:rPr/>
            </w:pPr>
            <w:r>
              <w:rPr/>
              <w:t>d) zabezpieczenie przeciwporażeniowe</w:t>
            </w:r>
          </w:p>
          <w:p>
            <w:pPr>
              <w:pStyle w:val="Normal"/>
              <w:ind w:hanging="0" w:end="141"/>
              <w:jc w:val="both"/>
              <w:textAlignment w:val="baseline"/>
              <w:rPr/>
            </w:pPr>
            <w:r>
              <w:rPr/>
              <w:t>e) przewód zasilający min. 10 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b/>
                <w:bCs/>
                <w:color w:val="FF0000"/>
                <w:shd w:fill="FFFF00" w:val="clear"/>
              </w:rPr>
            </w:pPr>
            <w:r>
              <w:rPr>
                <w:b/>
                <w:bCs/>
                <w:color w:val="FF0000"/>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Na zewnątrz pojazdu zamontowana wizualna sygnalizacja   informująca o podłączeniu ambulansu do sieci 230V</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Grzałka w układzie chłodzenia cieczą silnika pojazdu zasilana z sieci 230V</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 xml:space="preserve"> </w:t>
            </w:r>
            <w:r>
              <w:rPr/>
              <w:t>Instalacja elektryczna 12V w przedziale medycznym:</w:t>
            </w:r>
          </w:p>
          <w:p>
            <w:pPr>
              <w:pStyle w:val="Normal"/>
              <w:jc w:val="both"/>
              <w:textAlignment w:val="baseline"/>
              <w:rPr/>
            </w:pPr>
            <w:r>
              <w:rPr/>
              <w:t xml:space="preserve">- min. 4 gniazda 12 V w przedziale medycznym (w tym jedno 20A),     </w:t>
            </w:r>
          </w:p>
          <w:p>
            <w:pPr>
              <w:pStyle w:val="Normal"/>
              <w:jc w:val="both"/>
              <w:textAlignment w:val="baseline"/>
              <w:rPr/>
            </w:pPr>
            <w:r>
              <w:rPr/>
              <w:t xml:space="preserve"> </w:t>
            </w:r>
            <w:r>
              <w:rPr/>
              <w:t>do podłączenia urządzeń medycznych.</w:t>
            </w:r>
          </w:p>
          <w:p>
            <w:pPr>
              <w:pStyle w:val="Normal"/>
              <w:jc w:val="both"/>
              <w:textAlignment w:val="baseline"/>
              <w:rPr/>
            </w:pPr>
            <w:r>
              <w:rPr/>
              <w:t>- gniazda wyposażone w rozbieralne wtyki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 xml:space="preserve">Atestowana przetwornica prądu stałego 12V na zmienny 230V/50Hz o mocy ciągłej min. 1000VA (czysta sinusoida). </w:t>
            </w:r>
          </w:p>
          <w:p>
            <w:pPr>
              <w:pStyle w:val="Normal"/>
              <w:jc w:val="both"/>
              <w:textAlignment w:val="baseline"/>
              <w:rPr/>
            </w:pPr>
            <w:r>
              <w:rPr/>
              <w:t>W przedziale medycznym 2 oddzielne gniazda 230V zasilane z tej przetwornicy do obsługi sprzętu medycznego i drukarki systemu wymagających zasilania 230V w czasie jazdy, z możliwością wyłączenia napięcia.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9</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Skrzynka bezpieczników instalacji przedziału medycznego zintegrowana ze ścianą działową za fotelem kierowcy lub pasażera z łatwym dostępem po odsunięciu fotela i sygnalizacją usterki bezpieczników oraz ich wymianą bez użycia narządzi.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jc w:val="center"/>
              <w:textAlignment w:val="baseline"/>
              <w:rPr/>
            </w:pPr>
            <w:r>
              <w:rPr/>
              <w:t>Tak</w:t>
            </w:r>
          </w:p>
          <w:p>
            <w:pPr>
              <w:pStyle w:val="Normal"/>
              <w:widowControl w:val="false"/>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IX.</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jc w:val="center"/>
              <w:textAlignment w:val="baseline"/>
              <w:rPr>
                <w:b/>
              </w:rPr>
            </w:pPr>
            <w:r>
              <w:rPr>
                <w:b/>
              </w:rPr>
              <w:t>SYGNALIZACJA ŚWIETLNO-DŹWIĘKOWA</w:t>
            </w:r>
          </w:p>
          <w:p>
            <w:pPr>
              <w:pStyle w:val="Normal"/>
              <w:jc w:val="center"/>
              <w:textAlignment w:val="baseline"/>
              <w:rPr>
                <w:b/>
              </w:rPr>
            </w:pPr>
            <w:r>
              <w:rPr>
                <w:b/>
              </w:rPr>
              <w:t>I OZNAKOWANIE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ind w:hanging="0" w:end="141"/>
              <w:jc w:val="both"/>
              <w:textAlignment w:val="baseline"/>
              <w:rPr/>
            </w:pPr>
            <w:r>
              <w:rPr>
                <w:color w:val="000000"/>
              </w:rPr>
              <w:t>Belka świetlna umieszczona na przedniej części dachu pojazdu   wypełniona modułami świetlnymi LED koloru niebieskiego. W pasie przednim zamontowany głośnik o mocy min. 100 W, sygnał dźwiękowy modulowany -  zmiana  modulacji klaksonem, możliwość podawania komunikatów głosowych.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uppressLineNumbers/>
              <w:snapToGrid w:val="false"/>
              <w:jc w:val="center"/>
              <w:textAlignment w:val="baseline"/>
              <w:rPr>
                <w:b/>
                <w:bCs/>
                <w:i/>
                <w:color w:val="FF0000"/>
              </w:rPr>
            </w:pPr>
            <w:r>
              <w:rPr>
                <w:b/>
                <w:bCs/>
                <w:i/>
                <w:color w:val="FF0000"/>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ind w:hanging="0" w:end="141"/>
              <w:jc w:val="both"/>
              <w:textAlignment w:val="baseline"/>
              <w:rPr/>
            </w:pPr>
            <w:r>
              <w:rPr/>
              <w:t xml:space="preserve">Belka świetlna umieszczona w tylnej części dachu pojazdu   wypełniona modułami świetlnymi LED koloru niebieskiego,  dodatkowe światła robocze LED do oświetlania przedpola za ambulansem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uppressLineNumbers/>
              <w:snapToGrid w:val="false"/>
              <w:textAlignment w:val="baseline"/>
              <w:rPr>
                <w:b/>
                <w:bCs/>
                <w:i/>
                <w:color w:val="FF0000"/>
              </w:rPr>
            </w:pPr>
            <w:r>
              <w:rPr>
                <w:b/>
                <w:bCs/>
                <w:i/>
                <w:color w:val="FF0000"/>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Włączanie sygnalizacji dźwiękowo-świetlnej realizowane z panelu sterującego lub manipulatora umieszczonego w widocznym, łatwo dostępnym miejscu na desce rozdzielczej kierowcy.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Światła awaryjne zamontowane na drzwiach tylnych włączające się po otwarciu drzwi widoczne przy otwarciu o 90, 180 i 260 stopni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spacing w:lineRule="atLeast" w:line="100"/>
              <w:ind w:hanging="0" w:end="141"/>
              <w:jc w:val="both"/>
              <w:textAlignment w:val="baseline"/>
              <w:rPr>
                <w:rFonts w:ascii="Calibri" w:hAnsi="Calibri" w:eastAsia="Calibri"/>
              </w:rPr>
            </w:pPr>
            <w:r>
              <w:rPr>
                <w:rFonts w:eastAsia="Andale Sans UI"/>
                <w:lang w:eastAsia="fa-IR" w:bidi="fa-IR"/>
              </w:rPr>
              <w:t>Dodatkowe sygnały dźwiękowe pneumatyczne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spacing w:lineRule="atLeast" w:line="100"/>
              <w:jc w:val="center"/>
              <w:textAlignment w:val="baseline"/>
              <w:rPr>
                <w:rFonts w:ascii="Calibri" w:hAnsi="Calibri" w:eastAsia="Calibri"/>
              </w:rPr>
            </w:pPr>
            <w:r>
              <w:rPr>
                <w:rFonts w:eastAsia="Andale Sans UI"/>
                <w:lang w:eastAsia="fa-IR" w:bidi="fa-I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both"/>
              <w:textAlignment w:val="baseline"/>
              <w:rPr/>
            </w:pPr>
            <w:r>
              <w:rPr/>
              <w:t xml:space="preserve">Dwie niebieskie lampy LED na wysokości pasa przedniego, barwy niebieskiej,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Po dwa reflektory zewnętrzne LED po bokach pojazdu w górnej części ścian bocznych, do oświetlenia miejsca akcji, z możliwością włączania/wyłączania zarówno z kabiny kierowcy jak i z przedziału medycznego, włączające się automatycznie razem ze światłami roboczymi tylnymi po wrzuceniu biegu wstecznego przez kierowcę.</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0" w:end="141"/>
              <w:jc w:val="both"/>
              <w:textAlignment w:val="baseline"/>
              <w:rPr/>
            </w:pPr>
            <w:r>
              <w:rPr/>
              <w:t>Oznakowanie pojazdu zgodnie z Rozporządzeniem Ministra Zdrowia z dnia 03.01.2023 r.:</w:t>
            </w:r>
          </w:p>
          <w:p>
            <w:pPr>
              <w:pStyle w:val="Normal"/>
              <w:snapToGrid w:val="false"/>
              <w:ind w:hanging="0" w:end="141"/>
              <w:jc w:val="both"/>
              <w:textAlignment w:val="baseline"/>
              <w:rPr/>
            </w:pPr>
            <w:r>
              <w:rPr/>
              <w:t>1) wzorem graficznym systemu Państwowe Ratownictwo Medyczne o średnicy 50 cm, umieszczonym na tylnych drzwiach oraz na dachu i po bokach, w tylnej części pojazdu;</w:t>
            </w:r>
          </w:p>
          <w:p>
            <w:pPr>
              <w:pStyle w:val="Normal"/>
              <w:snapToGrid w:val="false"/>
              <w:ind w:hanging="0" w:end="141"/>
              <w:jc w:val="both"/>
              <w:textAlignment w:val="baseline"/>
              <w:rPr/>
            </w:pPr>
            <w:r>
              <w:rPr/>
              <w:t>2) napisem lustrzanym „AMBULANS” barwy czerwonej, o wysokości liter co najmniej 22 cm, umieszczonym z przodu pojazdu; dopuszczalne jest umieszczenie napisu „AMBULANS” barwy czerwonej, o wysokości liter co najmniej 10 cm także z tyłu pojazdu;</w:t>
            </w:r>
          </w:p>
          <w:p>
            <w:pPr>
              <w:pStyle w:val="Normal"/>
              <w:snapToGrid w:val="false"/>
              <w:ind w:hanging="0" w:end="141"/>
              <w:jc w:val="both"/>
              <w:textAlignment w:val="baseline"/>
              <w:rPr/>
            </w:pPr>
            <w:r>
              <w:rPr/>
              <w:t>3) po bokach literą barwy czerwonej „P”</w:t>
            </w:r>
          </w:p>
          <w:p>
            <w:pPr>
              <w:pStyle w:val="Normal"/>
              <w:snapToGrid w:val="false"/>
              <w:ind w:hanging="0" w:end="141"/>
              <w:jc w:val="both"/>
              <w:textAlignment w:val="baseline"/>
              <w:rPr/>
            </w:pPr>
            <w:r>
              <w:rPr/>
              <w:t xml:space="preserve">– </w:t>
            </w:r>
            <w:r>
              <w:rPr/>
              <w:t>umieszczoną w okręgu o średnicy co najmniej 40 cm; grubość linii okręgu i liter wynosi 4 cm;</w:t>
            </w:r>
          </w:p>
          <w:p>
            <w:pPr>
              <w:pStyle w:val="Normal"/>
              <w:snapToGrid w:val="false"/>
              <w:ind w:hanging="0" w:end="141"/>
              <w:jc w:val="both"/>
              <w:textAlignment w:val="baseline"/>
              <w:rPr/>
            </w:pPr>
            <w:r>
              <w:rPr/>
              <w:t>4) trzema pasami odblaskowymi:</w:t>
            </w:r>
          </w:p>
          <w:p>
            <w:pPr>
              <w:pStyle w:val="Normal"/>
              <w:snapToGrid w:val="false"/>
              <w:ind w:hanging="0" w:end="141"/>
              <w:jc w:val="both"/>
              <w:textAlignment w:val="baseline"/>
              <w:rPr/>
            </w:pPr>
            <w:r>
              <w:rPr/>
              <w:t>a) pasem typu 3 – barwy czerwonej, o szerokości co najmniej 15 cm, umieszczonym wokół dachu,</w:t>
            </w:r>
          </w:p>
          <w:p>
            <w:pPr>
              <w:pStyle w:val="Normal"/>
              <w:snapToGrid w:val="false"/>
              <w:ind w:hanging="0" w:end="141"/>
              <w:jc w:val="both"/>
              <w:textAlignment w:val="baseline"/>
              <w:rPr/>
            </w:pPr>
            <w:r>
              <w:rPr/>
              <w:t>b) pasem typu 3 – barwy niebieskiej, umieszczonym bezpośrednio nad pasem, o którym mowa w lit. c,</w:t>
            </w:r>
          </w:p>
          <w:p>
            <w:pPr>
              <w:pStyle w:val="Normal"/>
              <w:snapToGrid w:val="false"/>
              <w:ind w:hanging="0" w:end="141"/>
              <w:jc w:val="both"/>
              <w:textAlignment w:val="baseline"/>
              <w:rPr/>
            </w:pPr>
            <w:r>
              <w:rPr/>
              <w:t>c) pasem typu 3 – barwy czerwonej, o szerokości co najmniej 15 cm, umieszczonym między linią okien a nadkolami;</w:t>
            </w:r>
          </w:p>
          <w:p>
            <w:pPr>
              <w:pStyle w:val="Normal"/>
              <w:snapToGrid w:val="false"/>
              <w:ind w:hanging="0" w:end="141"/>
              <w:jc w:val="both"/>
              <w:textAlignment w:val="baseline"/>
              <w:rPr/>
            </w:pPr>
            <w:r>
              <w:rPr/>
              <w:t xml:space="preserve">5) logotypem zawierającym nazwę dysponenta  „Zespół Opieki Zdrowotnej” </w:t>
              <w:br/>
              <w:t xml:space="preserve">w Kłodzku  umieszczonym po bokach pojazdu w dolnej części drzwi kierowcy </w:t>
              <w:br/>
              <w:t>i pasażera.</w:t>
            </w:r>
          </w:p>
          <w:p>
            <w:pPr>
              <w:pStyle w:val="Normal"/>
              <w:suppressLineNumbers/>
              <w:ind w:hanging="0" w:end="141"/>
              <w:jc w:val="both"/>
              <w:textAlignment w:val="baseline"/>
              <w:rPr/>
            </w:pPr>
            <w:r>
              <w:rPr/>
              <w:t xml:space="preserve">6) kryptonimem zespołu ratownictwa medycznego określonym w wojewódzkim planie działania systemu, barwy czerwonej, o wysokości liter 10 cm, umieszczonym po bokach i z tyłu pojazdu, pod okręgami z oznaczeniem zespołu, </w:t>
            </w:r>
            <w:r>
              <w:rPr>
                <w:b/>
                <w:bCs/>
              </w:rPr>
              <w:t>D01 14</w:t>
            </w:r>
            <w:r>
              <w:rPr/>
              <w:t xml:space="preserve"> o których mowa w pkt 3</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X.</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rPr>
              <w:t>OŚWIETLENIE PRZEDZIAŁU MEDYCZNEGO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284" w:start="284"/>
              <w:jc w:val="both"/>
              <w:textAlignment w:val="baseline"/>
              <w:rPr/>
            </w:pPr>
            <w:r>
              <w:rPr/>
              <w:t>OŚWIETLENIE PRZEDZIAŁU MEDYCZNEGO</w:t>
            </w:r>
          </w:p>
          <w:p>
            <w:pPr>
              <w:pStyle w:val="Normal"/>
              <w:ind w:hanging="1" w:start="1"/>
              <w:jc w:val="both"/>
              <w:textAlignment w:val="baseline"/>
              <w:rPr/>
            </w:pPr>
            <w:r>
              <w:rPr/>
              <w:t>-oświetlenie zgodne z PN EN 1789  pkt. 4.5.6  lub normą równoważną oraz charakteryzujące się parametrami nie gorszymi jak poniżej</w:t>
            </w:r>
          </w:p>
          <w:p>
            <w:pPr>
              <w:pStyle w:val="Normal"/>
              <w:tabs>
                <w:tab w:val="clear" w:pos="708"/>
                <w:tab w:val="left" w:pos="287" w:leader="none"/>
              </w:tabs>
              <w:snapToGrid w:val="false"/>
              <w:jc w:val="both"/>
              <w:textAlignment w:val="baseline"/>
              <w:rPr/>
            </w:pPr>
            <w:r>
              <w:rPr/>
              <w:t>1)</w:t>
              <w:tab/>
              <w:t>światło rozproszone umieszczone po obu stronach górnej części przedziału medycznego min. 6 lamp sufitowych, z funkcja ich przygaszania na czas transportu pacjenta (tzw. oświetlenie nocne)</w:t>
            </w:r>
          </w:p>
          <w:p>
            <w:pPr>
              <w:pStyle w:val="Normal"/>
              <w:snapToGrid w:val="false"/>
              <w:jc w:val="both"/>
              <w:textAlignment w:val="baseline"/>
              <w:rPr/>
            </w:pPr>
            <w:r>
              <w:rPr/>
              <w:t>2) oświetlenie halogenowe regulowane umieszczone w suficie nad noszami punktowe (min. 2 szt.)</w:t>
            </w:r>
          </w:p>
          <w:p>
            <w:pPr>
              <w:pStyle w:val="Normal"/>
              <w:tabs>
                <w:tab w:val="clear" w:pos="708"/>
                <w:tab w:val="left" w:pos="287" w:leader="none"/>
              </w:tabs>
              <w:snapToGrid w:val="false"/>
              <w:jc w:val="both"/>
              <w:textAlignment w:val="baseline"/>
              <w:rPr/>
            </w:pPr>
            <w:r>
              <w:rPr/>
              <w:t xml:space="preserve">3) </w:t>
              <w:tab/>
              <w:t>halogen zamontowany nad blatem roboczym</w:t>
            </w:r>
          </w:p>
        </w:tc>
        <w:tc>
          <w:tcPr>
            <w:tcW w:w="2252"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Tak/Podać</w:t>
            </w:r>
          </w:p>
        </w:tc>
        <w:tc>
          <w:tcPr>
            <w:tcW w:w="5507"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bCs/>
                <w:color w:val="FF0000"/>
                <w:shd w:fill="FFFF00" w:val="clear"/>
              </w:rPr>
            </w:pPr>
            <w:r>
              <w:rPr>
                <w:b/>
                <w:bCs/>
                <w:color w:val="FF0000"/>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rPr>
            </w:pPr>
            <w:r>
              <w:rPr>
                <w:b/>
              </w:rPr>
              <w:t>XI.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993" w:leader="none"/>
              </w:tabs>
              <w:jc w:val="center"/>
              <w:textAlignment w:val="baseline"/>
              <w:rPr>
                <w:b/>
              </w:rPr>
            </w:pPr>
            <w:r>
              <w:rPr>
                <w:b/>
              </w:rPr>
              <w:t>PRZEDZIAŁ MEDYCZNY I JEGO WYPOSAŻENIE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993" w:leader="none"/>
              </w:tabs>
              <w:snapToGrid w:val="false"/>
              <w:jc w:val="both"/>
              <w:textAlignment w:val="baseline"/>
              <w:rPr/>
            </w:pPr>
            <w:r>
              <w:rPr/>
              <w:t xml:space="preserve">WYPOSAŻENIE  PRZEDZIAŁU MEDYCZNEGO (pomieszczenia  dla pacjenta)-pomieszczenie powinno pomieścić urządzenia medyczne wyszczególnione w zharmonizowanej normie PN EN 1789 lub </w:t>
            </w:r>
            <w:r>
              <w:rPr>
                <w:i/>
              </w:rPr>
              <w:t>równoważnej</w:t>
            </w:r>
            <w:r>
              <w:rPr/>
              <w:t xml:space="preserve"> dla ambulansu typu C</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p>
            <w:pPr>
              <w:pStyle w:val="Normal"/>
              <w:jc w:val="center"/>
              <w:textAlignment w:val="baseline"/>
              <w:rPr/>
            </w:pPr>
            <w:r>
              <w:rPr/>
            </w:r>
          </w:p>
          <w:p>
            <w:pPr>
              <w:pStyle w:val="Normal"/>
              <w:jc w:val="center"/>
              <w:textAlignment w:val="baseline"/>
              <w:rPr/>
            </w:pPr>
            <w:r>
              <w:rPr/>
            </w:r>
          </w:p>
          <w:p>
            <w:pPr>
              <w:pStyle w:val="Normal"/>
              <w:jc w:val="center"/>
              <w:textAlignment w:val="baseline"/>
              <w:rPr/>
            </w:pPr>
            <w:r>
              <w:rPr/>
            </w:r>
          </w:p>
          <w:p>
            <w:pPr>
              <w:pStyle w:val="Normal"/>
              <w:jc w:val="center"/>
              <w:textAlignment w:val="baseline"/>
              <w:rPr/>
            </w:pPr>
            <w:r>
              <w:rPr/>
            </w:r>
          </w:p>
          <w:p>
            <w:pPr>
              <w:pStyle w:val="Normal"/>
              <w:jc w:val="center"/>
              <w:textAlignment w:val="baseline"/>
              <w:rPr/>
            </w:pPr>
            <w:r>
              <w:rPr/>
            </w:r>
          </w:p>
          <w:p>
            <w:pPr>
              <w:pStyle w:val="Normal"/>
              <w:jc w:val="center"/>
              <w:textAlignment w:val="baseline"/>
              <w:rPr/>
            </w:pPr>
            <w:r>
              <w:rPr/>
            </w:r>
          </w:p>
          <w:p>
            <w:pPr>
              <w:pStyle w:val="Normal"/>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tabs>
                <w:tab w:val="clear" w:pos="708"/>
                <w:tab w:val="left" w:pos="601" w:leader="none"/>
              </w:tabs>
              <w:snapToGrid w:val="false"/>
              <w:ind w:hanging="0" w:end="150"/>
              <w:jc w:val="both"/>
              <w:textAlignment w:val="baseline"/>
              <w:rPr>
                <w:rFonts w:ascii="Calibri" w:hAnsi="Calibri" w:eastAsia="Calibri"/>
              </w:rPr>
            </w:pPr>
            <w:r>
              <w:rPr/>
              <w:t xml:space="preserve">1/ Zabudowa specjalna na ścianie działowej  (dopuszcza się zabudowę równoważną z opisaną funkcjonalnością pod warunkiem wykazania tej równoważności przez Wykonawcę – </w:t>
            </w:r>
            <w:r>
              <w:rPr>
                <w:i/>
              </w:rPr>
              <w:t>załączyć do oferty schemat zabudowy ściany działowej potwierdzony przez jednostkę badawczą)</w:t>
            </w:r>
            <w:r>
              <w:rPr/>
              <w:t>:</w:t>
            </w:r>
          </w:p>
          <w:p>
            <w:pPr>
              <w:pStyle w:val="Normal"/>
              <w:widowControl w:val="false"/>
              <w:numPr>
                <w:ilvl w:val="0"/>
                <w:numId w:val="2"/>
              </w:numPr>
              <w:tabs>
                <w:tab w:val="clear" w:pos="708"/>
                <w:tab w:val="left" w:pos="0" w:leader="none"/>
                <w:tab w:val="left" w:pos="287" w:leader="none"/>
              </w:tabs>
              <w:ind w:hanging="360" w:start="720" w:end="150"/>
              <w:jc w:val="both"/>
              <w:textAlignment w:val="baseline"/>
              <w:rPr/>
            </w:pPr>
            <w:r>
              <w:rPr>
                <w:sz w:val="21"/>
                <w:szCs w:val="21"/>
              </w:rPr>
              <w:t xml:space="preserve">szafka przy drzwiach prawych przesuwnych z blatem roboczym do przygotowywania leków wyłożona blachą nierdzewną (Zamawiający nie dopuszcza wyłożenia blatu tworzywem sztucznym), min. trzy szuflady na trzech poziomach, w jednej z szuflad miejsce i system mocowania drukarki systemu SWD PRM z zasilaniem 12V/230V oraz złączem USB (Zamawiający dopuszcza montaż drukarki w certyfikowanym uchwycie na ścianie działowej nad blatem roboczym), w dwóch szufladach system przesuwnych przegród porządkujący przewożone tam leki. </w:t>
            </w:r>
          </w:p>
          <w:p>
            <w:pPr>
              <w:pStyle w:val="Normal"/>
              <w:widowControl w:val="false"/>
              <w:numPr>
                <w:ilvl w:val="0"/>
                <w:numId w:val="2"/>
              </w:numPr>
              <w:suppressLineNumbers/>
              <w:tabs>
                <w:tab w:val="clear" w:pos="708"/>
                <w:tab w:val="left" w:pos="0" w:leader="none"/>
                <w:tab w:val="left" w:pos="284" w:leader="none"/>
              </w:tabs>
              <w:ind w:hanging="360" w:start="720" w:end="150"/>
              <w:jc w:val="both"/>
              <w:textAlignment w:val="baseline"/>
              <w:rPr/>
            </w:pPr>
            <w:r>
              <w:rPr/>
              <w:t>dodatkowa szuflada/szafka  na narkotyki zamykana na klucz,</w:t>
            </w:r>
          </w:p>
          <w:p>
            <w:pPr>
              <w:pStyle w:val="Normal"/>
              <w:widowControl w:val="false"/>
              <w:numPr>
                <w:ilvl w:val="0"/>
                <w:numId w:val="2"/>
              </w:numPr>
              <w:suppressLineNumbers/>
              <w:tabs>
                <w:tab w:val="clear" w:pos="708"/>
                <w:tab w:val="left" w:pos="0" w:leader="none"/>
                <w:tab w:val="left" w:pos="284" w:leader="none"/>
              </w:tabs>
              <w:ind w:hanging="360" w:start="720" w:end="150"/>
              <w:jc w:val="both"/>
              <w:textAlignment w:val="baseline"/>
              <w:rPr/>
            </w:pPr>
            <w:r>
              <w:rPr/>
              <w:t>miejsce na pojemnik na zużyte igły,</w:t>
            </w:r>
          </w:p>
          <w:p>
            <w:pPr>
              <w:pStyle w:val="Normal"/>
              <w:widowControl w:val="false"/>
              <w:numPr>
                <w:ilvl w:val="0"/>
                <w:numId w:val="2"/>
              </w:numPr>
              <w:suppressLineNumbers/>
              <w:tabs>
                <w:tab w:val="clear" w:pos="708"/>
                <w:tab w:val="left" w:pos="0" w:leader="none"/>
                <w:tab w:val="left" w:pos="284" w:leader="none"/>
              </w:tabs>
              <w:ind w:hanging="360" w:start="720" w:end="150"/>
              <w:jc w:val="both"/>
              <w:textAlignment w:val="baseline"/>
              <w:rPr/>
            </w:pPr>
            <w:r>
              <w:rPr/>
              <w:t>wysuwany kosz na odpady,</w:t>
            </w:r>
          </w:p>
          <w:p>
            <w:pPr>
              <w:pStyle w:val="Normal"/>
              <w:widowControl w:val="false"/>
              <w:numPr>
                <w:ilvl w:val="0"/>
                <w:numId w:val="2"/>
              </w:numPr>
              <w:suppressLineNumbers/>
              <w:tabs>
                <w:tab w:val="clear" w:pos="708"/>
                <w:tab w:val="left" w:pos="0" w:leader="none"/>
                <w:tab w:val="left" w:pos="284" w:leader="none"/>
              </w:tabs>
              <w:jc w:val="both"/>
              <w:textAlignment w:val="baseline"/>
              <w:rPr/>
            </w:pPr>
            <w:r>
              <w:rPr/>
              <w:t>termobox – elektryczny ogrzewacz płynów infuzyjnych,</w:t>
            </w:r>
          </w:p>
          <w:p>
            <w:pPr>
              <w:pStyle w:val="Normal"/>
              <w:widowControl w:val="false"/>
              <w:numPr>
                <w:ilvl w:val="0"/>
                <w:numId w:val="2"/>
              </w:numPr>
              <w:suppressLineNumbers/>
              <w:tabs>
                <w:tab w:val="clear" w:pos="708"/>
                <w:tab w:val="left" w:pos="284" w:leader="none"/>
              </w:tabs>
              <w:jc w:val="both"/>
              <w:textAlignment w:val="baseline"/>
              <w:rPr/>
            </w:pPr>
            <w:r>
              <w:rPr/>
              <w:t>miejsce i system mocowania plecaka ratunkowego z dostępem zarówno z zewnątrz jak i z wewnątrz przedziału medycznego,</w:t>
            </w:r>
          </w:p>
          <w:p>
            <w:pPr>
              <w:pStyle w:val="Normal"/>
              <w:widowControl w:val="false"/>
              <w:numPr>
                <w:ilvl w:val="0"/>
                <w:numId w:val="2"/>
              </w:numPr>
              <w:suppressLineNumbers/>
              <w:tabs>
                <w:tab w:val="clear" w:pos="708"/>
                <w:tab w:val="left" w:pos="284" w:leader="none"/>
              </w:tabs>
              <w:jc w:val="both"/>
              <w:textAlignment w:val="baseline"/>
              <w:rPr/>
            </w:pPr>
            <w:r>
              <w:rPr/>
              <w:t xml:space="preserve">jeden fotel dla personelu medycznego obrotowy o kąt min. 90 stopni mocowany do podłogi umożliwiający nieskrępowane obejście noszy jak </w:t>
              <w:br/>
              <w:t>i bezproblemowe przejście do kabiny kierowcy, posiadający możliwość dosunięcia lub odsunięcia do/od wezgłowia noszy w zakresie umożliwiającym prawidłowe wykonywanie czynności medycznych przy pacjencie (np. intubowanie), wyposażony w zintegrowane bezwładnościowe pasy bezpieczeństwa, zagłówek i regulowany kąt oparcia pleców.</w:t>
            </w:r>
          </w:p>
          <w:p>
            <w:pPr>
              <w:pStyle w:val="Normal"/>
              <w:widowControl w:val="false"/>
              <w:numPr>
                <w:ilvl w:val="0"/>
                <w:numId w:val="2"/>
              </w:numPr>
              <w:suppressLineNumbers/>
              <w:tabs>
                <w:tab w:val="clear" w:pos="708"/>
                <w:tab w:val="left" w:pos="284" w:leader="none"/>
              </w:tabs>
              <w:jc w:val="both"/>
              <w:textAlignment w:val="baseline"/>
              <w:rPr/>
            </w:pPr>
            <w:r>
              <w:rPr/>
              <w:t>przy drzwiach bocznych zamontowany panel sterujący oświetleniem roboczym po bokach i z tyłu ambulansu oraz oświetleniem przedziału medycznego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2021" w:leader="none"/>
              </w:tabs>
              <w:snapToGrid w:val="false"/>
              <w:ind w:hanging="284" w:start="284"/>
              <w:textAlignment w:val="baseline"/>
              <w:rPr>
                <w:rFonts w:ascii="Calibri" w:hAnsi="Calibri" w:eastAsia="Calibri"/>
              </w:rPr>
            </w:pPr>
            <w:r>
              <w:rPr/>
              <w:t xml:space="preserve">2/ Zabudowa specjalna na ścianie prawej (dopuszcza się zabudowę równoważną z opisaną funkcjonalnością pod warunkiem wykazania tej równoważności przez Wykonawcę – </w:t>
            </w:r>
            <w:r>
              <w:rPr>
                <w:i/>
              </w:rPr>
              <w:t>załączyć do oferty schemat zabudowy ściany działowej potwierdzony przez jednostkę badawczą</w:t>
            </w:r>
            <w:r>
              <w:rPr/>
              <w:t>):</w:t>
            </w:r>
          </w:p>
          <w:p>
            <w:pPr>
              <w:pStyle w:val="Normal"/>
              <w:widowControl w:val="false"/>
              <w:numPr>
                <w:ilvl w:val="0"/>
                <w:numId w:val="3"/>
              </w:numPr>
              <w:tabs>
                <w:tab w:val="clear" w:pos="708"/>
                <w:tab w:val="left" w:pos="0" w:leader="none"/>
              </w:tabs>
              <w:jc w:val="both"/>
              <w:textAlignment w:val="baseline"/>
              <w:rPr/>
            </w:pPr>
            <w:r>
              <w:rPr/>
              <w:t xml:space="preserve">min. dwie podsufitowe szafki z przezroczystymi frontami otwieranymi do góry i podświetleniem uruchamianym automatycznie po ich otwarciu, wyposażonymi w cokoły zabezpieczające przed wypadnięciem przewożonych tam przedmiotów oraz przegrody do segregacji przewożonego tam wyposażenia. </w:t>
            </w:r>
          </w:p>
          <w:p>
            <w:pPr>
              <w:pStyle w:val="Normal"/>
              <w:widowControl w:val="false"/>
              <w:numPr>
                <w:ilvl w:val="0"/>
                <w:numId w:val="3"/>
              </w:numPr>
              <w:tabs>
                <w:tab w:val="clear" w:pos="708"/>
                <w:tab w:val="left" w:pos="0" w:leader="none"/>
              </w:tabs>
              <w:jc w:val="both"/>
              <w:textAlignment w:val="baseline"/>
              <w:rPr/>
            </w:pPr>
            <w:r>
              <w:rPr/>
              <w:t>podsufitowa szafka z półką zamykana roletą</w:t>
            </w:r>
          </w:p>
          <w:p>
            <w:pPr>
              <w:pStyle w:val="Normal"/>
              <w:widowControl w:val="false"/>
              <w:numPr>
                <w:ilvl w:val="0"/>
                <w:numId w:val="3"/>
              </w:numPr>
              <w:suppressLineNumbers/>
              <w:tabs>
                <w:tab w:val="clear" w:pos="708"/>
                <w:tab w:val="left" w:pos="0" w:leader="none"/>
                <w:tab w:val="left" w:pos="287" w:leader="none"/>
              </w:tabs>
              <w:jc w:val="both"/>
              <w:textAlignment w:val="baseline"/>
              <w:rPr/>
            </w:pPr>
            <w:r>
              <w:rPr/>
              <w:t xml:space="preserve"> </w:t>
            </w:r>
            <w:r>
              <w:rPr/>
              <w:t xml:space="preserve">min. jeden fotel dla personelu medycznego, obrotowy w zakresie kąta 90 stopni (umożliwiający jazdę przodem do kierunku jazdy jak </w:t>
              <w:br/>
              <w:t>i wykonywanie czynności medycznych przy pacjencie na postoju), wyposażony w dwa podłokietniki, zintegrowane 3 – punktowe bezwładnościowe pasy bezpieczeństwa, regulowany kąt oparcia pod plecami, zagłówek, składane do pionu siedzisko.</w:t>
            </w:r>
          </w:p>
          <w:p>
            <w:pPr>
              <w:pStyle w:val="Normal"/>
              <w:widowControl w:val="false"/>
              <w:numPr>
                <w:ilvl w:val="0"/>
                <w:numId w:val="3"/>
              </w:numPr>
              <w:suppressLineNumbers/>
              <w:tabs>
                <w:tab w:val="clear" w:pos="708"/>
                <w:tab w:val="left" w:pos="0" w:leader="none"/>
                <w:tab w:val="left" w:pos="287" w:leader="none"/>
              </w:tabs>
              <w:jc w:val="both"/>
              <w:textAlignment w:val="baseline"/>
              <w:rPr/>
            </w:pPr>
            <w:r>
              <w:rPr/>
              <w:t xml:space="preserve">uchwyt na butlę tlenową o min. pojemności 400l przy ciśnieniu </w:t>
              <w:br/>
              <w:t>150 at.</w:t>
            </w:r>
          </w:p>
          <w:p>
            <w:pPr>
              <w:pStyle w:val="Normal"/>
              <w:widowControl w:val="false"/>
              <w:numPr>
                <w:ilvl w:val="0"/>
                <w:numId w:val="3"/>
              </w:numPr>
              <w:suppressLineNumbers/>
              <w:tabs>
                <w:tab w:val="clear" w:pos="708"/>
                <w:tab w:val="left" w:pos="287" w:leader="none"/>
              </w:tabs>
              <w:jc w:val="both"/>
              <w:textAlignment w:val="baseline"/>
              <w:rPr/>
            </w:pPr>
            <w:r>
              <w:rPr/>
              <w:t xml:space="preserve">uchwyty ułatwiające wsiadanie; przy drzwiach bocznych i drzwiach       </w:t>
              <w:br/>
              <w:t xml:space="preserve">      tylnych,</w:t>
            </w:r>
          </w:p>
          <w:p>
            <w:pPr>
              <w:pStyle w:val="Normal"/>
              <w:widowControl w:val="false"/>
              <w:numPr>
                <w:ilvl w:val="0"/>
                <w:numId w:val="3"/>
              </w:numPr>
              <w:suppressLineNumbers/>
              <w:tabs>
                <w:tab w:val="clear" w:pos="708"/>
                <w:tab w:val="left" w:pos="0" w:leader="none"/>
                <w:tab w:val="left" w:pos="287" w:leader="none"/>
              </w:tabs>
              <w:jc w:val="both"/>
              <w:textAlignment w:val="baseline"/>
              <w:rPr/>
            </w:pPr>
            <w:r>
              <w:rPr/>
              <w:t>przy drzwiach tylnych zamontowany panel sterujący oświetleniem roboczym po bokach i z tyłu ambulansu oraz oświetleniem przedziału medycznego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jc w:val="both"/>
              <w:textAlignment w:val="baseline"/>
              <w:rPr/>
            </w:pPr>
            <w:r>
              <w:rPr>
                <w:rFonts w:eastAsia="SimSun"/>
                <w:lang w:eastAsia="fa-IR" w:bidi="fa-IR"/>
              </w:rPr>
              <w:t xml:space="preserve">3/ Na prawej ścianie przy fotelu zamontowany uchwyt (uchylny/otwierany) na drugi plecak ratunkowy umożliwiający korzystanie z zawartości plecaka po jego otwarciu przez osobę siedzącą na fotelu. Uchwyt w pozycji zamkniętej jako system podtrzymujący wyposażenie w przedziale medycznym odpowiada wymogom: normy PN EN 1789 w zakresie pkt. 4.5.8 i 5.3. </w:t>
            </w:r>
            <w:r>
              <w:rPr>
                <w:rFonts w:eastAsia="SimSun"/>
                <w:i/>
                <w:lang w:eastAsia="fa-IR" w:bidi="fa-IR"/>
              </w:rPr>
              <w:t>lub normy równoważnej</w:t>
            </w:r>
            <w:r>
              <w:rPr>
                <w:rFonts w:eastAsia="SimSun"/>
                <w:lang w:eastAsia="fa-IR" w:bidi="fa-IR"/>
              </w:rPr>
              <w:t xml:space="preserve"> oraz jest elementem cało pojazdowej homologacji oferowanej marki i modelu ambulansu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ind w:hanging="709" w:start="709"/>
              <w:jc w:val="center"/>
              <w:textAlignment w:val="baseline"/>
              <w:rPr/>
            </w:pPr>
            <w:r>
              <w:rPr>
                <w:rFonts w:eastAsia="SimSun"/>
                <w:lang w:eastAsia="fa-IR" w:bidi="fa-IR"/>
              </w:rPr>
              <w:t>Tak</w:t>
            </w:r>
          </w:p>
          <w:p>
            <w:pPr>
              <w:pStyle w:val="Normal"/>
              <w:widowControl w:val="false"/>
              <w:ind w:hanging="709" w:start="709"/>
              <w:jc w:val="center"/>
              <w:textAlignment w:val="baseline"/>
              <w:rPr>
                <w:rFonts w:eastAsia="SimSun"/>
                <w:lang w:eastAsia="fa-IR" w:bidi="fa-IR"/>
              </w:rPr>
            </w:pPr>
            <w:r>
              <w:rPr>
                <w:rFonts w:eastAsia="SimSun"/>
                <w:lang w:eastAsia="fa-IR" w:bidi="fa-I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widowControl w:val="false"/>
              <w:snapToGrid w:val="false"/>
              <w:ind w:hanging="709" w:start="709"/>
              <w:jc w:val="both"/>
              <w:textAlignment w:val="baseline"/>
              <w:rPr>
                <w:rFonts w:eastAsia="SimSun"/>
              </w:rPr>
            </w:pPr>
            <w:r>
              <w:rPr>
                <w:rFonts w:eastAsia="SimSun"/>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885" w:leader="none"/>
              </w:tabs>
              <w:snapToGrid w:val="false"/>
              <w:jc w:val="both"/>
              <w:textAlignment w:val="baseline"/>
              <w:rPr>
                <w:rFonts w:ascii="Calibri" w:hAnsi="Calibri" w:eastAsia="Calibri"/>
              </w:rPr>
            </w:pPr>
            <w:r>
              <w:rPr/>
              <w:t xml:space="preserve">4/ Zabudowa specjalna na ścianie lewej (dopuszcza się zabudowę równoważną </w:t>
              <w:br/>
              <w:t xml:space="preserve">z opisaną funkcjonalnością pod warunkiem wykazania tej równoważności przez Wykonawcę – </w:t>
            </w:r>
            <w:r>
              <w:rPr>
                <w:i/>
              </w:rPr>
              <w:t>załączyć do oferty schemat zabudowy ściany działowej potwierdzony przez jednostkę badawczą</w:t>
            </w:r>
            <w:r>
              <w:rPr/>
              <w:t>):</w:t>
            </w:r>
          </w:p>
          <w:p>
            <w:pPr>
              <w:pStyle w:val="Normal"/>
              <w:widowControl w:val="false"/>
              <w:numPr>
                <w:ilvl w:val="0"/>
                <w:numId w:val="4"/>
              </w:numPr>
              <w:tabs>
                <w:tab w:val="clear" w:pos="708"/>
                <w:tab w:val="left" w:pos="0" w:leader="none"/>
                <w:tab w:val="left" w:pos="287" w:leader="none"/>
              </w:tabs>
              <w:jc w:val="both"/>
              <w:textAlignment w:val="baseline"/>
              <w:rPr/>
            </w:pPr>
            <w:r>
              <w:rPr/>
              <w:t xml:space="preserve"> </w:t>
            </w:r>
            <w:r>
              <w:rPr/>
              <w:t xml:space="preserve">min. trzy podsufitowe szafki z przezroczystymi frontami otwieranymi do góry i podświetleniem uruchamianym automatycznie po ich otwarciu, wyposażonymi w cokoły zabezpieczające przed wypadnięciem przewożonych tam przedmiotów oraz przegrody do segregacji przewożonego tam wyposażenia, </w:t>
            </w:r>
          </w:p>
          <w:p>
            <w:pPr>
              <w:pStyle w:val="Normal"/>
              <w:widowControl w:val="false"/>
              <w:numPr>
                <w:ilvl w:val="0"/>
                <w:numId w:val="4"/>
              </w:numPr>
              <w:suppressLineNumbers/>
              <w:tabs>
                <w:tab w:val="clear" w:pos="708"/>
                <w:tab w:val="left" w:pos="0" w:leader="none"/>
              </w:tabs>
              <w:jc w:val="both"/>
              <w:textAlignment w:val="baseline"/>
              <w:rPr/>
            </w:pPr>
            <w:r>
              <w:rPr/>
              <w:t>pod szafkami panel z gniazdami tlenowymi (min. 2 szt.) i gniazdami 12V (min. 3 szt.),</w:t>
            </w:r>
          </w:p>
          <w:p>
            <w:pPr>
              <w:pStyle w:val="Normal"/>
              <w:widowControl w:val="false"/>
              <w:numPr>
                <w:ilvl w:val="0"/>
                <w:numId w:val="4"/>
              </w:numPr>
              <w:suppressLineNumbers/>
              <w:tabs>
                <w:tab w:val="clear" w:pos="708"/>
                <w:tab w:val="left" w:pos="0" w:leader="none"/>
              </w:tabs>
              <w:jc w:val="both"/>
              <w:textAlignment w:val="baseline"/>
              <w:rPr/>
            </w:pPr>
            <w:r>
              <w:rPr/>
              <w:t xml:space="preserve">system min. dwóch paneli służących do zamocowania sprzętu medycznego (defibrylator, respirator, pompa infuzyjna dwustrzykawkowa). System przesuwu musi odbywać się w każdym momencie eksploatacji . </w:t>
            </w:r>
          </w:p>
          <w:p>
            <w:pPr>
              <w:pStyle w:val="Normal"/>
              <w:widowControl w:val="false"/>
              <w:numPr>
                <w:ilvl w:val="0"/>
                <w:numId w:val="4"/>
              </w:numPr>
              <w:suppressLineNumbers/>
              <w:tabs>
                <w:tab w:val="clear" w:pos="708"/>
                <w:tab w:val="left" w:pos="0" w:leader="none"/>
                <w:tab w:val="left" w:pos="287" w:leader="none"/>
              </w:tabs>
              <w:jc w:val="both"/>
              <w:textAlignment w:val="baseline"/>
              <w:rPr/>
            </w:pPr>
            <w:r>
              <w:rPr/>
              <w:t xml:space="preserve">szafa z pojemnikami i szufladami do uporządkowanego transportu </w:t>
            </w:r>
          </w:p>
          <w:p>
            <w:pPr>
              <w:pStyle w:val="Normal"/>
              <w:widowControl w:val="false"/>
              <w:numPr>
                <w:ilvl w:val="0"/>
                <w:numId w:val="0"/>
              </w:numPr>
              <w:suppressLineNumbers/>
              <w:tabs>
                <w:tab w:val="clear" w:pos="708"/>
                <w:tab w:val="left" w:pos="0" w:leader="none"/>
                <w:tab w:val="left" w:pos="287" w:leader="none"/>
              </w:tabs>
              <w:ind w:hanging="0" w:start="720"/>
              <w:jc w:val="both"/>
              <w:textAlignment w:val="baseline"/>
              <w:rPr/>
            </w:pPr>
            <w:r>
              <w:rPr/>
              <w:t xml:space="preserve">i segregacji leków, miejscem na torbę ratunkową, miejscem zamontowania ssaka elektrycznego i gniazdem 12V, zamykana roletą, </w:t>
              <w:br/>
              <w:t>u dołu szafki kosz na odpady medyczne,</w:t>
            </w:r>
          </w:p>
          <w:p>
            <w:pPr>
              <w:pStyle w:val="Normal"/>
              <w:widowControl w:val="false"/>
              <w:numPr>
                <w:ilvl w:val="0"/>
                <w:numId w:val="4"/>
              </w:numPr>
              <w:suppressLineNumbers/>
              <w:tabs>
                <w:tab w:val="clear" w:pos="708"/>
                <w:tab w:val="left" w:pos="0" w:leader="none"/>
              </w:tabs>
              <w:jc w:val="both"/>
              <w:textAlignment w:val="baseline"/>
              <w:rPr/>
            </w:pPr>
            <w:r>
              <w:rPr/>
              <w:t>nad szafką duży płaski panel informacyjny umożliwiający umieszczenie materiałów informacyjnych dotyczących; procedur medycznych, dawkowania leków,  procedur dezynfekcji przedziału medycznego i jego wyposażenia posiadający funkcję tablicy suchościeralnej w celu zapisywania na bieżąco pozyskiwanych podczas akcji ratunkowej informacji o pacjencie,</w:t>
            </w:r>
          </w:p>
          <w:p>
            <w:pPr>
              <w:pStyle w:val="Normal"/>
              <w:widowControl w:val="false"/>
              <w:numPr>
                <w:ilvl w:val="0"/>
                <w:numId w:val="4"/>
              </w:numPr>
              <w:suppressLineNumbers/>
              <w:tabs>
                <w:tab w:val="clear" w:pos="708"/>
                <w:tab w:val="left" w:pos="0" w:leader="none"/>
                <w:tab w:val="left" w:pos="287" w:leader="none"/>
              </w:tabs>
              <w:jc w:val="both"/>
              <w:textAlignment w:val="baseline"/>
              <w:rPr/>
            </w:pPr>
            <w:r>
              <w:rPr/>
              <w:t xml:space="preserve">mocowanie urządzenia do masażu klatki piersiowej o masie do 12 kg zgodne z PN EN 1789 </w:t>
            </w:r>
            <w:r>
              <w:rPr>
                <w:i/>
              </w:rPr>
              <w:t xml:space="preserve">lub równoważną </w:t>
            </w:r>
            <w:r>
              <w:rPr>
                <w:iCs/>
              </w:rPr>
              <w:t>na lewej ścianie</w:t>
            </w:r>
          </w:p>
          <w:p>
            <w:pPr>
              <w:pStyle w:val="Normal"/>
              <w:widowControl w:val="false"/>
              <w:numPr>
                <w:ilvl w:val="0"/>
                <w:numId w:val="4"/>
              </w:numPr>
              <w:suppressLineNumbers/>
              <w:tabs>
                <w:tab w:val="clear" w:pos="708"/>
                <w:tab w:val="left" w:pos="0" w:leader="none"/>
                <w:tab w:val="left" w:pos="287" w:leader="none"/>
              </w:tabs>
              <w:jc w:val="both"/>
              <w:textAlignment w:val="baseline"/>
              <w:rPr/>
            </w:pPr>
            <w:r>
              <w:rPr/>
              <w:t>lodówka sprężarkowa o poj. ok  7 l do transportu leków z możliwością chłodzenia do +4 ºC (+/- 1,5 ºC) z możliwością płynnej regulacji parametrów termicznych i wyświetlaczem aktualnie utrzymanej temperatury, z łatwym dostępem poprzez drzwi wykonane ze stali nierdzewnej otwierane o kąt 180 stopni.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993" w:leader="none"/>
              </w:tabs>
              <w:snapToGrid w:val="false"/>
              <w:jc w:val="both"/>
              <w:textAlignment w:val="baseline"/>
              <w:rPr>
                <w:rFonts w:ascii="Calibri" w:hAnsi="Calibri" w:eastAsia="Calibri"/>
              </w:rPr>
            </w:pPr>
            <w:r>
              <w:rPr/>
              <w:t xml:space="preserve">Uchwyt do kroplówki na min. 3 szt. mocowane w suficie, uchwyt do pompy infuzyjnej Ascor AP14 zgodny z PN EN 1789 </w:t>
            </w:r>
            <w:r>
              <w:rPr>
                <w:i/>
              </w:rPr>
              <w:t>lub normą równoważną.</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993" w:leader="none"/>
              </w:tabs>
              <w:snapToGrid w:val="false"/>
              <w:ind w:hanging="0" w:end="141"/>
              <w:jc w:val="both"/>
              <w:textAlignment w:val="baseline"/>
              <w:rPr/>
            </w:pPr>
            <w:r>
              <w:rPr/>
              <w:t>Zabezpieczenie wszystkich urządzeń oraz elementów wyposażenia przed przemieszczaniem się w czasie jazdy, gwarantujące jednocześnie łatwość dostępu i użycia.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tabs>
                <w:tab w:val="clear" w:pos="708"/>
                <w:tab w:val="left" w:pos="993" w:leader="none"/>
              </w:tabs>
              <w:snapToGrid w:val="false"/>
              <w:ind w:hanging="0" w:end="141"/>
              <w:jc w:val="both"/>
              <w:textAlignment w:val="baseline"/>
              <w:rPr/>
            </w:pPr>
            <w:r>
              <w:rPr/>
              <w:t>Centralna instalacja tlenowa:</w:t>
            </w:r>
          </w:p>
          <w:p>
            <w:pPr>
              <w:pStyle w:val="Normal"/>
              <w:tabs>
                <w:tab w:val="clear" w:pos="708"/>
                <w:tab w:val="left" w:pos="2128" w:leader="none"/>
              </w:tabs>
              <w:ind w:hanging="227" w:start="227" w:end="141"/>
              <w:jc w:val="both"/>
              <w:textAlignment w:val="baseline"/>
              <w:rPr>
                <w:rFonts w:ascii="Calibri" w:hAnsi="Calibri" w:eastAsia="Calibri"/>
              </w:rPr>
            </w:pPr>
            <w:r>
              <w:rPr/>
              <w:t xml:space="preserve">a)  z zamontowanym na ścianie lewej panelem z min. 2 punktami poboru typu AGA (oddzielne gniazda pojedyncze), </w:t>
            </w:r>
            <w:r>
              <w:rPr>
                <w:b/>
                <w:bCs/>
                <w:color w:val="FF0000"/>
              </w:rPr>
              <w:t xml:space="preserve"> </w:t>
            </w:r>
          </w:p>
          <w:p>
            <w:pPr>
              <w:pStyle w:val="Normal"/>
              <w:tabs>
                <w:tab w:val="clear" w:pos="708"/>
                <w:tab w:val="left" w:pos="2128" w:leader="none"/>
              </w:tabs>
              <w:ind w:hanging="227" w:start="227" w:end="141"/>
              <w:jc w:val="both"/>
              <w:textAlignment w:val="baseline"/>
              <w:rPr/>
            </w:pPr>
            <w:r>
              <w:rPr/>
              <w:t>b) sufitowy punkt poboru tlenu zamontowany w specjalnej wnęce przystosowanej do montażu respiratora, z regulacją przepływu tlenu  przez przepływomierz ścienny zamontowany obok przedniego fotela na ścianie prawej przedziału medycznego;</w:t>
            </w:r>
          </w:p>
          <w:p>
            <w:pPr>
              <w:pStyle w:val="Normal"/>
              <w:tabs>
                <w:tab w:val="clear" w:pos="708"/>
                <w:tab w:val="left" w:pos="2128" w:leader="none"/>
              </w:tabs>
              <w:ind w:hanging="227" w:start="227" w:end="141"/>
              <w:jc w:val="both"/>
              <w:textAlignment w:val="baseline"/>
              <w:rPr/>
            </w:pPr>
            <w:r>
              <w:rPr/>
              <w:t xml:space="preserve"> </w:t>
            </w:r>
            <w:r>
              <w:rPr/>
              <w:t xml:space="preserve">c) 2 szt. butli tlenowych 10 litrowych w zewnętrznym schowku, 2 szt. reduktorów wyposażonych w manometry, manometry reduktorów zabezpieczone przed uszkodzeniami mechanicznymi, </w:t>
            </w:r>
          </w:p>
          <w:p>
            <w:pPr>
              <w:pStyle w:val="Normal"/>
              <w:tabs>
                <w:tab w:val="clear" w:pos="708"/>
                <w:tab w:val="left" w:pos="2128" w:leader="none"/>
              </w:tabs>
              <w:ind w:hanging="227" w:start="227" w:end="141"/>
              <w:jc w:val="both"/>
              <w:textAlignment w:val="baseline"/>
              <w:rPr/>
            </w:pPr>
            <w:r>
              <w:rPr/>
              <w:t>d) konstrukcja zapewniająca możliwość swobodnego dostępu z wnętrza ambulansu  do zaworów butli tlenowych oraz obserwacji manometrów reduktorów tlenowych bez potrzeby zdejmowania osłony.</w:t>
            </w:r>
          </w:p>
          <w:p>
            <w:pPr>
              <w:pStyle w:val="Normal"/>
              <w:tabs>
                <w:tab w:val="clear" w:pos="708"/>
                <w:tab w:val="left" w:pos="2128" w:leader="none"/>
              </w:tabs>
              <w:ind w:hanging="227" w:start="227" w:end="141"/>
              <w:jc w:val="both"/>
              <w:textAlignment w:val="baseline"/>
              <w:rPr/>
            </w:pPr>
            <w:r>
              <w:rPr/>
              <w:t xml:space="preserve">e) uchwyt na butle tlenową 2,7 l. w tylnej części zabudowy medycznej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bCs/>
                <w:color w:val="FF0000"/>
                <w:shd w:fill="FFFF00" w:val="clear"/>
              </w:rPr>
            </w:pPr>
            <w:r>
              <w:rPr>
                <w:b/>
                <w:bCs/>
                <w:color w:val="FF0000"/>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Uchwyty ścienne i sufitowe dla personelu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7</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Dedykowana laweta pod nosze z przesuwem bocznym.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Instalacja do podłączenia modułu GPS Teltonica FMC640 w systemie SWD PRM</w:t>
            </w:r>
          </w:p>
          <w:p>
            <w:pPr>
              <w:pStyle w:val="Normal"/>
              <w:textAlignment w:val="baseline"/>
              <w:rPr/>
            </w:pPr>
            <w:r>
              <w:rPr/>
              <w:t xml:space="preserve">- antena GPS 1575 MHz o wzmocnieniu pow. 25 dbi wraz z okablowaniem o długości min. 6 mb zakończonych wtykiem kablowym SMA </w:t>
            </w:r>
          </w:p>
          <w:p>
            <w:pPr>
              <w:pStyle w:val="Normal"/>
              <w:textAlignment w:val="baseline"/>
              <w:rPr/>
            </w:pPr>
            <w:r>
              <w:rPr/>
              <w:t xml:space="preserve">- antena GSM w paśmie GPRS, GSM, LTE o wzmocnieniu 5 dbi </w:t>
              <w:br/>
              <w:t xml:space="preserve">  i długości kabla min. 6 mb zakończonych wtykiem SMA</w:t>
            </w:r>
          </w:p>
          <w:p>
            <w:pPr>
              <w:pStyle w:val="Normal"/>
              <w:suppressLineNumbers/>
              <w:jc w:val="both"/>
              <w:textAlignment w:val="baseline"/>
              <w:rPr/>
            </w:pPr>
            <w:r>
              <w:rPr/>
              <w:t>- przyłącze elektryczne do modułu GPS Teltonica FMC640</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9</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Standard"/>
              <w:snapToGrid w:val="false"/>
              <w:spacing w:before="0" w:after="200"/>
              <w:textAlignment w:val="baseline"/>
              <w:rPr>
                <w:rFonts w:cs="Times New Roman"/>
                <w:sz w:val="22"/>
                <w:szCs w:val="22"/>
              </w:rPr>
            </w:pPr>
            <w:r>
              <w:rPr>
                <w:rFonts w:cs="Times New Roman" w:ascii="Times New Roman" w:hAnsi="Times New Roman"/>
                <w:sz w:val="20"/>
                <w:szCs w:val="20"/>
              </w:rPr>
              <w:t>Kabina kierowcy wyposażona w instalację elektryczną dla dwóch</w:t>
            </w:r>
            <w:r>
              <w:rPr>
                <w:rFonts w:cs="Times New Roman"/>
                <w:sz w:val="20"/>
                <w:szCs w:val="20"/>
              </w:rPr>
              <w:t xml:space="preserve"> </w:t>
            </w:r>
            <w:r>
              <w:rPr>
                <w:rFonts w:cs="Times New Roman"/>
                <w:sz w:val="22"/>
                <w:szCs w:val="22"/>
              </w:rPr>
              <w:t>r</w:t>
            </w:r>
            <w:r>
              <w:rPr>
                <w:rFonts w:cs="Times New Roman" w:ascii="Times New Roman" w:hAnsi="Times New Roman"/>
                <w:sz w:val="20"/>
                <w:szCs w:val="20"/>
              </w:rPr>
              <w:t>adiotelefonów (stacjonarnego i przenośnego) wraz z radiotelefonami</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10</w:t>
            </w:r>
          </w:p>
        </w:tc>
        <w:tc>
          <w:tcPr>
            <w:tcW w:w="6648"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Wmontowana dachowa krótka antena radiotelefonu o parametrach:</w:t>
            </w:r>
          </w:p>
          <w:p>
            <w:pPr>
              <w:pStyle w:val="Normal"/>
              <w:snapToGrid w:val="false"/>
              <w:textAlignment w:val="baseline"/>
              <w:rPr/>
            </w:pPr>
            <w:r>
              <w:rPr/>
              <w:t>a) zakres częstotliwości 168-170 Mhz</w:t>
            </w:r>
          </w:p>
          <w:p>
            <w:pPr>
              <w:pStyle w:val="Normal"/>
              <w:snapToGrid w:val="false"/>
              <w:textAlignment w:val="baseline"/>
              <w:rPr/>
            </w:pPr>
            <w:r>
              <w:rPr/>
              <w:t>b) impedancja wejścia 50 Ohm</w:t>
            </w:r>
          </w:p>
          <w:p>
            <w:pPr>
              <w:pStyle w:val="Normal"/>
              <w:snapToGrid w:val="false"/>
              <w:textAlignment w:val="baseline"/>
              <w:rPr/>
            </w:pPr>
            <w:r>
              <w:rPr/>
              <w:t>c)  współczynnik fali stojącej 1,6</w:t>
            </w:r>
          </w:p>
          <w:p>
            <w:pPr>
              <w:pStyle w:val="Normal"/>
              <w:snapToGrid w:val="false"/>
              <w:textAlignment w:val="baseline"/>
              <w:rPr/>
            </w:pPr>
            <w:r>
              <w:rPr/>
              <w:t>d) charakterystyka  promieniowania dookólna</w:t>
            </w:r>
          </w:p>
          <w:p>
            <w:pPr>
              <w:pStyle w:val="Normal"/>
              <w:snapToGrid w:val="false"/>
              <w:textAlignment w:val="baseline"/>
              <w:rPr/>
            </w:pPr>
            <w:r>
              <w:rPr/>
            </w:r>
          </w:p>
          <w:p>
            <w:pPr>
              <w:pStyle w:val="Normal"/>
              <w:jc w:val="center"/>
              <w:rPr/>
            </w:pPr>
            <w:r>
              <w:rPr/>
              <w:t>AMBULANS ŁĄCZNOŚĆ RADIOWA</w:t>
            </w:r>
          </w:p>
          <w:p>
            <w:pPr>
              <w:pStyle w:val="Normal"/>
              <w:jc w:val="center"/>
              <w:rPr/>
            </w:pPr>
            <w:r>
              <w:rPr/>
            </w:r>
          </w:p>
          <w:p>
            <w:pPr>
              <w:pStyle w:val="Normal"/>
              <w:rPr/>
            </w:pPr>
            <w:r>
              <w:rPr/>
              <w:t>W ambulansie powinny być zainstalowane 2 sztuki radiotelefonów VHF radiotelefon przewoźny oraz przenośny wraz zainstalowanymi niezbędnymi antenami.</w:t>
            </w:r>
          </w:p>
          <w:p>
            <w:pPr>
              <w:pStyle w:val="Normal"/>
              <w:rPr/>
            </w:pPr>
            <w:r>
              <w:rPr/>
            </w:r>
          </w:p>
          <w:p>
            <w:pPr>
              <w:pStyle w:val="Normal"/>
              <w:rPr/>
            </w:pPr>
            <w:r>
              <w:rPr/>
              <w:t>RADIOTELEFON PRZEWOŹNY : zakres pracy VHF 136-174Mhz, możliwość pracy analogowej z modulacją 12K0F3E oraz cyfrowej w standardzie DMR a w nim samo przełączania się (roamingowania) pomiędzy stacjami przekaźnikowymi, powinien posiadać możliwość pozycjonowania GPS wbudowanego w radiotelefonie oraz  poprzez dołączoną bezpośrednio do niego antenę tego systemu, moc nadajnika regulowana 1-25W</w:t>
            </w:r>
          </w:p>
          <w:p>
            <w:pPr>
              <w:pStyle w:val="Normal"/>
              <w:rPr/>
            </w:pPr>
            <w:r>
              <w:rPr/>
              <w:t>- zamontowany na stałe, podłączony do instalacji elektrycznej pojazdu 12V</w:t>
            </w:r>
          </w:p>
          <w:p>
            <w:pPr>
              <w:pStyle w:val="Normal"/>
              <w:rPr/>
            </w:pPr>
            <w:r>
              <w:rPr/>
              <w:t xml:space="preserve">- dołączonymi do niego dwoma antenami. Antena VHF zamontowana na dachu pojazdu, zestrojona do częstotliwości 168.900Mhz charakterystyka promieniowania dookólna, polaryzacja pionowa impedancja 50 Ohm. Antena systemu GPS zamontowana na dachu pojazdu współpracująca bezpośrednio z zamontowanym radiotelefonem. </w:t>
            </w:r>
          </w:p>
          <w:p>
            <w:pPr>
              <w:pStyle w:val="Normal"/>
              <w:rPr/>
            </w:pPr>
            <w:r>
              <w:rPr/>
            </w:r>
          </w:p>
          <w:p>
            <w:pPr>
              <w:pStyle w:val="Normal"/>
              <w:rPr/>
            </w:pPr>
            <w:r>
              <w:rPr/>
              <w:t>RADIOTELEFON PRZENOŚNY : zakres pracy VHF 136-174Mhz, do radiotelefonu podłączona fabryczna antena, możliwość pracy analogowej z modulacją 12K0F3E oraz cyfrowej w standardzie DMR. Moc nadajnika regulowana 1-5W</w:t>
            </w:r>
          </w:p>
          <w:p>
            <w:pPr>
              <w:pStyle w:val="Normal"/>
              <w:rPr/>
            </w:pPr>
            <w:r>
              <w:rPr/>
            </w:r>
          </w:p>
          <w:p>
            <w:pPr>
              <w:pStyle w:val="Normal"/>
              <w:rPr/>
            </w:pPr>
            <w:r>
              <w:rPr/>
              <w:t>-do radiotelefonu w kabinie kierowcy powinna być zamontowana na stałe ładowarka podłączona do instalacji elektrycznej pojazdu 12V</w:t>
            </w:r>
          </w:p>
          <w:p>
            <w:pPr>
              <w:pStyle w:val="Normal"/>
              <w:rPr/>
            </w:pPr>
            <w:r>
              <w:rPr/>
              <w:t>Do wszystkich wymienionych wyżej środków powinny być dołączone przez producenta opakowania, instrukcje, opisy techniczne oraz aktualne deklaracje zgodności.</w:t>
            </w:r>
          </w:p>
          <w:p>
            <w:pPr>
              <w:pStyle w:val="Normal"/>
              <w:rPr/>
            </w:pPr>
            <w:r>
              <w:rPr/>
            </w:r>
          </w:p>
          <w:p>
            <w:pPr>
              <w:pStyle w:val="Normal"/>
              <w:rPr/>
            </w:pPr>
            <w:r>
              <w:rPr/>
              <w:t>W ambulansie oddanym do użytku radiotelefony powinny być zaprogramowane według poniższej tabeli:</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16"/>
                <w:szCs w:val="16"/>
              </w:rPr>
            </w:pPr>
            <w:r>
              <w:rPr>
                <w:sz w:val="16"/>
                <w:szCs w:val="16"/>
              </w:rPr>
            </w:r>
          </w:p>
          <w:tbl>
            <w:tblPr>
              <w:tblW w:w="6007" w:type="dxa"/>
              <w:jc w:val="start"/>
              <w:tblInd w:w="123" w:type="dxa"/>
              <w:tblLayout w:type="fixed"/>
              <w:tblCellMar>
                <w:top w:w="0" w:type="dxa"/>
                <w:start w:w="78" w:type="dxa"/>
                <w:bottom w:w="0" w:type="dxa"/>
                <w:end w:w="108" w:type="dxa"/>
              </w:tblCellMar>
            </w:tblPr>
            <w:tblGrid>
              <w:gridCol w:w="624"/>
              <w:gridCol w:w="1190"/>
              <w:gridCol w:w="1244"/>
              <w:gridCol w:w="794"/>
              <w:gridCol w:w="1311"/>
              <w:gridCol w:w="844"/>
            </w:tblGrid>
            <w:tr>
              <w:trPr>
                <w:trHeight w:val="700" w:hRule="atLeast"/>
              </w:trPr>
              <w:tc>
                <w:tcPr>
                  <w:tcW w:w="624"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Nr kanał</w:t>
                  </w:r>
                </w:p>
              </w:tc>
              <w:tc>
                <w:tcPr>
                  <w:tcW w:w="1190"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Nazwa kanału</w:t>
                  </w:r>
                </w:p>
              </w:tc>
              <w:tc>
                <w:tcPr>
                  <w:tcW w:w="1244"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Częstotliwość Rx MHz</w:t>
                  </w:r>
                </w:p>
              </w:tc>
              <w:tc>
                <w:tcPr>
                  <w:tcW w:w="794"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CTCSS Rx</w:t>
                  </w:r>
                </w:p>
              </w:tc>
              <w:tc>
                <w:tcPr>
                  <w:tcW w:w="1311"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Częstotliwość Tx MHz</w:t>
                  </w:r>
                </w:p>
              </w:tc>
              <w:tc>
                <w:tcPr>
                  <w:tcW w:w="844"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40" w:before="0" w:after="0"/>
                    <w:jc w:val="center"/>
                    <w:rPr>
                      <w:rFonts w:ascii="Arial" w:hAnsi="Arial" w:cs="Arial"/>
                      <w:sz w:val="16"/>
                      <w:szCs w:val="16"/>
                    </w:rPr>
                  </w:pPr>
                  <w:r>
                    <w:rPr>
                      <w:rFonts w:cs="Arial"/>
                      <w:sz w:val="18"/>
                      <w:szCs w:val="18"/>
                    </w:rPr>
                    <w:t>CTCSS Tx HZ</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1</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168.550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168.550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2</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2</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168.600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168.600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3</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3</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168.6125</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168.6125</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4</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4</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168.6375</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168.6375</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5</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5</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168.6875</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168.6875</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6</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6</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168.700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168.700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7</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7</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168.7125</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168.7125</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8</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8</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168.800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168.800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9</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Szpital Kłodzko 9</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169.100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169.100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10</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Ogólnopolski</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169.000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186.2</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169.000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186.2</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11</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Ogólnopolski rezerwa</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168.5625</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110.9</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168.5625</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110.9</w:t>
                  </w:r>
                </w:p>
              </w:tc>
            </w:tr>
            <w:tr>
              <w:trPr>
                <w:trHeight w:val="421" w:hRule="atLeast"/>
              </w:trPr>
              <w:tc>
                <w:tcPr>
                  <w:tcW w:w="62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12</w:t>
                  </w:r>
                </w:p>
              </w:tc>
              <w:tc>
                <w:tcPr>
                  <w:tcW w:w="119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rPr>
                      <w:rFonts w:ascii="Arial" w:hAnsi="Arial" w:cs="Arial"/>
                      <w:sz w:val="16"/>
                      <w:szCs w:val="16"/>
                    </w:rPr>
                  </w:pPr>
                  <w:r>
                    <w:rPr>
                      <w:rFonts w:cs="Arial"/>
                      <w:sz w:val="18"/>
                      <w:szCs w:val="18"/>
                    </w:rPr>
                    <w:t>B112</w:t>
                  </w:r>
                </w:p>
              </w:tc>
              <w:tc>
                <w:tcPr>
                  <w:tcW w:w="12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8" w:end="0"/>
                    <w:rPr>
                      <w:rFonts w:ascii="Arial" w:hAnsi="Arial" w:cs="Arial"/>
                      <w:sz w:val="16"/>
                      <w:szCs w:val="16"/>
                    </w:rPr>
                  </w:pPr>
                  <w:r>
                    <w:rPr>
                      <w:rFonts w:cs="Arial"/>
                      <w:sz w:val="18"/>
                      <w:szCs w:val="18"/>
                    </w:rPr>
                    <w:t>164.650</w:t>
                  </w:r>
                </w:p>
              </w:tc>
              <w:tc>
                <w:tcPr>
                  <w:tcW w:w="79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c>
                <w:tcPr>
                  <w:tcW w:w="131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ind w:hanging="0" w:start="312" w:end="0"/>
                    <w:rPr>
                      <w:rFonts w:ascii="Arial" w:hAnsi="Arial" w:cs="Arial"/>
                      <w:sz w:val="16"/>
                      <w:szCs w:val="16"/>
                    </w:rPr>
                  </w:pPr>
                  <w:r>
                    <w:rPr>
                      <w:rFonts w:cs="Arial"/>
                      <w:sz w:val="18"/>
                      <w:szCs w:val="18"/>
                    </w:rPr>
                    <w:t>164.650</w:t>
                  </w:r>
                </w:p>
              </w:tc>
              <w:tc>
                <w:tcPr>
                  <w:tcW w:w="844"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40" w:before="0" w:after="0"/>
                    <w:jc w:val="center"/>
                    <w:rPr>
                      <w:rFonts w:ascii="Arial" w:hAnsi="Arial" w:cs="Arial"/>
                      <w:sz w:val="16"/>
                      <w:szCs w:val="16"/>
                    </w:rPr>
                  </w:pPr>
                  <w:r>
                    <w:rPr>
                      <w:rFonts w:cs="Arial"/>
                      <w:sz w:val="18"/>
                      <w:szCs w:val="18"/>
                    </w:rPr>
                    <w:t>-</w:t>
                  </w:r>
                </w:p>
              </w:tc>
            </w:tr>
          </w:tbl>
          <w:p>
            <w:pPr>
              <w:pStyle w:val="Normal"/>
              <w:rPr>
                <w:color w:val="000040"/>
                <w:sz w:val="20"/>
                <w:szCs w:val="20"/>
              </w:rPr>
            </w:pPr>
            <w:r>
              <w:rPr>
                <w:color w:val="000040"/>
                <w:sz w:val="20"/>
                <w:szCs w:val="20"/>
              </w:rPr>
            </w:r>
          </w:p>
          <w:p>
            <w:pPr>
              <w:pStyle w:val="Normal"/>
              <w:rPr>
                <w:color w:val="000040"/>
                <w:sz w:val="20"/>
                <w:szCs w:val="20"/>
              </w:rPr>
            </w:pPr>
            <w:r>
              <w:rPr>
                <w:color w:val="000040"/>
                <w:sz w:val="20"/>
                <w:szCs w:val="20"/>
              </w:rPr>
              <w:br/>
              <w:t>Radiotelefon Przewoźny – moc nadajnika ustawiona na 10W</w:t>
            </w:r>
          </w:p>
          <w:p>
            <w:pPr>
              <w:pStyle w:val="Normal"/>
              <w:widowControl/>
              <w:bidi w:val="0"/>
              <w:snapToGrid w:val="false"/>
              <w:spacing w:lineRule="auto" w:line="276" w:before="0" w:after="200"/>
              <w:jc w:val="start"/>
              <w:textAlignment w:val="baseline"/>
              <w:rPr/>
            </w:pPr>
            <w:r>
              <w:rPr>
                <w:color w:val="000040"/>
                <w:sz w:val="20"/>
                <w:szCs w:val="20"/>
              </w:rPr>
              <w:t>Radiotelefon przenośny – moc nadajnika ustawiona na 2W</w:t>
            </w:r>
          </w:p>
        </w:tc>
        <w:tc>
          <w:tcPr>
            <w:tcW w:w="2252"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vMerge w:val="restart"/>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6648"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r>
          </w:p>
        </w:tc>
        <w:tc>
          <w:tcPr>
            <w:tcW w:w="2252"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5507" w:type="dxa"/>
            <w:vMerge w:val="continue"/>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rPr>
              <w:t>XIII.</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rPr>
              <w:t>DODATKOWE WYPOSAŻENIE POJAZDU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t xml:space="preserve">           </w:t>
            </w: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Dodatkowa gaśnica w przedziale medycznym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Urządzenie do wybijania szyb w przedziale medycznym.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 xml:space="preserve">W kabinie kierowcy przenośny szperacz akumulatorowo sieciowy z możliwością ładowania w ambulansie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b/>
                <w:bCs/>
                <w:color w:val="FF0000"/>
                <w:shd w:fill="FFFF00" w:val="clear"/>
              </w:rPr>
            </w:pPr>
            <w:r>
              <w:rPr>
                <w:b/>
                <w:bCs/>
                <w:color w:val="FF0000"/>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Dwa trójkąty ostrzegawcze, komplet kluczy, podnośnik samochodowy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Komplet dywaników  gumowych w  kabinie kierowcy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Zbiornik paliwa w ambulansie przy odbiorze ma być napełniony powyżej stanu ,,rezerwy”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7</w:t>
            </w:r>
          </w:p>
          <w:p>
            <w:pPr>
              <w:pStyle w:val="Normal"/>
              <w:suppressLineNumbers/>
              <w:jc w:val="both"/>
              <w:textAlignment w:val="baseline"/>
              <w:rPr/>
            </w:pPr>
            <w:r>
              <w:rPr/>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Serwis zabudowy specjalnej (łącznie z wymaganymi okresowymi przeglądami zabudowy) sanitarnej realizowany w siedzibie Zamawiającego.</w:t>
            </w:r>
          </w:p>
          <w:p>
            <w:pPr>
              <w:pStyle w:val="Normal"/>
              <w:suppressLineNumbers/>
              <w:textAlignment w:val="baseline"/>
              <w:rPr/>
            </w:pPr>
            <w:r>
              <w:rPr/>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8</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Czujniki ciśnienia w oponach.</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9</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Intercom umożliwiający komunikację kabiny kierowcy z przedziałem medycznym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10</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Fabryczny system multimedialny z ekranem min. (10 cali) z możliwością obsługi z kierownicy ze zintegrowaną nawigacją. Integracja smartfona przy użyciu systemu Android Auto, Apple CarPlay lub interfejs Bluetooth z funkcją zestawu głośnomówiącego, umożliwiającą kierowcy rozmowę przez telefon podczas jazdy (objęty gwarancją pojazdu bazowego)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Pakiet parkowania z kamerą 360° z  asystentem parkowania do prędkości wynoszącej 10 km/h ostrzega wizualnie i dźwiękowo przed przeszkodami przed i za pojazdem(objęty gwarancją pojazdu bazowego)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p>
            <w:pPr>
              <w:pStyle w:val="Normal"/>
              <w:snapToGrid w:val="false"/>
              <w:jc w:val="center"/>
              <w:textAlignment w:val="baseline"/>
              <w:rPr/>
            </w:pPr>
            <w:r>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uppressLineNumbers/>
              <w:snapToGrid w:val="false"/>
              <w:textAlignment w:val="baseline"/>
              <w:rPr/>
            </w:pPr>
            <w:r>
              <w:rPr/>
              <w:t>Bezpieczny dla ludzi sposób dezaktywacji patogenów obecnych w pomieszczeniu. Urządzenie zamontowane na stałe powinno działać bezustannie również podczas transportu pacjenta przy obecności personelu medycznego. Możliwość ręcznego wyłączenia urządzenia. Technologia zastosowana w urządzeniu powinna zapewniać dezaktywację wirusów, bakterii, grzybów, pleśni i związków organicznych obecnych w powietrzu. Urządzenie powinno być skuteczne zarówno przeciwko kolifagowi MS-2 (surogat Norowirusa - jest to wirus bez otoczki), jak i wirusom z otoczką lipidową jak SARS-CoV-2. Urządzenie powinno być też skuteczne w dezaktywacji wirusa grypy, czy innych wirusów przenoszących się drogą kropelkową.</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Tak/Nie</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13.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tabs>
                <w:tab w:val="clear" w:pos="708"/>
                <w:tab w:val="left" w:pos="720" w:leader="none"/>
              </w:tabs>
              <w:snapToGrid w:val="false"/>
              <w:ind w:hanging="0" w:start="167" w:end="153"/>
              <w:jc w:val="both"/>
              <w:rPr/>
            </w:pPr>
            <w:r>
              <w:rPr>
                <w:rFonts w:cs="Verdana"/>
                <w:color w:val="000040"/>
                <w:sz w:val="20"/>
                <w:szCs w:val="20"/>
              </w:rPr>
              <w:t xml:space="preserve">Ambulans fabrycznie wyposażony w pełnowymiarowe koło zapasowe i dodatkowo komplet 4 kół  tej samej marki co zamontowane na osiach pojazdu. </w:t>
            </w:r>
            <w:r>
              <w:rPr>
                <w:rFonts w:cs="Verdana"/>
                <w:i/>
                <w:iCs/>
                <w:color w:val="000040"/>
                <w:sz w:val="20"/>
                <w:szCs w:val="20"/>
              </w:rPr>
              <w:t>W przypadku dostawy w sezonie letnim, dodatkowy komplet opon zimowych; w przypadku dostawy w sezonie zimowym dodatkowy zestaw opon letnich</w:t>
            </w:r>
          </w:p>
          <w:p>
            <w:pPr>
              <w:pStyle w:val="Normal"/>
              <w:widowControl w:val="false"/>
              <w:suppressLineNumbers/>
              <w:snapToGrid w:val="false"/>
              <w:ind w:hanging="0" w:start="167" w:end="153"/>
              <w:jc w:val="both"/>
              <w:textAlignment w:val="baseline"/>
              <w:rPr>
                <w:color w:val="000040"/>
                <w:sz w:val="20"/>
                <w:szCs w:val="20"/>
              </w:rPr>
            </w:pPr>
            <w:r>
              <w:rPr>
                <w:rFonts w:cs="Verdana"/>
                <w:iCs/>
                <w:color w:val="000040"/>
                <w:sz w:val="20"/>
                <w:szCs w:val="20"/>
              </w:rPr>
              <w:t>Ambulans wyposażony w fartuchy przeciwbłotne przednie i tylne (tzw. chlapacze).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Tak</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rPr>
              <w:t>XIV.</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jc w:val="center"/>
              <w:textAlignment w:val="baseline"/>
              <w:rPr>
                <w:b/>
              </w:rPr>
            </w:pPr>
            <w:r>
              <w:rPr>
                <w:b/>
                <w:color w:val="000040"/>
              </w:rPr>
              <w:t>GWARANCJA</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pPr>
            <w:r>
              <w:rPr/>
              <w:t xml:space="preserve">             </w:t>
            </w:r>
            <w:r>
              <w:rPr/>
              <w:t>-------------------------------------------</w:t>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color w:val="000040"/>
              </w:rPr>
            </w:pPr>
            <w:r>
              <w:rPr>
                <w:color w:val="000040"/>
              </w:rPr>
              <w:t>Gwarancja mechaniczna – min. 24 miesięcy bez limitu km</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 (określić ilość miesięcy)</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Gwarancja na powłoki lakiernicze ambulansu – min. 24 miesiące</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 (określić ilość miesięcy)</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3</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ind w:hanging="170" w:start="170"/>
              <w:textAlignment w:val="baseline"/>
              <w:rPr/>
            </w:pPr>
            <w:r>
              <w:rPr/>
              <w:t>Gwarancja na perforację – min. 120 miesięcy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 (określić ilość miesięcy)</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4.</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rFonts w:ascii="Calibri" w:hAnsi="Calibri" w:eastAsia="Calibri"/>
              </w:rPr>
            </w:pPr>
            <w:r>
              <w:rPr/>
              <w:t>Gwarancja na zabudowę medyczną</w:t>
            </w:r>
            <w:r>
              <w:rPr>
                <w:strike/>
              </w:rPr>
              <w:t xml:space="preserve"> </w:t>
            </w:r>
            <w:r>
              <w:rPr/>
              <w:t>– min. 36 miesięcy</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t>Tak (określić ilość miesięcy)</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5.</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Podać adres najbliższego serwisu pojazdu bazowego oferowanej marki ambulansu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6.</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pPr>
            <w:r>
              <w:rPr/>
              <w:t>Podać adres najbliższego serwisu zabudowy specjalnej oferowanego ambulansu.</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pPr>
            <w:r>
              <w:rPr/>
              <w:t>Podać</w:t>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bCs/>
              </w:rPr>
            </w:pPr>
            <w:r>
              <w:rPr>
                <w:b/>
                <w:bCs/>
              </w:rPr>
              <w:t>XV</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jc w:val="center"/>
              <w:textAlignment w:val="baseline"/>
              <w:rPr>
                <w:b/>
                <w:bCs/>
              </w:rPr>
            </w:pPr>
            <w:r>
              <w:rPr>
                <w:b/>
                <w:bCs/>
              </w:rPr>
              <w:t>DODATKOWE WYMAGANIA ZAMAWIAJĄCEGO</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color w:val="000000"/>
              </w:rPr>
            </w:pPr>
            <w:r>
              <w:rPr>
                <w:color w:val="000000"/>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1</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rFonts w:ascii="Calibri" w:hAnsi="Calibri" w:eastAsia="Calibri"/>
              </w:rPr>
            </w:pPr>
            <w:r>
              <w:rPr/>
              <w:t>Gwarancja dostarczenia do siedziby Zamawiającego ambulansu zastępczego o parametrach równoważnych, jeśli czas naprawy ambulansu zabudowy, który uległ awarii będzie przekraczał 5 dni</w:t>
            </w:r>
            <w:r>
              <w:rPr>
                <w:b/>
              </w:rPr>
              <w:t xml:space="preserve">.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val="false"/>
                <w:bCs w:val="false"/>
              </w:rPr>
            </w:pPr>
            <w:r>
              <w:rPr>
                <w:b w:val="false"/>
                <w:bCs w:val="false"/>
                <w:color w:val="000000"/>
              </w:rPr>
              <w:t>Tak</w:t>
            </w:r>
          </w:p>
          <w:p>
            <w:pPr>
              <w:pStyle w:val="Normal"/>
              <w:suppressLineNumbers/>
              <w:jc w:val="center"/>
              <w:textAlignment w:val="baseline"/>
              <w:rPr>
                <w:b w:val="false"/>
                <w:bCs w:val="false"/>
              </w:rPr>
            </w:pPr>
            <w:r>
              <w:rPr>
                <w:b w:val="false"/>
                <w:bCs w:val="false"/>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r>
        <w:trPr>
          <w:trHeight w:val="268" w:hRule="atLeast"/>
        </w:trPr>
        <w:tc>
          <w:tcPr>
            <w:tcW w:w="565"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pPr>
            <w:r>
              <w:rPr/>
              <w:t>2</w:t>
            </w:r>
          </w:p>
        </w:tc>
        <w:tc>
          <w:tcPr>
            <w:tcW w:w="6648"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snapToGrid w:val="false"/>
              <w:textAlignment w:val="baseline"/>
              <w:rPr>
                <w:rFonts w:ascii="Calibri" w:hAnsi="Calibri" w:eastAsia="Calibri"/>
              </w:rPr>
            </w:pPr>
            <w:r>
              <w:rPr/>
              <w:t xml:space="preserve">Reakcja serwisu zabudowy specjalnej sanitarnej na zgłoszoną awarię w dni robocze  w ciągu 48 godzin od jej zgłoszenia tzn. rozpoczęcie naprawy w siedzibie Zamawiającego w czasie nie krótszym jak 48 godziny od zgłoszenia. </w:t>
            </w:r>
          </w:p>
        </w:tc>
        <w:tc>
          <w:tcPr>
            <w:tcW w:w="2252"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jc w:val="center"/>
              <w:textAlignment w:val="baseline"/>
              <w:rPr>
                <w:b w:val="false"/>
                <w:bCs w:val="false"/>
              </w:rPr>
            </w:pPr>
            <w:r>
              <w:rPr>
                <w:b w:val="false"/>
                <w:bCs w:val="false"/>
                <w:color w:val="000000"/>
              </w:rPr>
              <w:t>Tak</w:t>
            </w:r>
          </w:p>
          <w:p>
            <w:pPr>
              <w:pStyle w:val="Normal"/>
              <w:snapToGrid w:val="false"/>
              <w:jc w:val="center"/>
              <w:textAlignment w:val="baseline"/>
              <w:rPr>
                <w:rFonts w:ascii="Calibri" w:hAnsi="Calibri" w:eastAsia="Calibri"/>
                <w:b w:val="false"/>
                <w:bCs w:val="false"/>
              </w:rPr>
            </w:pPr>
            <w:r>
              <w:rPr>
                <w:rFonts w:eastAsia="Calibri" w:ascii="Calibri" w:hAnsi="Calibri"/>
                <w:b w:val="false"/>
                <w:bCs w:val="false"/>
              </w:rPr>
            </w:r>
          </w:p>
        </w:tc>
        <w:tc>
          <w:tcPr>
            <w:tcW w:w="5507" w:type="dxa"/>
            <w:tcBorders>
              <w:top w:val="single" w:sz="4" w:space="0" w:color="000001"/>
              <w:start w:val="single" w:sz="4" w:space="0" w:color="000001"/>
              <w:bottom w:val="single" w:sz="4" w:space="0" w:color="000001"/>
              <w:end w:val="single" w:sz="4" w:space="0" w:color="000001"/>
            </w:tcBorders>
            <w:shd w:fill="auto" w:val="clear"/>
            <w:tcMar>
              <w:end w:w="0" w:type="dxa"/>
            </w:tcMar>
            <w:vAlign w:val="center"/>
          </w:tcPr>
          <w:p>
            <w:pPr>
              <w:pStyle w:val="Normal"/>
              <w:snapToGrid w:val="false"/>
              <w:textAlignment w:val="baseline"/>
              <w:rPr>
                <w:shd w:fill="FFFF00" w:val="clear"/>
              </w:rPr>
            </w:pPr>
            <w:r>
              <w:rPr>
                <w:shd w:fill="FFFF00" w:val="clear"/>
              </w:rPr>
            </w:r>
          </w:p>
        </w:tc>
        <w:tc>
          <w:tcPr>
            <w:tcW w:w="21" w:type="dxa"/>
            <w:tcBorders>
              <w:top w:val="single" w:sz="4" w:space="0" w:color="000001"/>
              <w:start w:val="single" w:sz="4" w:space="0" w:color="000001"/>
              <w:bottom w:val="single" w:sz="4" w:space="0" w:color="000001"/>
              <w:end w:val="single" w:sz="4" w:space="0" w:color="000001"/>
            </w:tcBorders>
            <w:shd w:fill="auto" w:val="clear"/>
            <w:tcMar>
              <w:end w:w="0" w:type="dxa"/>
            </w:tcMar>
          </w:tcPr>
          <w:p>
            <w:pPr>
              <w:pStyle w:val="Normal"/>
              <w:widowControl w:val="false"/>
              <w:snapToGrid w:val="false"/>
              <w:ind w:hanging="709" w:start="709"/>
              <w:jc w:val="both"/>
              <w:textAlignment w:val="baseline"/>
              <w:rPr>
                <w:rFonts w:eastAsia="SimSun"/>
              </w:rPr>
            </w:pPr>
            <w:r>
              <w:rPr>
                <w:rFonts w:eastAsia="SimSun"/>
              </w:rPr>
            </w:r>
          </w:p>
        </w:tc>
        <w:tc>
          <w:tcPr>
            <w:tcW w:w="41"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napToGrid w:val="false"/>
              <w:ind w:hanging="709" w:start="709"/>
              <w:jc w:val="both"/>
              <w:textAlignment w:val="baseline"/>
              <w:rPr>
                <w:rFonts w:eastAsia="SimSun"/>
              </w:rPr>
            </w:pPr>
            <w:r>
              <w:rPr>
                <w:rFonts w:eastAsia="SimSun"/>
              </w:rPr>
            </w:r>
          </w:p>
        </w:tc>
      </w:tr>
    </w:tbl>
    <w:p>
      <w:pPr>
        <w:pStyle w:val="Normal"/>
        <w:tabs>
          <w:tab w:val="left" w:pos="708" w:leader="none"/>
          <w:tab w:val="left" w:pos="900" w:leader="none"/>
        </w:tabs>
        <w:spacing w:before="60" w:after="120"/>
        <w:textAlignment w:val="baseline"/>
        <w:rPr>
          <w:b/>
          <w:bCs/>
          <w:sz w:val="8"/>
          <w:szCs w:val="8"/>
        </w:rPr>
      </w:pPr>
      <w:r>
        <w:rPr>
          <w:b/>
          <w:bCs/>
          <w:sz w:val="8"/>
          <w:szCs w:val="8"/>
        </w:rPr>
      </w:r>
    </w:p>
    <w:p>
      <w:pPr>
        <w:pStyle w:val="Normal"/>
        <w:tabs>
          <w:tab w:val="left" w:pos="708" w:leader="none"/>
          <w:tab w:val="left" w:pos="900" w:leader="none"/>
        </w:tabs>
        <w:spacing w:before="60" w:after="120"/>
        <w:textAlignment w:val="baseline"/>
        <w:rPr>
          <w:b/>
          <w:bCs/>
        </w:rPr>
      </w:pPr>
      <w:r>
        <w:rPr>
          <w:b/>
          <w:bCs/>
        </w:rPr>
      </w:r>
    </w:p>
    <w:p>
      <w:pPr>
        <w:pStyle w:val="Normal"/>
        <w:suppressLineNumbers/>
        <w:jc w:val="both"/>
        <w:textAlignment w:val="baseline"/>
        <w:rPr>
          <w:sz w:val="8"/>
          <w:szCs w:val="8"/>
        </w:rPr>
      </w:pPr>
      <w:r>
        <w:rPr>
          <w:sz w:val="8"/>
          <w:szCs w:val="8"/>
        </w:rPr>
      </w:r>
    </w:p>
    <w:p>
      <w:pPr>
        <w:pStyle w:val="Normal"/>
        <w:ind w:hanging="0" w:end="-35"/>
        <w:textAlignment w:val="baseline"/>
        <w:rPr>
          <w:rFonts w:eastAsia="Andale Sans UI" w:cs="Tahoma"/>
          <w:b/>
          <w:color w:val="000000"/>
          <w:sz w:val="24"/>
          <w:szCs w:val="24"/>
          <w:lang w:eastAsia="fa-IR" w:bidi="fa-IR"/>
        </w:rPr>
      </w:pPr>
      <w:r>
        <w:rPr>
          <w:rFonts w:eastAsia="Andale Sans UI" w:cs="Tahoma"/>
          <w:b/>
          <w:color w:val="000000"/>
          <w:sz w:val="24"/>
          <w:szCs w:val="24"/>
          <w:lang w:eastAsia="fa-IR" w:bidi="fa-IR"/>
        </w:rPr>
      </w:r>
      <w:bookmarkStart w:id="0" w:name="_Hlk143850481"/>
      <w:bookmarkEnd w:id="0"/>
    </w:p>
    <w:tbl>
      <w:tblPr>
        <w:tblW w:w="5000" w:type="pct"/>
        <w:jc w:val="center"/>
        <w:tblInd w:w="0" w:type="dxa"/>
        <w:tblLayout w:type="fixed"/>
        <w:tblCellMar>
          <w:top w:w="0" w:type="dxa"/>
          <w:start w:w="5" w:type="dxa"/>
          <w:bottom w:w="0" w:type="dxa"/>
          <w:end w:w="5" w:type="dxa"/>
        </w:tblCellMar>
        <w:tblLook w:val="04a0" w:firstRow="1" w:noVBand="1" w:lastRow="0" w:firstColumn="1" w:lastColumn="0" w:noHBand="0"/>
      </w:tblPr>
      <w:tblGrid>
        <w:gridCol w:w="1320"/>
        <w:gridCol w:w="5942"/>
        <w:gridCol w:w="1980"/>
        <w:gridCol w:w="4762"/>
      </w:tblGrid>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b/>
                <w:bCs/>
              </w:rPr>
            </w:pPr>
            <w:r>
              <w:rPr>
                <w:b/>
                <w:bCs/>
              </w:rPr>
              <w:t>XVI</w:t>
            </w:r>
          </w:p>
        </w:tc>
        <w:tc>
          <w:tcPr>
            <w:tcW w:w="594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tabs>
                <w:tab w:val="left" w:pos="708" w:leader="none"/>
                <w:tab w:val="left" w:pos="900" w:leader="none"/>
              </w:tabs>
              <w:spacing w:lineRule="atLeast" w:line="100" w:before="60" w:after="120"/>
              <w:textAlignment w:val="baseline"/>
              <w:rPr/>
            </w:pPr>
            <w:r>
              <w:rPr>
                <w:b/>
                <w:bCs/>
              </w:rPr>
              <w:t>WYPOSAŻENIE MEDYCZNE AMBULANSU</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textAlignment w:val="baseline"/>
              <w:rPr>
                <w:rFonts w:eastAsia="Calibri"/>
                <w:b/>
                <w:bCs/>
              </w:rPr>
            </w:pPr>
            <w:r>
              <w:rPr>
                <w:rFonts w:eastAsia="Calibri"/>
                <w:b/>
                <w:bCs/>
              </w:rPr>
              <w:tab/>
            </w:r>
          </w:p>
        </w:tc>
        <w:tc>
          <w:tcPr>
            <w:tcW w:w="5942"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textAlignment w:val="baseline"/>
              <w:rPr>
                <w:rFonts w:eastAsia="Calibri"/>
              </w:rPr>
            </w:pPr>
            <w:r>
              <w:rPr>
                <w:rFonts w:eastAsia="Calibri"/>
                <w:b/>
                <w:bCs/>
              </w:rPr>
              <w:t>NOSZE MONOBLOKOWE ELEKTRYCZNE</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bCs/>
              </w:rPr>
              <w:t>Wielofunkcyjne samojezdne nosze monoblokowe zgodne  normą PN:EN 1865-2 lub równoważną, z ruchomą podstawą z przesuwem bocznym zgodnie z normą PN:EN 1865-5 lub równoważną.</w:t>
            </w:r>
          </w:p>
          <w:p>
            <w:pPr>
              <w:pStyle w:val="Normal"/>
              <w:widowControl w:val="false"/>
              <w:spacing w:lineRule="atLeast" w:line="100"/>
              <w:textAlignment w:val="baseline"/>
              <w:rPr/>
            </w:pPr>
            <w:r>
              <w:rPr>
                <w:rFonts w:eastAsia="Calibri"/>
              </w:rPr>
              <w:t xml:space="preserve">Fabrycznie nowe rok produkcji min. </w:t>
            </w:r>
            <w:r>
              <w:rPr>
                <w:rFonts w:eastAsia="Calibri"/>
                <w:b/>
                <w:bCs/>
              </w:rPr>
              <w:t>2025 r.</w:t>
            </w:r>
          </w:p>
          <w:p>
            <w:pPr>
              <w:pStyle w:val="Normal"/>
              <w:widowControl w:val="false"/>
              <w:spacing w:lineRule="atLeast" w:line="100"/>
              <w:textAlignment w:val="baseline"/>
              <w:rPr>
                <w:rFonts w:eastAsia="Calibri"/>
              </w:rPr>
            </w:pPr>
            <w:r>
              <w:rPr>
                <w:rFonts w:eastAsia="Calibri"/>
              </w:rPr>
              <w:t xml:space="preserve"> </w:t>
            </w:r>
            <w:r>
              <w:rPr>
                <w:rFonts w:eastAsia="Calibri"/>
              </w:rPr>
              <w:t>Prosimy o dołączenie certyfikatów zgodności do oferty.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Nosze z automatycznym, hydrauliczno - elektrycznym systemem podnoszenia, obniżania noszy z pacjentem oraz załadunkiem noszy z/do ambulansu , eliminujący konieczność ręcznego podnoszenia pacjenta wraz z noszami.</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3</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Materac noszy powinien:</w:t>
            </w:r>
          </w:p>
          <w:p>
            <w:pPr>
              <w:pStyle w:val="Normal"/>
              <w:widowControl w:val="false"/>
              <w:spacing w:lineRule="atLeast" w:line="100"/>
              <w:textAlignment w:val="baseline"/>
              <w:rPr>
                <w:rFonts w:eastAsia="Calibri"/>
              </w:rPr>
            </w:pPr>
            <w:r>
              <w:rPr>
                <w:rFonts w:eastAsia="Calibri"/>
              </w:rPr>
              <w:t>- być wykonany z mocnego materiału, odpornego na bakterie, grzyby, plamy i zgniliznę, łatwego do czyszczenia, zmywalnego, odpornego na wodę , olej napędowy, itp. ;</w:t>
            </w:r>
          </w:p>
          <w:p>
            <w:pPr>
              <w:pStyle w:val="Normal"/>
              <w:widowControl w:val="false"/>
              <w:spacing w:lineRule="atLeast" w:line="100"/>
              <w:textAlignment w:val="baseline"/>
              <w:rPr>
                <w:rFonts w:eastAsia="Calibri"/>
              </w:rPr>
            </w:pPr>
            <w:r>
              <w:rPr>
                <w:rFonts w:eastAsia="Calibri"/>
              </w:rPr>
              <w:t>- posiadać powierzchnie antypoślizgową, nie absorbującą krwi i płynów, odporną na środki dezynfekujące;</w:t>
            </w:r>
          </w:p>
          <w:p>
            <w:pPr>
              <w:pStyle w:val="Normal"/>
              <w:widowControl w:val="false"/>
              <w:spacing w:lineRule="atLeast" w:line="100"/>
              <w:textAlignment w:val="baseline"/>
              <w:rPr>
                <w:rFonts w:eastAsia="Calibri"/>
              </w:rPr>
            </w:pPr>
            <w:r>
              <w:rPr>
                <w:rFonts w:eastAsia="Calibri"/>
              </w:rPr>
              <w:t>- w środkowej części dodatkowo stabilizować miednicę w trakcie transportu pacjenta;</w:t>
            </w:r>
          </w:p>
          <w:p>
            <w:pPr>
              <w:pStyle w:val="Normal"/>
              <w:widowControl w:val="false"/>
              <w:spacing w:lineRule="atLeast" w:line="100"/>
              <w:textAlignment w:val="baseline"/>
              <w:rPr>
                <w:rFonts w:eastAsia="Calibri"/>
              </w:rPr>
            </w:pPr>
            <w:r>
              <w:rPr>
                <w:rFonts w:eastAsia="Calibri"/>
              </w:rPr>
              <w:t>-umożliwiać ustawienie wszystkich dostępnych pozycji transportowych.</w:t>
            </w:r>
          </w:p>
          <w:p>
            <w:pPr>
              <w:pStyle w:val="Normal"/>
              <w:widowControl w:val="false"/>
              <w:spacing w:lineRule="atLeast" w:line="100"/>
              <w:textAlignment w:val="baseline"/>
              <w:rPr>
                <w:rFonts w:eastAsia="Calibri"/>
              </w:rPr>
            </w:pPr>
            <w:r>
              <w:rPr>
                <w:rFonts w:eastAsia="Calibri"/>
              </w:rPr>
              <w:t xml:space="preserve"> </w:t>
            </w:r>
            <w:r>
              <w:rPr>
                <w:rFonts w:eastAsia="Calibri"/>
                <w:bCs/>
              </w:rPr>
              <w:t>Dodatkowe wyposażenie: Uprząż pediatryczna do transportu dzieci. Zamawiający nie określa wymogów w zakresie wagi przewożonego dziecka.</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4</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 xml:space="preserve">Konstrukcja noszy wraz z systemem umożliwiającym ich poszerzenie w sposób bezpieczny i wygodny dla pacjenta, spełniające normę PN:EN 1865 - 2 </w:t>
            </w:r>
            <w:r>
              <w:rPr>
                <w:rFonts w:eastAsia="Calibri"/>
                <w:bCs/>
              </w:rPr>
              <w:t>lub równoważną.</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5</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bCs/>
              </w:rPr>
              <w:t>Regulowane poręcze boczne, składane na boki, umożliwiające powiększenie powierzchni  dla pacjenta do minimum 82 cm szerokości. Ze względu na różny kształt poręczy bocznych Zamawiający nie określa na jakiej długości ma być poszerzone leże noszy.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6</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rFonts w:eastAsia="Calibri"/>
              </w:rPr>
              <w:t>W zestawie komplet dwóch akumulatorów ( praca + zapas ) z ładowarką. Ładowanie akumulatorów z zasilania 12V i 230 V AC W komplecie uchwyt/mocowanie dodatkowej ładowarki do zamontowania w ambulansie i zasilania z instalacji elektrycznej 12V / 230V</w:t>
            </w:r>
          </w:p>
          <w:p>
            <w:pPr>
              <w:pStyle w:val="Normal"/>
              <w:widowControl w:val="false"/>
              <w:spacing w:lineRule="atLeast" w:line="100"/>
              <w:textAlignment w:val="baseline"/>
              <w:rPr>
                <w:rFonts w:eastAsia="Calibri"/>
                <w:bCs/>
              </w:rPr>
            </w:pPr>
            <w:r>
              <w:rPr>
                <w:rFonts w:eastAsia="Calibri"/>
                <w:bCs/>
              </w:rPr>
              <w:t>Wskaźnik stanu naładowania akumulatora.</w:t>
            </w:r>
          </w:p>
          <w:p>
            <w:pPr>
              <w:pStyle w:val="Normal"/>
              <w:widowControl w:val="false"/>
              <w:spacing w:lineRule="atLeast" w:line="100"/>
              <w:textAlignment w:val="baseline"/>
              <w:rPr>
                <w:rFonts w:eastAsia="Calibri"/>
              </w:rPr>
            </w:pPr>
            <w:r>
              <w:rPr>
                <w:rFonts w:eastAsia="Calibri"/>
                <w:bCs/>
              </w:rPr>
              <w:t>Zamawiający dopuszcza akumulator zamontowany na stałe lub z możliwością wymiany z użyciem narzędzi.</w:t>
            </w:r>
          </w:p>
          <w:p>
            <w:pPr>
              <w:pStyle w:val="Normal"/>
              <w:widowControl w:val="false"/>
              <w:spacing w:lineRule="atLeast" w:line="100"/>
              <w:textAlignment w:val="baseline"/>
              <w:rPr>
                <w:rFonts w:eastAsia="Calibri"/>
                <w:bCs/>
              </w:rPr>
            </w:pPr>
            <w:r>
              <w:rPr>
                <w:rFonts w:eastAsia="Calibri"/>
                <w:bCs/>
              </w:rPr>
              <w:t xml:space="preserve">Zamawiający dopuszcza również konstrukcję umożliwiającą szybką wymianę akumulatora bez konieczności używania narzędzi </w:t>
            </w:r>
            <w:r>
              <w:rPr>
                <w:rFonts w:eastAsia="Calibri"/>
              </w:rPr>
              <w:t>z pacjentem na noszach</w:t>
            </w:r>
            <w:r>
              <w:rPr>
                <w:rFonts w:eastAsia="Calibri"/>
                <w:bCs/>
              </w:rPr>
              <w:t>.</w:t>
            </w:r>
          </w:p>
          <w:p>
            <w:pPr>
              <w:pStyle w:val="Normal"/>
              <w:widowControl w:val="false"/>
              <w:spacing w:lineRule="atLeast" w:line="100"/>
              <w:textAlignment w:val="baseline"/>
              <w:rPr>
                <w:rFonts w:eastAsia="Calibri"/>
                <w:bCs/>
              </w:rPr>
            </w:pPr>
            <w:r>
              <w:rPr>
                <w:rFonts w:eastAsia="Calibri"/>
                <w:bCs/>
              </w:rPr>
              <w:t>Zamawiający nie określa minimalnej ilości cykli podnoszenia pacjenta bez konieczności ładowania akumulatora.</w:t>
            </w:r>
          </w:p>
          <w:p>
            <w:pPr>
              <w:pStyle w:val="Normal"/>
              <w:widowControl w:val="false"/>
              <w:spacing w:lineRule="atLeast" w:line="100"/>
              <w:textAlignment w:val="baseline"/>
              <w:rPr>
                <w:rFonts w:eastAsia="Calibri"/>
              </w:rPr>
            </w:pPr>
            <w:r>
              <w:rPr>
                <w:rFonts w:eastAsia="Calibri"/>
                <w:bCs/>
              </w:rPr>
              <w:t>Zamawiający nie określa minimalnej wymaganej pojemności akumulatora.</w:t>
            </w:r>
          </w:p>
          <w:p>
            <w:pPr>
              <w:pStyle w:val="Normal"/>
              <w:widowControl w:val="false"/>
              <w:spacing w:lineRule="atLeast" w:line="100"/>
              <w:textAlignment w:val="baseline"/>
              <w:rPr/>
            </w:pPr>
            <w:r>
              <w:rPr>
                <w:rFonts w:eastAsia="Calibri"/>
                <w:b w:val="false"/>
                <w:bCs w:val="false"/>
              </w:rPr>
              <w:t xml:space="preserve">Możliwość wymiany akumulatora bez użycia narzędzi z pacjentem na noszach . System bezprzewodowego, indukcyjnego ładowania akumulatora noszy po wpięciu w mocowanie. </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7</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Konstrukcja noszy bezpieczna dla pacjenta i użytkownika, ma zapobiegać uszkodzeniom ciała.</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8</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System ręcznego podnoszenia, opuszczania, załadunku i wyładunku noszy działający zarówno przy   naładowanych jak i rozładowanych akumulatorach.</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9</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Bezpieczne obciążenie noszy min. 315 kg.</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10</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rFonts w:eastAsia="Calibri"/>
                <w:bCs/>
              </w:rPr>
              <w:t>Dopuszczalna waga noszy max. 75 kg. wraz z akumulatorem oraz uchwytem na kroplówki. Nosze zgodnie z normami :PN-EN 1865-3 lub równoważny ( nosze o zwiększonej wytrzymałości stosowane do dużych obciążeń – bariatryczne); PN-EN 1865-2 lub równoważny ( nosze z zasilaniem elektrycznym)oraz potwierdzenie spełnienia dynamicznej normy zderzeniowej PN-EN 1789 lub równoważny, Dokumenty potwierdzające spełnienie w/w norm wystawione przez niezależną jednostkę notyfikacyjną ( załączyć do ofert)</w:t>
            </w:r>
            <w:r>
              <w:rPr>
                <w:rFonts w:eastAsia="Calibri"/>
                <w:b/>
                <w:bCs/>
              </w:rPr>
              <w:t xml:space="preserve">  </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bCs/>
              </w:rPr>
            </w:r>
          </w:p>
          <w:p>
            <w:pPr>
              <w:pStyle w:val="Normal"/>
              <w:widowControl w:val="false"/>
              <w:spacing w:lineRule="atLeast" w:line="100"/>
              <w:jc w:val="center"/>
              <w:textAlignment w:val="baseline"/>
              <w:rPr>
                <w:rFonts w:eastAsia="Calibri"/>
                <w:b/>
                <w:bCs/>
              </w:rPr>
            </w:pPr>
            <w:r>
              <w:rPr>
                <w:rFonts w:eastAsia="Calibri"/>
                <w:b/>
                <w:bCs/>
              </w:rPr>
            </w:r>
          </w:p>
          <w:p>
            <w:pPr>
              <w:pStyle w:val="Normal"/>
              <w:widowControl w:val="false"/>
              <w:spacing w:lineRule="atLeast" w:line="100"/>
              <w:jc w:val="center"/>
              <w:textAlignment w:val="baseline"/>
              <w:rPr>
                <w:b w:val="false"/>
                <w:bCs w:val="false"/>
              </w:rPr>
            </w:pPr>
            <w:r>
              <w:rPr>
                <w:rFonts w:eastAsia="Calibri"/>
                <w:b w:val="false"/>
                <w:bCs w:val="false"/>
              </w:rPr>
              <w:t>Tak</w:t>
            </w:r>
          </w:p>
          <w:p>
            <w:pPr>
              <w:pStyle w:val="Normal"/>
              <w:widowControl w:val="false"/>
              <w:spacing w:lineRule="atLeast" w:line="100"/>
              <w:jc w:val="center"/>
              <w:textAlignment w:val="baseline"/>
              <w:rPr>
                <w:rFonts w:eastAsia="Calibri"/>
                <w:b/>
                <w:bCs/>
              </w:rPr>
            </w:pPr>
            <w:r>
              <w:rPr>
                <w:rFonts w:eastAsia="Calibri"/>
                <w:b/>
                <w:bCs/>
              </w:rPr>
            </w:r>
          </w:p>
          <w:p>
            <w:pPr>
              <w:pStyle w:val="Normal"/>
              <w:widowControl w:val="false"/>
              <w:spacing w:lineRule="atLeast" w:line="100"/>
              <w:jc w:val="center"/>
              <w:textAlignment w:val="baseline"/>
              <w:rPr>
                <w:rFonts w:eastAsia="Calibri"/>
                <w:b/>
                <w:bCs/>
              </w:rPr>
            </w:pPr>
            <w:r>
              <w:rPr>
                <w:rFonts w:eastAsia="Calibri"/>
                <w:b/>
                <w:bCs/>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11</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Cs/>
              </w:rPr>
            </w:pPr>
            <w:r>
              <w:rPr>
                <w:rFonts w:eastAsia="Calibri"/>
              </w:rPr>
              <w:t>Przystosowane do prowadzenia reanimacji, wyposażone w twardą płytę na całej długości noszy.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12</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Trwałe graficzne oznakowanie elementów związanych z obsługą noszy.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13</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Płynna regulacja nachylenia oparcia pod plecy do minimum 75°.</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14</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Płynna automatyczna regulacja na wszystkich wysokościach.</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15</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Stabilizator głowy pacjenta.</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16</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Nosze wyposażone w 4 kółka obrotowe w zakresie 360° z min. 15 cm średnicą, min. 2 kółka wyposażone w hamulce.</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`17</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2 koła z systemem blokady toczenia (koła kierunkowe).</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18</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bCs/>
              </w:rPr>
              <w:t>Skracana część ramy noszy celem ułatwienia manewrowania w wąskich przestrzeniach.</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19</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rFonts w:eastAsia="Calibri"/>
              </w:rPr>
              <w:t>Całkowita długość noszy min. 200 cm.</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20</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t>Szerokość całkowita noszy min. 50 cm.</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bCs/>
              </w:rPr>
            </w:pPr>
            <w:r>
              <w:rPr>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21</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rFonts w:eastAsia="Calibri"/>
              </w:rPr>
              <w:t xml:space="preserve"> </w:t>
            </w:r>
            <w:r>
              <w:rPr>
                <w:rFonts w:eastAsia="Calibri"/>
              </w:rPr>
              <w:t>Całkowita długość noszy po skróceniu max 160 cm długości.</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bCs/>
              </w:rPr>
            </w:pPr>
            <w:r>
              <w:rPr>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22</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rFonts w:eastAsia="Calibri"/>
                <w:bCs/>
              </w:rPr>
              <w:t>Całkowita długość noszy po skróceniu mniejsza niż 160 cm.</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p>
            <w:pPr>
              <w:pStyle w:val="Normal"/>
              <w:widowControl w:val="false"/>
              <w:spacing w:lineRule="atLeast" w:line="100"/>
              <w:jc w:val="center"/>
              <w:textAlignment w:val="baseline"/>
              <w:rPr>
                <w:b w:val="false"/>
                <w:bCs w:val="false"/>
              </w:rPr>
            </w:pPr>
            <w:r>
              <w:rPr>
                <w:b w:val="false"/>
                <w:bCs w:val="false"/>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45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23</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Składany teleskopowo wieszak na płyny infuzyjne.</w:t>
              <w:br/>
            </w:r>
            <w:r>
              <w:rPr>
                <w:rFonts w:eastAsia="Calibri"/>
                <w:b/>
                <w:bCs/>
              </w:rPr>
              <w:t xml:space="preserve"> </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bCs/>
              </w:rPr>
            </w:pPr>
            <w:r>
              <w:rPr>
                <w:rFonts w:eastAsia="Calibri"/>
                <w:b w:val="false"/>
                <w:bCs w:val="false"/>
              </w:rPr>
              <w:t>TAK</w:t>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p>
          <w:p>
            <w:pPr>
              <w:pStyle w:val="Normal"/>
              <w:widowControl w:val="false"/>
              <w:spacing w:lineRule="atLeast" w:line="100"/>
              <w:jc w:val="center"/>
              <w:textAlignment w:val="baseline"/>
              <w:rPr>
                <w:rFonts w:eastAsia="Calibri"/>
                <w:b w:val="false"/>
                <w:bCs w:val="false"/>
              </w:rPr>
            </w:pPr>
            <w:r>
              <w:rPr>
                <w:rFonts w:eastAsia="Calibri"/>
                <w:b w:val="false"/>
                <w:bCs w:val="false"/>
              </w:rPr>
            </w:r>
            <w:bookmarkStart w:id="1" w:name="__DdeLink__3900_4293320644"/>
            <w:bookmarkEnd w:id="1"/>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24</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Nosze wyposażone w zagłówek umożliwiający ich przedłużenie w celu transportu pacjenta o wyższym wzroście.</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pPr>
            <w:r>
              <w:rPr/>
              <w:t>System mocowania noszy z możliwością jego montażu bezpośrednio do podłogi ambulansu lub lawety umożliwiający załadunek i rozładunek pacjenta bez wysiłku fizycznego o udźwigu minimum nawet w sytuacji jego awarii. System załadunku zgodny z normą PN-EN 1865-5 ( certyfikat załączyć do oferty) oraz normą zderzeniową PN-EN 1789</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bCs/>
              </w:rPr>
            </w:pPr>
            <w:r>
              <w:rPr>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25</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Wymagany paszport techniczny, karta gwarancyjna instrukcja obsługi w języku polskim.</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rFonts w:eastAsia="Calibri"/>
                <w:b/>
                <w:bCs/>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val="false"/>
                <w:bCs w:val="false"/>
              </w:rPr>
            </w:pPr>
            <w:r>
              <w:rPr>
                <w:rFonts w:eastAsia="Calibri"/>
                <w:b w:val="false"/>
                <w:bCs w:val="false"/>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26</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Cs/>
              </w:rPr>
            </w:pPr>
            <w:r>
              <w:rPr>
                <w:rFonts w:eastAsia="Calibri"/>
                <w:bCs/>
              </w:rPr>
              <w:t>Możliwość mycia ciśnieniowego noszy. Stopień ochrony:</w:t>
            </w:r>
          </w:p>
          <w:p>
            <w:pPr>
              <w:pStyle w:val="Normal"/>
              <w:widowControl w:val="false"/>
              <w:spacing w:lineRule="atLeast" w:line="100"/>
              <w:textAlignment w:val="baseline"/>
              <w:rPr>
                <w:rFonts w:eastAsia="Calibri"/>
              </w:rPr>
            </w:pPr>
            <w:r>
              <w:rPr>
                <w:rFonts w:eastAsia="Calibri"/>
                <w:bCs/>
              </w:rPr>
              <w:t>IP 66 lub IPX 6.</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27</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Okres gwarancji na nosze i system załadunku min. 48 miesięcy</w:t>
            </w:r>
          </w:p>
          <w:p>
            <w:pPr>
              <w:pStyle w:val="Normal"/>
              <w:widowControl w:val="false"/>
              <w:spacing w:lineRule="atLeast" w:line="100"/>
              <w:textAlignment w:val="baseline"/>
              <w:rPr>
                <w:rFonts w:eastAsia="Calibri"/>
                <w:bCs/>
              </w:rPr>
            </w:pPr>
            <w:r>
              <w:rPr>
                <w:rFonts w:eastAsia="Calibri"/>
              </w:rPr>
              <w:t>Gwarancja obejmuje nosze z osprzętem</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28</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Liczba gwarancyjnych przeglądów serwisowych: według zaleceń producenta. Dodatkowy jeden bezpłatny przegląd przed upływem gwarancji.</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29</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Czas reakcji serwisu na zgłoszenie awarii w okresie gwarancji: max. 72 godziny.</w:t>
            </w:r>
          </w:p>
          <w:p>
            <w:pPr>
              <w:pStyle w:val="Normal"/>
              <w:widowControl w:val="false"/>
              <w:spacing w:lineRule="atLeast" w:line="100"/>
              <w:textAlignment w:val="baseline"/>
              <w:rPr>
                <w:rFonts w:eastAsia="Calibri"/>
              </w:rPr>
            </w:pPr>
            <w:r>
              <w:rPr>
                <w:rFonts w:eastAsia="Calibri"/>
              </w:rPr>
              <w:t>Zgłaszanie usterek w okresie gwarancyjnym w dni robocze od poniedziałku do piątku w godzinach: 7-15 z wyłączeniem dni ustawowo wolnych od pracy.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30</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Czas usunięcia awarii w okresie gwarancji: max 14 dni roboczych.</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b w:val="false"/>
                <w:bCs w:val="false"/>
              </w:rPr>
            </w:pPr>
            <w:r>
              <w:rPr>
                <w:rFonts w:eastAsia="Calibri"/>
                <w:b w:val="false"/>
                <w:bCs w:val="false"/>
              </w:rPr>
              <w:t>31</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bookmarkStart w:id="2" w:name="_Hlk183674753"/>
            <w:bookmarkEnd w:id="2"/>
            <w:r>
              <w:rPr>
                <w:rFonts w:eastAsia="Calibri"/>
              </w:rPr>
              <w:t>W okresie trwania gwarancji na nosze Zamawiający wymaga pozostawienia w siedzibie Zamawiającego do jego dyspozycji 1 szt.  kompletnych noszy elektrycznych zastępczych wraz z układem ładowania umożliwiającym ładowanie akumulatora, które będą przez Zamawiającego używane w trakcie usuwania awarii, trwania napraw i przeglądów noszy zamontowanych w ambulansie. Nosze zastępcze muszą być identyczne jak nosze zamontowane w oferowanych ambulansach (ten sam model).</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t>32</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rPr>
            </w:pPr>
            <w:r>
              <w:rPr>
                <w:rFonts w:eastAsia="Calibri"/>
              </w:rPr>
              <w:t>Czas naprawy gwarancyjnej przedłuża okres gwarancji liczony od momentu zgłoszenia.</w:t>
            </w:r>
          </w:p>
          <w:p>
            <w:pPr>
              <w:pStyle w:val="Normal"/>
              <w:widowControl w:val="false"/>
              <w:spacing w:lineRule="atLeast" w:line="100"/>
              <w:textAlignment w:val="baseline"/>
              <w:rPr>
                <w:rFonts w:eastAsia="Calibri"/>
              </w:rPr>
            </w:pPr>
            <w:r>
              <w:rPr>
                <w:rFonts w:eastAsia="Calibri"/>
              </w:rPr>
              <w:t>Minimalna liczba napraw powodująca wymianę urządzenia  na nowe 3-naprawy w okresie gwarancyjnym.</w:t>
            </w:r>
          </w:p>
          <w:p>
            <w:pPr>
              <w:pStyle w:val="Normal"/>
              <w:widowControl w:val="false"/>
              <w:spacing w:lineRule="atLeast" w:line="100"/>
              <w:textAlignment w:val="baseline"/>
              <w:rPr>
                <w:rFonts w:eastAsia="Calibri"/>
                <w:bCs/>
              </w:rPr>
            </w:pPr>
            <w:r>
              <w:rPr>
                <w:rFonts w:eastAsia="Calibri"/>
                <w:bCs/>
              </w:rPr>
              <w:t xml:space="preserve">Szkolenie personelu z zakresu użytkowania oraz min. 1 osoby z działu technicznego – z obsługi technicznej urządzenia. </w:t>
            </w:r>
            <w:r>
              <w:rPr>
                <w:rFonts w:eastAsia="Calibri"/>
              </w:rPr>
              <w:t>Szkolenie potwierdzone zaświadczeniem lub certyfikatem dla pracownika technicznego.</w:t>
            </w:r>
          </w:p>
          <w:p>
            <w:pPr>
              <w:pStyle w:val="Normal"/>
              <w:widowControl w:val="false"/>
              <w:spacing w:lineRule="atLeast" w:line="100"/>
              <w:textAlignment w:val="baseline"/>
              <w:rPr>
                <w:rFonts w:eastAsia="Calibri"/>
              </w:rPr>
            </w:pPr>
            <w:r>
              <w:rPr>
                <w:rFonts w:eastAsia="Calibri"/>
                <w:bCs/>
              </w:rPr>
              <w:t>Dostępność części zamiennych i opieka serwisowa przez min.7 lat po upływie gwarancji. Gwarancja na nosze min.24 miesiące. Przeglądy w okresie gwarancji wliczone w cenę oferty.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b w:val="false"/>
                <w:bCs w:val="false"/>
              </w:rPr>
            </w:pPr>
            <w:r>
              <w:rPr>
                <w:rFonts w:eastAsia="Calibri"/>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tabs>
                <w:tab w:val="clear" w:pos="708"/>
                <w:tab w:val="left" w:pos="720" w:leader="none"/>
              </w:tabs>
              <w:snapToGrid w:val="false"/>
              <w:spacing w:lineRule="atLeast" w:line="100"/>
              <w:ind w:hanging="0" w:start="167" w:end="153"/>
              <w:jc w:val="center"/>
              <w:textAlignment w:val="baseline"/>
              <w:rPr/>
            </w:pPr>
            <w:r>
              <w:rPr>
                <w:b/>
                <w:bCs/>
                <w:sz w:val="24"/>
                <w:szCs w:val="24"/>
              </w:rPr>
              <w:t>Krzesełko płozowe</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color w:val="000040"/>
              </w:rPr>
            </w:pPr>
            <w:r>
              <w:rPr>
                <w:rFonts w:eastAsia="Calibri"/>
                <w:color w:val="000040"/>
              </w:rPr>
            </w:r>
          </w:p>
          <w:p>
            <w:pPr>
              <w:pStyle w:val="Normal"/>
              <w:widowControl w:val="false"/>
              <w:spacing w:lineRule="atLeast" w:line="100"/>
              <w:jc w:val="center"/>
              <w:textAlignment w:val="baseline"/>
              <w:rPr/>
            </w:pPr>
            <w:r>
              <w:rPr>
                <w:rFonts w:eastAsia="Calibri"/>
                <w:color w:val="000040"/>
              </w:rPr>
              <w:t>1</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ListParagraph"/>
              <w:numPr>
                <w:ilvl w:val="0"/>
                <w:numId w:val="0"/>
              </w:numPr>
              <w:ind w:hanging="0" w:start="708"/>
              <w:jc w:val="start"/>
              <w:rPr/>
            </w:pPr>
            <w:r>
              <w:rPr>
                <w:color w:val="000040"/>
                <w:sz w:val="20"/>
                <w:szCs w:val="20"/>
              </w:rPr>
              <w:t>- wykonane z materiału odpornego na korozję lub z materiału zabezpieczonego przed korozją</w:t>
            </w:r>
          </w:p>
          <w:p>
            <w:pPr>
              <w:pStyle w:val="ListParagraph"/>
              <w:numPr>
                <w:ilvl w:val="0"/>
                <w:numId w:val="0"/>
              </w:numPr>
              <w:ind w:hanging="0" w:start="708"/>
              <w:jc w:val="start"/>
              <w:rPr/>
            </w:pPr>
            <w:r>
              <w:rPr>
                <w:color w:val="000040"/>
                <w:sz w:val="20"/>
                <w:szCs w:val="20"/>
              </w:rPr>
              <w:t>- wyposażone w system płozowy do transportu pacjenta po schodach</w:t>
            </w:r>
          </w:p>
          <w:p>
            <w:pPr>
              <w:pStyle w:val="ListParagraph"/>
              <w:numPr>
                <w:ilvl w:val="0"/>
                <w:numId w:val="0"/>
              </w:numPr>
              <w:ind w:hanging="0" w:start="708"/>
              <w:jc w:val="start"/>
              <w:rPr/>
            </w:pPr>
            <w:r>
              <w:rPr>
                <w:color w:val="000040"/>
                <w:sz w:val="20"/>
                <w:szCs w:val="20"/>
              </w:rPr>
              <w:t>- wyposażone w siedzisko i oparcie mocowane fabrycznie na stałe z twardego materiału typu ABS o wysokiej odporności na ścieranie, pęknięcia, odporne na bakterie, grzyby, zmywalne i umożliwiające dezynfekcję</w:t>
            </w:r>
          </w:p>
          <w:p>
            <w:pPr>
              <w:pStyle w:val="ListParagraph"/>
              <w:numPr>
                <w:ilvl w:val="0"/>
                <w:numId w:val="0"/>
              </w:numPr>
              <w:ind w:hanging="0" w:start="708"/>
              <w:jc w:val="start"/>
              <w:rPr/>
            </w:pPr>
            <w:r>
              <w:rPr>
                <w:color w:val="000040"/>
                <w:sz w:val="20"/>
                <w:szCs w:val="20"/>
              </w:rPr>
              <w:t>- możliwość złożenia do transportu w ambulansie</w:t>
            </w:r>
          </w:p>
          <w:p>
            <w:pPr>
              <w:pStyle w:val="ListParagraph"/>
              <w:numPr>
                <w:ilvl w:val="0"/>
                <w:numId w:val="0"/>
              </w:numPr>
              <w:ind w:hanging="0" w:start="708"/>
              <w:jc w:val="start"/>
              <w:rPr/>
            </w:pPr>
            <w:r>
              <w:rPr>
                <w:color w:val="000040"/>
                <w:sz w:val="20"/>
                <w:szCs w:val="20"/>
              </w:rPr>
              <w:t>- wysuwane uchwyty przednie blokowane w 3 pozycjach</w:t>
            </w:r>
          </w:p>
          <w:p>
            <w:pPr>
              <w:pStyle w:val="ListParagraph"/>
              <w:numPr>
                <w:ilvl w:val="0"/>
                <w:numId w:val="0"/>
              </w:numPr>
              <w:ind w:hanging="0" w:start="708"/>
              <w:jc w:val="start"/>
              <w:rPr/>
            </w:pPr>
            <w:r>
              <w:rPr>
                <w:color w:val="000040"/>
                <w:sz w:val="20"/>
                <w:szCs w:val="20"/>
              </w:rPr>
              <w:t xml:space="preserve">- wyposażone 4 koła o szerokości 30mm w tym 2 obrotowe w zakresie 360° </w:t>
            </w:r>
          </w:p>
          <w:p>
            <w:pPr>
              <w:pStyle w:val="ListParagraph"/>
              <w:widowControl w:val="false"/>
              <w:numPr>
                <w:ilvl w:val="0"/>
                <w:numId w:val="0"/>
              </w:numPr>
              <w:spacing w:lineRule="atLeast" w:line="100"/>
              <w:ind w:hanging="0" w:start="708"/>
              <w:jc w:val="start"/>
              <w:textAlignment w:val="baseline"/>
              <w:rPr/>
            </w:pPr>
            <w:r>
              <w:rPr>
                <w:color w:val="000040"/>
                <w:sz w:val="20"/>
                <w:szCs w:val="20"/>
              </w:rPr>
              <w:t>- średnica tylnych kół120 mm</w:t>
            </w:r>
          </w:p>
          <w:p>
            <w:pPr>
              <w:pStyle w:val="ListParagraph"/>
              <w:numPr>
                <w:ilvl w:val="0"/>
                <w:numId w:val="0"/>
              </w:numPr>
              <w:ind w:hanging="0" w:start="708"/>
              <w:jc w:val="start"/>
              <w:rPr/>
            </w:pPr>
            <w:r>
              <w:rPr>
                <w:color w:val="000040"/>
                <w:sz w:val="20"/>
                <w:szCs w:val="20"/>
              </w:rPr>
              <w:t>- średnica przednich kół 100 mm</w:t>
            </w:r>
          </w:p>
          <w:p>
            <w:pPr>
              <w:pStyle w:val="ListParagraph"/>
              <w:numPr>
                <w:ilvl w:val="0"/>
                <w:numId w:val="0"/>
              </w:numPr>
              <w:ind w:hanging="0" w:start="708"/>
              <w:jc w:val="start"/>
              <w:rPr/>
            </w:pPr>
            <w:r>
              <w:rPr>
                <w:color w:val="000040"/>
                <w:sz w:val="20"/>
                <w:szCs w:val="20"/>
              </w:rPr>
              <w:t>- 2 hamulce na tylnych kołach</w:t>
            </w:r>
          </w:p>
          <w:p>
            <w:pPr>
              <w:pStyle w:val="ListParagraph"/>
              <w:numPr>
                <w:ilvl w:val="0"/>
                <w:numId w:val="0"/>
              </w:numPr>
              <w:ind w:hanging="0" w:start="708"/>
              <w:jc w:val="start"/>
              <w:rPr/>
            </w:pPr>
            <w:r>
              <w:rPr>
                <w:color w:val="000040"/>
                <w:sz w:val="20"/>
                <w:szCs w:val="20"/>
              </w:rPr>
              <w:t>- uchylne rączki tylne, blokowane</w:t>
            </w:r>
          </w:p>
          <w:p>
            <w:pPr>
              <w:pStyle w:val="ListParagraph"/>
              <w:numPr>
                <w:ilvl w:val="0"/>
                <w:numId w:val="0"/>
              </w:numPr>
              <w:ind w:hanging="0" w:start="708"/>
              <w:jc w:val="start"/>
              <w:rPr/>
            </w:pPr>
            <w:r>
              <w:rPr>
                <w:color w:val="000040"/>
                <w:sz w:val="20"/>
                <w:szCs w:val="20"/>
              </w:rPr>
              <w:t>- wysuwany uchwyt ramy oparcia blokowany w 2 pozycjach</w:t>
            </w:r>
          </w:p>
          <w:p>
            <w:pPr>
              <w:pStyle w:val="ListParagraph"/>
              <w:numPr>
                <w:ilvl w:val="0"/>
                <w:numId w:val="0"/>
              </w:numPr>
              <w:ind w:hanging="0" w:start="708"/>
              <w:jc w:val="start"/>
              <w:rPr/>
            </w:pPr>
            <w:r>
              <w:rPr>
                <w:color w:val="000040"/>
                <w:sz w:val="20"/>
                <w:szCs w:val="20"/>
              </w:rPr>
              <w:t xml:space="preserve">- kąt pomiędzy płozami, a ramą krzesełka ≥ 30˚ </w:t>
            </w:r>
          </w:p>
          <w:p>
            <w:pPr>
              <w:pStyle w:val="ListParagraph"/>
              <w:numPr>
                <w:ilvl w:val="0"/>
                <w:numId w:val="0"/>
              </w:numPr>
              <w:ind w:hanging="0" w:start="708"/>
              <w:jc w:val="start"/>
              <w:rPr/>
            </w:pPr>
            <w:r>
              <w:rPr>
                <w:color w:val="000040"/>
                <w:sz w:val="20"/>
                <w:szCs w:val="20"/>
              </w:rPr>
              <w:t>- rozstaw zewnętrzny płóz 37 cm</w:t>
            </w:r>
          </w:p>
          <w:p>
            <w:pPr>
              <w:pStyle w:val="ListParagraph"/>
              <w:numPr>
                <w:ilvl w:val="0"/>
                <w:numId w:val="0"/>
              </w:numPr>
              <w:ind w:hanging="0" w:start="708"/>
              <w:rPr/>
            </w:pPr>
            <w:r>
              <w:rPr>
                <w:color w:val="000040"/>
                <w:sz w:val="20"/>
                <w:szCs w:val="20"/>
              </w:rPr>
              <w:t>- stabilizator głowy pacjenta</w:t>
            </w:r>
          </w:p>
          <w:p>
            <w:pPr>
              <w:pStyle w:val="ListParagraph"/>
              <w:numPr>
                <w:ilvl w:val="0"/>
                <w:numId w:val="0"/>
              </w:numPr>
              <w:ind w:hanging="0" w:start="708"/>
              <w:rPr/>
            </w:pPr>
            <w:r>
              <w:rPr>
                <w:color w:val="000040"/>
                <w:sz w:val="20"/>
                <w:szCs w:val="20"/>
              </w:rPr>
              <w:t>- podnóżek na stopy pacjenta zintegrowany o wymiarze 7 cm x 30 cm</w:t>
            </w:r>
          </w:p>
          <w:p>
            <w:pPr>
              <w:pStyle w:val="ListParagraph"/>
              <w:numPr>
                <w:ilvl w:val="0"/>
                <w:numId w:val="0"/>
              </w:numPr>
              <w:ind w:hanging="0" w:start="708"/>
              <w:rPr/>
            </w:pPr>
            <w:r>
              <w:rPr>
                <w:color w:val="000040"/>
                <w:sz w:val="20"/>
                <w:szCs w:val="20"/>
              </w:rPr>
              <w:t>- 3 pasy poprzeczne</w:t>
            </w:r>
          </w:p>
          <w:p>
            <w:pPr>
              <w:pStyle w:val="ListParagraph"/>
              <w:numPr>
                <w:ilvl w:val="0"/>
                <w:numId w:val="0"/>
              </w:numPr>
              <w:ind w:hanging="0" w:start="708"/>
              <w:rPr/>
            </w:pPr>
            <w:r>
              <w:rPr>
                <w:color w:val="000040"/>
                <w:sz w:val="20"/>
                <w:szCs w:val="20"/>
              </w:rPr>
              <w:t xml:space="preserve">- waga krzesełka z zainstalowanym system płozowym 14.9 kg </w:t>
            </w:r>
          </w:p>
          <w:p>
            <w:pPr>
              <w:pStyle w:val="ListParagraph"/>
              <w:numPr>
                <w:ilvl w:val="0"/>
                <w:numId w:val="0"/>
              </w:numPr>
              <w:ind w:hanging="0" w:start="708"/>
              <w:rPr/>
            </w:pPr>
            <w:r>
              <w:rPr>
                <w:color w:val="000040"/>
                <w:sz w:val="20"/>
                <w:szCs w:val="20"/>
              </w:rPr>
              <w:t>- maksymalne wymiary po złożeniu: 96 cm x 52 cm x max 20 cm</w:t>
            </w:r>
          </w:p>
          <w:p>
            <w:pPr>
              <w:pStyle w:val="ListParagraph"/>
              <w:numPr>
                <w:ilvl w:val="0"/>
                <w:numId w:val="0"/>
              </w:numPr>
              <w:ind w:hanging="0" w:start="708"/>
              <w:rPr/>
            </w:pPr>
            <w:r>
              <w:rPr>
                <w:color w:val="000040"/>
                <w:sz w:val="20"/>
                <w:szCs w:val="20"/>
              </w:rPr>
              <w:t>- udźwig 227 kg</w:t>
            </w:r>
          </w:p>
          <w:p>
            <w:pPr>
              <w:pStyle w:val="ListParagraph"/>
              <w:numPr>
                <w:ilvl w:val="0"/>
                <w:numId w:val="0"/>
              </w:numPr>
              <w:ind w:hanging="0" w:start="708"/>
              <w:rPr/>
            </w:pPr>
            <w:r>
              <w:rPr>
                <w:color w:val="000040"/>
                <w:sz w:val="20"/>
                <w:szCs w:val="20"/>
              </w:rPr>
              <w:t>- dopuszczone do mycia ciśnieniowego (potwierdzenie w instrukcji obsługi)</w:t>
            </w:r>
          </w:p>
          <w:p>
            <w:pPr>
              <w:pStyle w:val="Normal"/>
              <w:ind w:hanging="0"/>
              <w:rPr/>
            </w:pPr>
            <w:r>
              <w:rPr>
                <w:color w:val="000040"/>
                <w:sz w:val="20"/>
                <w:szCs w:val="20"/>
              </w:rPr>
              <w:t xml:space="preserve">- możliwość instalacji akcesoriów w dowolnym momencie: </w:t>
            </w:r>
          </w:p>
          <w:p>
            <w:pPr>
              <w:pStyle w:val="Normal"/>
              <w:ind w:hanging="0"/>
              <w:rPr>
                <w:color w:val="000040"/>
              </w:rPr>
            </w:pPr>
            <w:r>
              <w:rPr>
                <w:color w:val="000040"/>
                <w:sz w:val="20"/>
                <w:szCs w:val="20"/>
              </w:rPr>
              <w:t>- uchwyt na butlę tlenową</w:t>
            </w:r>
          </w:p>
          <w:p>
            <w:pPr>
              <w:pStyle w:val="Normal"/>
              <w:ind w:hanging="0"/>
              <w:rPr>
                <w:color w:val="000040"/>
              </w:rPr>
            </w:pPr>
            <w:r>
              <w:rPr>
                <w:color w:val="000040"/>
                <w:sz w:val="20"/>
                <w:szCs w:val="20"/>
              </w:rPr>
              <w:t>- uchwyt na płyny infuzyjne</w:t>
            </w:r>
          </w:p>
          <w:p>
            <w:pPr>
              <w:pStyle w:val="Normal"/>
              <w:ind w:hanging="0"/>
              <w:rPr>
                <w:color w:val="000040"/>
              </w:rPr>
            </w:pPr>
            <w:r>
              <w:rPr>
                <w:color w:val="000040"/>
                <w:sz w:val="20"/>
                <w:szCs w:val="20"/>
              </w:rPr>
              <w:t>- dodatkowy rozkładany podnóżek</w:t>
            </w:r>
          </w:p>
          <w:p>
            <w:pPr>
              <w:pStyle w:val="Normal"/>
              <w:widowControl w:val="false"/>
              <w:numPr>
                <w:ilvl w:val="0"/>
                <w:numId w:val="0"/>
              </w:numPr>
              <w:tabs>
                <w:tab w:val="clear" w:pos="708"/>
                <w:tab w:val="left" w:pos="720" w:leader="none"/>
              </w:tabs>
              <w:snapToGrid w:val="false"/>
              <w:spacing w:lineRule="atLeast" w:line="100"/>
              <w:ind w:hanging="0" w:start="0"/>
              <w:jc w:val="both"/>
              <w:textAlignment w:val="baseline"/>
              <w:rPr>
                <w:color w:val="000040"/>
              </w:rPr>
            </w:pPr>
            <w:r>
              <w:rPr>
                <w:b/>
                <w:bCs/>
                <w:color w:val="000040"/>
                <w:sz w:val="20"/>
                <w:szCs w:val="20"/>
              </w:rPr>
              <w:t>Deklaracja zgodności CE</w:t>
            </w:r>
          </w:p>
          <w:p>
            <w:pPr>
              <w:pStyle w:val="Normal"/>
              <w:widowControl w:val="false"/>
              <w:numPr>
                <w:ilvl w:val="0"/>
                <w:numId w:val="0"/>
              </w:numPr>
              <w:tabs>
                <w:tab w:val="clear" w:pos="708"/>
                <w:tab w:val="left" w:pos="720" w:leader="none"/>
              </w:tabs>
              <w:snapToGrid w:val="false"/>
              <w:spacing w:lineRule="atLeast" w:line="100"/>
              <w:ind w:hanging="0" w:start="0"/>
              <w:jc w:val="both"/>
              <w:textAlignment w:val="baseline"/>
              <w:rPr>
                <w:b/>
                <w:bCs/>
                <w:color w:val="000040"/>
                <w:sz w:val="20"/>
                <w:szCs w:val="20"/>
              </w:rPr>
            </w:pPr>
            <w:r>
              <w:rPr>
                <w:b/>
                <w:bCs/>
                <w:color w:val="000040"/>
                <w:sz w:val="20"/>
                <w:szCs w:val="20"/>
              </w:rPr>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b w:val="false"/>
                <w:bCs w:val="false"/>
              </w:rPr>
            </w:pPr>
            <w:r>
              <w:rPr>
                <w:b w:val="false"/>
                <w:bCs w:val="false"/>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ascii="Times New Roman" w:hAnsi="Times New Roman" w:eastAsia="Calibri"/>
                <w:b/>
                <w:bCs/>
                <w:sz w:val="20"/>
                <w:szCs w:val="20"/>
              </w:rPr>
            </w:pPr>
            <w:r>
              <w:rPr>
                <w:rFonts w:eastAsia="Calibri"/>
                <w:b/>
                <w:bCs/>
                <w:sz w:val="20"/>
                <w:szCs w:val="20"/>
              </w:rPr>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BodyText"/>
              <w:widowControl/>
              <w:numPr>
                <w:ilvl w:val="0"/>
                <w:numId w:val="0"/>
              </w:numPr>
              <w:spacing w:lineRule="auto" w:line="384" w:before="0" w:after="135"/>
              <w:ind w:hanging="0" w:start="0" w:end="0"/>
              <w:jc w:val="center"/>
              <w:rPr>
                <w:color w:val="000040"/>
              </w:rPr>
            </w:pPr>
            <w:r>
              <w:rPr>
                <w:rFonts w:ascii="Times New Roman" w:hAnsi="Times New Roman"/>
                <w:b/>
                <w:bCs/>
                <w:i w:val="false"/>
                <w:caps w:val="false"/>
                <w:smallCaps w:val="false"/>
                <w:color w:val="000040"/>
                <w:spacing w:val="0"/>
                <w:sz w:val="20"/>
                <w:szCs w:val="20"/>
              </w:rPr>
              <w:t>WIDEOLARYNGOSKOP</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r>
          </w:p>
          <w:p>
            <w:pPr>
              <w:pStyle w:val="Normal"/>
              <w:widowControl w:val="false"/>
              <w:spacing w:lineRule="atLeast" w:line="100"/>
              <w:jc w:val="center"/>
              <w:textAlignment w:val="baseline"/>
              <w:rPr/>
            </w:pPr>
            <w:r>
              <w:rPr>
                <w:rFonts w:eastAsia="Calibri"/>
              </w:rPr>
              <w:t>2</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BodyText"/>
              <w:widowControl/>
              <w:spacing w:before="0" w:after="0"/>
              <w:jc w:val="start"/>
              <w:rPr>
                <w:rFonts w:ascii="Times New Roman" w:hAnsi="Times New Roman"/>
                <w:b w:val="false"/>
                <w:i w:val="false"/>
                <w:caps w:val="false"/>
                <w:smallCaps w:val="false"/>
                <w:color w:val="000040"/>
                <w:spacing w:val="0"/>
                <w:sz w:val="20"/>
                <w:szCs w:val="20"/>
              </w:rPr>
            </w:pPr>
            <w:r>
              <w:rPr>
                <w:rFonts w:ascii="Times New Roman" w:hAnsi="Times New Roman"/>
                <w:b w:val="false"/>
                <w:i w:val="false"/>
                <w:caps w:val="false"/>
                <w:smallCaps w:val="false"/>
                <w:color w:val="000040"/>
                <w:spacing w:val="0"/>
                <w:sz w:val="20"/>
                <w:szCs w:val="20"/>
              </w:rPr>
              <w:t>- 3,5 calowy, kolorowy wyświetlacz LED w rozdzielczości 640 x 480,</w:t>
              <w:br/>
              <w:t>- wysokiej rozdzielczości kamera (2 mega piksele) z szerokim zakresem widzenia w zakresie 66 stopni,</w:t>
            </w:r>
          </w:p>
          <w:p>
            <w:pPr>
              <w:pStyle w:val="BodyText"/>
              <w:widowControl/>
              <w:spacing w:before="0" w:after="0"/>
              <w:jc w:val="start"/>
              <w:rPr>
                <w:rFonts w:ascii="Times New Roman" w:hAnsi="Times New Roman"/>
                <w:b w:val="false"/>
                <w:i w:val="false"/>
                <w:caps w:val="false"/>
                <w:smallCaps w:val="false"/>
                <w:color w:val="000040"/>
                <w:spacing w:val="0"/>
                <w:sz w:val="20"/>
                <w:szCs w:val="20"/>
              </w:rPr>
            </w:pPr>
            <w:r>
              <w:rPr>
                <w:rFonts w:ascii="Times New Roman" w:hAnsi="Times New Roman"/>
                <w:b w:val="false"/>
                <w:i w:val="false"/>
                <w:caps w:val="false"/>
                <w:smallCaps w:val="false"/>
                <w:color w:val="000040"/>
                <w:spacing w:val="0"/>
                <w:sz w:val="20"/>
                <w:szCs w:val="20"/>
              </w:rPr>
              <w:t>- źródło światła: 3 diody LED, barwa biała,</w:t>
              <w:br/>
              <w:t>- waga urządzenia – około 250 g,</w:t>
              <w:br/>
              <w:t>- ładowalna bateria litowa,</w:t>
              <w:br/>
              <w:t>- czas pracy baterii do 200 minut,</w:t>
              <w:br/>
              <w:t>- stopień ochrony względem płynów IPX8,</w:t>
              <w:br/>
              <w:t xml:space="preserve">- port micro USB do ładowania i przesyłania materiałów między wideolaryngoskopem a innymi urządzeniami,  </w:t>
              <w:br/>
              <w:t>- miejsce na kartę SD (pamięć wewnętrzna) do 32 GB,</w:t>
              <w:br/>
              <w:t>- port micro HDMI do łączenia z urządzeniami z portem HDMI (np. telewizor, monitor).</w:t>
              <w:br/>
              <w:t xml:space="preserve">- </w:t>
            </w:r>
            <w:r>
              <w:rPr>
                <w:rFonts w:ascii="Times New Roman" w:hAnsi="Times New Roman"/>
                <w:b w:val="false"/>
                <w:bCs w:val="false"/>
                <w:i w:val="false"/>
                <w:caps w:val="false"/>
                <w:smallCaps w:val="false"/>
                <w:color w:val="000040"/>
                <w:spacing w:val="0"/>
                <w:sz w:val="20"/>
                <w:szCs w:val="20"/>
              </w:rPr>
              <w:t>port micro HDMI do łączenia z urządzeniami z portem HDMI (np. telewizor, monitor).</w:t>
            </w:r>
          </w:p>
          <w:p>
            <w:pPr>
              <w:pStyle w:val="Normal"/>
              <w:numPr>
                <w:ilvl w:val="0"/>
                <w:numId w:val="0"/>
              </w:numPr>
              <w:spacing w:before="0" w:after="0"/>
              <w:ind w:hanging="0" w:start="0"/>
              <w:jc w:val="start"/>
              <w:rPr>
                <w:rFonts w:ascii="Times New Roman" w:hAnsi="Times New Roman"/>
                <w:color w:val="000040"/>
                <w:sz w:val="20"/>
                <w:szCs w:val="20"/>
              </w:rPr>
            </w:pPr>
            <w:r>
              <w:rPr>
                <w:b w:val="false"/>
                <w:bCs w:val="false"/>
                <w:color w:val="000040"/>
                <w:sz w:val="20"/>
                <w:szCs w:val="20"/>
              </w:rPr>
              <w:t xml:space="preserve"> </w:t>
            </w:r>
            <w:r>
              <w:rPr>
                <w:b w:val="false"/>
                <w:bCs w:val="false"/>
                <w:color w:val="000040"/>
                <w:sz w:val="20"/>
                <w:szCs w:val="20"/>
              </w:rPr>
              <w:t>- minimum 3 łyżki jednokrotnego użytku: 2 MAC (dzieci),MAC(dorośli), 4 MAC (trudna intubacja),</w:t>
              <w:br/>
              <w:t>- solidna walizka ochronna do transportu,</w:t>
              <w:br/>
              <w:t>- ładowarka na USB / lub do gniazdka,</w:t>
              <w:br/>
              <w:t>- instrukcja obsługi w języku polskim,</w:t>
              <w:br/>
              <w:t>- gwarancja producenta na 12 miesięcy z możliwością płatnego</w:t>
            </w:r>
          </w:p>
          <w:p>
            <w:pPr>
              <w:pStyle w:val="Normal"/>
              <w:widowControl/>
              <w:numPr>
                <w:ilvl w:val="0"/>
                <w:numId w:val="0"/>
              </w:numPr>
              <w:spacing w:lineRule="auto" w:line="384" w:before="0" w:after="0"/>
              <w:ind w:hanging="0" w:start="0" w:end="0"/>
              <w:jc w:val="start"/>
              <w:rPr>
                <w:rFonts w:ascii="Times New Roman" w:hAnsi="Times New Roman"/>
                <w:color w:val="000040"/>
                <w:sz w:val="20"/>
                <w:szCs w:val="20"/>
              </w:rPr>
            </w:pPr>
            <w:r>
              <w:rPr>
                <w:b w:val="false"/>
                <w:bCs w:val="false"/>
                <w:i w:val="false"/>
                <w:caps w:val="false"/>
                <w:smallCaps w:val="false"/>
                <w:color w:val="000040"/>
                <w:spacing w:val="0"/>
                <w:sz w:val="20"/>
                <w:szCs w:val="20"/>
              </w:rPr>
              <w:t>przedłużenia.</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ListParagraph"/>
              <w:numPr>
                <w:ilvl w:val="0"/>
                <w:numId w:val="0"/>
              </w:numPr>
              <w:ind w:hanging="0" w:start="708"/>
              <w:jc w:val="center"/>
              <w:rPr>
                <w:b/>
                <w:bCs/>
              </w:rPr>
            </w:pPr>
            <w:r>
              <w:rPr>
                <w:b/>
                <w:bCs/>
                <w:color w:val="000040"/>
              </w:rPr>
              <w:t>PLECAK RATOWNICZY</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r>
          </w:p>
          <w:p>
            <w:pPr>
              <w:pStyle w:val="Normal"/>
              <w:widowControl w:val="false"/>
              <w:spacing w:lineRule="atLeast" w:line="100"/>
              <w:jc w:val="center"/>
              <w:textAlignment w:val="baseline"/>
              <w:rPr>
                <w:rFonts w:eastAsia="Calibri"/>
              </w:rPr>
            </w:pPr>
            <w:r>
              <w:rPr>
                <w:rFonts w:eastAsia="Calibri"/>
              </w:rPr>
              <w:t>3</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Plecak ratowniczy z trzema kieszeniami przednimi oraz trzema bocznymi</w:t>
              <w:br/>
              <w:t>- wzmocniony i wyściełany</w:t>
              <w:br/>
              <w:t>- przejrzyste rozmieszczenie potrzebnych akcesoriów ratunkowych</w:t>
              <w:br/>
              <w:t>- możliwość dodatkowego doposażenia w oddzielnie dostępne torby modułowe</w:t>
              <w:br/>
              <w:t>- saszetki modułowe można zamocować we wnętrzu na rzepy</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wbudowane w obramowanie elastyczne pętelki i przezroczyste kieszonki na akcesoria</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dwa wygodne, zdejmowane i regulowane pasy naramienne</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Wymiary: 57 x 53,5 x 33 cm (wys. x szer. x gł.)</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maksymalna pojemność: 68 l</w:t>
            </w:r>
          </w:p>
          <w:p>
            <w:pPr>
              <w:pStyle w:val="BodyText"/>
              <w:widowControl/>
              <w:numPr>
                <w:ilvl w:val="0"/>
                <w:numId w:val="0"/>
              </w:numPr>
              <w:bidi w:val="0"/>
              <w:spacing w:before="0" w:after="120"/>
              <w:ind w:hanging="0" w:start="0"/>
              <w:jc w:val="start"/>
              <w:textAlignment w:val="top"/>
              <w:rPr/>
            </w:pPr>
            <w:r>
              <w:rPr>
                <w:rFonts w:ascii="Times New Roman" w:hAnsi="Times New Roman"/>
                <w:b w:val="false"/>
                <w:i w:val="false"/>
                <w:caps w:val="false"/>
                <w:smallCaps w:val="false"/>
                <w:color w:val="000040"/>
                <w:spacing w:val="0"/>
                <w:sz w:val="20"/>
                <w:szCs w:val="20"/>
              </w:rPr>
              <w:t>- waga: 3,5 kg</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łatwy do pielęgnacji, wytrzymały materiał</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wyraźny efekt ostrzegawczy dzięki paskom odblaskowym po pięciu stronach</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podbity metalowymi nóżkami, które zapewniają odstęp np. od brudnego podłoża</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wyposażony w wysokiej jakości, lekko pracujące zamki błyskawiczne</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dostarczany z panelem środkowym WK Infuzja /Intubacja</w:t>
            </w:r>
          </w:p>
          <w:p>
            <w:pPr>
              <w:pStyle w:val="BodyText"/>
              <w:widowControl/>
              <w:numPr>
                <w:ilvl w:val="0"/>
                <w:numId w:val="0"/>
              </w:numPr>
              <w:bidi w:val="0"/>
              <w:spacing w:before="0" w:after="120"/>
              <w:ind w:hanging="0" w:start="0"/>
              <w:jc w:val="start"/>
              <w:textAlignment w:val="top"/>
              <w:rPr/>
            </w:pPr>
            <w:r>
              <w:rPr>
                <w:rFonts w:ascii="Source Sans Pro;sans-serif" w:hAnsi="Source Sans Pro;sans-serif"/>
                <w:b w:val="false"/>
                <w:bCs w:val="false"/>
                <w:i w:val="false"/>
                <w:caps w:val="false"/>
                <w:smallCaps w:val="false"/>
                <w:color w:val="000040"/>
                <w:spacing w:val="0"/>
                <w:sz w:val="27"/>
                <w:szCs w:val="20"/>
              </w:rPr>
              <w:t>-</w:t>
            </w:r>
            <w:r>
              <w:rPr>
                <w:rFonts w:ascii="Times New Roman" w:hAnsi="Times New Roman"/>
                <w:b w:val="false"/>
                <w:bCs w:val="false"/>
                <w:i w:val="false"/>
                <w:caps w:val="false"/>
                <w:smallCaps w:val="false"/>
                <w:color w:val="000040"/>
                <w:spacing w:val="0"/>
                <w:sz w:val="20"/>
                <w:szCs w:val="20"/>
              </w:rPr>
              <w:t>do przejrzystego rozmieszczenia akcesoriów do intubacji i infuzji</w:t>
            </w:r>
          </w:p>
          <w:p>
            <w:pPr>
              <w:pStyle w:val="BodyText"/>
              <w:widowControl/>
              <w:numPr>
                <w:ilvl w:val="0"/>
                <w:numId w:val="0"/>
              </w:numPr>
              <w:bidi w:val="0"/>
              <w:spacing w:before="0" w:after="120"/>
              <w:ind w:hanging="0" w:start="0"/>
              <w:jc w:val="start"/>
              <w:textAlignment w:val="top"/>
              <w:rPr/>
            </w:pPr>
            <w:r>
              <w:rPr>
                <w:rFonts w:ascii="Source Sans Pro;sans-serif" w:hAnsi="Source Sans Pro;sans-serif"/>
                <w:b w:val="false"/>
                <w:i w:val="false"/>
                <w:caps w:val="false"/>
                <w:smallCaps w:val="false"/>
                <w:color w:val="000040"/>
                <w:spacing w:val="0"/>
                <w:sz w:val="27"/>
              </w:rPr>
              <w:t xml:space="preserve">- </w:t>
            </w:r>
            <w:r>
              <w:rPr>
                <w:rFonts w:ascii="Times New Roman" w:hAnsi="Times New Roman"/>
                <w:b w:val="false"/>
                <w:i w:val="false"/>
                <w:caps w:val="false"/>
                <w:smallCaps w:val="false"/>
                <w:color w:val="000040"/>
                <w:spacing w:val="0"/>
                <w:sz w:val="20"/>
                <w:szCs w:val="20"/>
              </w:rPr>
              <w:t>z łatwego do utrzymania w czystości, wytrzymałego materiału</w:t>
            </w:r>
          </w:p>
          <w:p>
            <w:pPr>
              <w:pStyle w:val="Normal"/>
              <w:widowControl/>
              <w:numPr>
                <w:ilvl w:val="0"/>
                <w:numId w:val="0"/>
              </w:numPr>
              <w:bidi w:val="0"/>
              <w:spacing w:before="0" w:after="120"/>
              <w:ind w:hanging="0" w:start="0"/>
              <w:jc w:val="start"/>
              <w:textAlignment w:val="top"/>
              <w:rPr/>
            </w:pPr>
            <w:r>
              <w:rPr>
                <w:b w:val="false"/>
                <w:i w:val="false"/>
                <w:caps w:val="false"/>
                <w:smallCaps w:val="false"/>
                <w:color w:val="000040"/>
                <w:spacing w:val="0"/>
                <w:sz w:val="20"/>
                <w:szCs w:val="20"/>
              </w:rPr>
              <w:t xml:space="preserve"> </w:t>
            </w:r>
            <w:r>
              <w:rPr>
                <w:b w:val="false"/>
                <w:i w:val="false"/>
                <w:caps w:val="false"/>
                <w:smallCaps w:val="false"/>
                <w:color w:val="000040"/>
                <w:spacing w:val="0"/>
                <w:sz w:val="20"/>
                <w:szCs w:val="20"/>
              </w:rPr>
              <w:t>wymiary: 48 x 33,5 x 9,5 cm (wys. x szer. x gł.)</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Pojemność: do 15,2 l</w:t>
            </w:r>
          </w:p>
          <w:p>
            <w:pPr>
              <w:pStyle w:val="BodyText"/>
              <w:widowControl/>
              <w:numPr>
                <w:ilvl w:val="0"/>
                <w:numId w:val="0"/>
              </w:numPr>
              <w:bidi w:val="0"/>
              <w:spacing w:before="0" w:after="120"/>
              <w:ind w:hanging="0" w:start="0"/>
              <w:jc w:val="start"/>
              <w:textAlignment w:val="top"/>
              <w:rPr/>
            </w:pPr>
            <w:r>
              <w:rPr>
                <w:rFonts w:ascii="Times New Roman" w:hAnsi="Times New Roman"/>
                <w:b w:val="false"/>
                <w:i w:val="false"/>
                <w:caps w:val="false"/>
                <w:smallCaps w:val="false"/>
                <w:color w:val="000040"/>
                <w:spacing w:val="0"/>
                <w:sz w:val="20"/>
                <w:szCs w:val="20"/>
              </w:rPr>
              <w:t>- Waga: do 1,30 kg</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zestaw toreb modułowych</w:t>
            </w:r>
          </w:p>
          <w:p>
            <w:pPr>
              <w:pStyle w:val="BodyText"/>
              <w:widowControl/>
              <w:numPr>
                <w:ilvl w:val="0"/>
                <w:numId w:val="0"/>
              </w:numPr>
              <w:spacing w:before="0" w:after="120"/>
              <w:ind w:hanging="0" w:start="0"/>
              <w:rPr/>
            </w:pPr>
            <w:r>
              <w:rPr>
                <w:rFonts w:ascii="Times New Roman" w:hAnsi="Times New Roman"/>
                <w:b w:val="false"/>
                <w:bCs w:val="false"/>
                <w:i w:val="false"/>
                <w:caps w:val="false"/>
                <w:smallCaps w:val="false"/>
                <w:color w:val="000040"/>
                <w:spacing w:val="0"/>
                <w:sz w:val="20"/>
                <w:szCs w:val="20"/>
              </w:rPr>
              <w:t xml:space="preserve">- wytrzymały, łatwy do utrzymania w czystości materiał </w:t>
            </w:r>
          </w:p>
          <w:p>
            <w:pPr>
              <w:pStyle w:val="BodyText"/>
              <w:widowControl/>
              <w:numPr>
                <w:ilvl w:val="0"/>
                <w:numId w:val="0"/>
              </w:numPr>
              <w:bidi w:val="0"/>
              <w:spacing w:before="0" w:after="120"/>
              <w:ind w:hanging="0" w:start="0"/>
              <w:jc w:val="start"/>
              <w:textAlignment w:val="top"/>
              <w:rPr/>
            </w:pPr>
            <w:r>
              <w:rPr>
                <w:rFonts w:ascii="Times New Roman" w:hAnsi="Times New Roman"/>
                <w:b w:val="false"/>
                <w:bCs w:val="false"/>
                <w:i w:val="false"/>
                <w:caps w:val="false"/>
                <w:smallCaps w:val="false"/>
                <w:color w:val="000040"/>
                <w:spacing w:val="0"/>
                <w:sz w:val="20"/>
                <w:szCs w:val="20"/>
              </w:rPr>
              <w:t>- kompatybilny z plecakiem</w:t>
            </w:r>
          </w:p>
          <w:p>
            <w:pPr>
              <w:pStyle w:val="Normal"/>
              <w:widowControl/>
              <w:numPr>
                <w:ilvl w:val="0"/>
                <w:numId w:val="0"/>
              </w:numPr>
              <w:spacing w:before="0" w:after="120"/>
              <w:ind w:hanging="0" w:start="0"/>
              <w:rPr/>
            </w:pPr>
            <w:r>
              <w:rPr>
                <w:b w:val="false"/>
                <w:bCs w:val="false"/>
                <w:i w:val="false"/>
                <w:caps w:val="false"/>
                <w:smallCaps w:val="false"/>
                <w:color w:val="000040"/>
                <w:spacing w:val="0"/>
                <w:sz w:val="20"/>
                <w:szCs w:val="20"/>
              </w:rPr>
              <w:t xml:space="preserve"> </w:t>
            </w:r>
            <w:r>
              <w:rPr>
                <w:b w:val="false"/>
                <w:bCs w:val="false"/>
                <w:i w:val="false"/>
                <w:caps w:val="false"/>
                <w:smallCaps w:val="false"/>
                <w:color w:val="000040"/>
                <w:spacing w:val="0"/>
                <w:sz w:val="20"/>
                <w:szCs w:val="20"/>
              </w:rPr>
              <w:t>do przejrzystego rozmieszczenia materiałów ratunkowych</w:t>
            </w:r>
          </w:p>
          <w:p>
            <w:pPr>
              <w:pStyle w:val="BodyText"/>
              <w:widowControl/>
              <w:numPr>
                <w:ilvl w:val="0"/>
                <w:numId w:val="0"/>
              </w:numPr>
              <w:spacing w:before="0" w:after="120"/>
              <w:ind w:hanging="0" w:start="0"/>
              <w:rPr/>
            </w:pPr>
            <w:r>
              <w:rPr>
                <w:rFonts w:ascii="Times New Roman" w:hAnsi="Times New Roman"/>
                <w:b w:val="false"/>
                <w:bCs w:val="false"/>
                <w:i w:val="false"/>
                <w:caps w:val="false"/>
                <w:smallCaps w:val="false"/>
                <w:color w:val="000040"/>
                <w:spacing w:val="0"/>
                <w:sz w:val="20"/>
                <w:szCs w:val="20"/>
              </w:rPr>
              <w:t>- również do plecaków bez systemu mocowania na rzepy</w:t>
            </w:r>
          </w:p>
          <w:p>
            <w:pPr>
              <w:pStyle w:val="BodyText"/>
              <w:widowControl/>
              <w:numPr>
                <w:ilvl w:val="0"/>
                <w:numId w:val="0"/>
              </w:numPr>
              <w:spacing w:before="0" w:after="120"/>
              <w:ind w:hanging="0" w:start="0"/>
              <w:rPr/>
            </w:pPr>
            <w:r>
              <w:rPr>
                <w:rFonts w:ascii="Times New Roman" w:hAnsi="Times New Roman"/>
                <w:b w:val="false"/>
                <w:bCs w:val="false"/>
                <w:i w:val="false"/>
                <w:caps w:val="false"/>
                <w:smallCaps w:val="false"/>
                <w:color w:val="000040"/>
                <w:spacing w:val="0"/>
                <w:sz w:val="20"/>
                <w:szCs w:val="20"/>
              </w:rPr>
              <w:t>- materiał odporny na działanie środków do dezynfekcji</w:t>
            </w:r>
          </w:p>
          <w:p>
            <w:pPr>
              <w:pStyle w:val="BodyText"/>
              <w:widowControl/>
              <w:numPr>
                <w:ilvl w:val="0"/>
                <w:numId w:val="0"/>
              </w:numPr>
              <w:spacing w:before="0" w:after="120"/>
              <w:ind w:hanging="0" w:start="0"/>
              <w:rPr/>
            </w:pPr>
            <w:r>
              <w:rPr>
                <w:rFonts w:ascii="Times New Roman" w:hAnsi="Times New Roman"/>
                <w:b w:val="false"/>
                <w:bCs w:val="false"/>
                <w:i w:val="false"/>
                <w:caps w:val="false"/>
                <w:smallCaps w:val="false"/>
                <w:color w:val="000040"/>
                <w:spacing w:val="0"/>
                <w:sz w:val="20"/>
                <w:szCs w:val="20"/>
              </w:rPr>
              <w:t>- z wytrzymałymi, lekko pracującymi zamkami</w:t>
            </w:r>
            <w:r>
              <w:rPr>
                <w:rFonts w:ascii="Source Sans Pro;sans-serif" w:hAnsi="Source Sans Pro;sans-serif"/>
                <w:b w:val="false"/>
                <w:i w:val="false"/>
                <w:caps w:val="false"/>
                <w:smallCaps w:val="false"/>
                <w:color w:val="000040"/>
                <w:spacing w:val="0"/>
                <w:sz w:val="27"/>
              </w:rPr>
              <w:t xml:space="preserve"> </w:t>
            </w:r>
            <w:r>
              <w:rPr>
                <w:rFonts w:ascii="Times New Roman" w:hAnsi="Times New Roman"/>
                <w:b w:val="false"/>
                <w:i w:val="false"/>
                <w:caps w:val="false"/>
                <w:smallCaps w:val="false"/>
                <w:color w:val="000040"/>
                <w:spacing w:val="0"/>
                <w:sz w:val="20"/>
                <w:szCs w:val="20"/>
              </w:rPr>
              <w:t>błyskawicznymi</w:t>
            </w:r>
          </w:p>
          <w:p>
            <w:pPr>
              <w:pStyle w:val="BodyText"/>
              <w:widowControl/>
              <w:numPr>
                <w:ilvl w:val="0"/>
                <w:numId w:val="0"/>
              </w:numPr>
              <w:spacing w:before="0" w:after="120"/>
              <w:ind w:hanging="0" w:start="0"/>
              <w:rPr/>
            </w:pPr>
            <w:r>
              <w:rPr>
                <w:rFonts w:ascii="Times New Roman" w:hAnsi="Times New Roman"/>
                <w:b w:val="false"/>
                <w:bCs w:val="false"/>
                <w:i w:val="false"/>
                <w:caps w:val="false"/>
                <w:smallCaps w:val="false"/>
                <w:color w:val="000040"/>
                <w:spacing w:val="0"/>
                <w:sz w:val="20"/>
                <w:szCs w:val="20"/>
              </w:rPr>
              <w:t>- doskonały do codziennego użytku przez ratowników medycznych</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t>Tak</w:t>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rFonts w:eastAsia="Calibri"/>
              </w:rPr>
            </w:pPr>
            <w:r>
              <w:rPr>
                <w:rFonts w:eastAsia="Calibri"/>
              </w:rPr>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ListParagraph"/>
              <w:numPr>
                <w:ilvl w:val="0"/>
                <w:numId w:val="0"/>
              </w:numPr>
              <w:ind w:hanging="0" w:start="708"/>
              <w:jc w:val="center"/>
              <w:rPr>
                <w:b/>
                <w:bCs/>
              </w:rPr>
            </w:pPr>
            <w:r>
              <w:rPr>
                <w:b/>
                <w:bCs/>
              </w:rPr>
              <w:t>PŁACHTA TRANSPORTOWA</w:t>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r>
        <w:trPr>
          <w:trHeight w:val="284" w:hRule="atLeast"/>
        </w:trPr>
        <w:tc>
          <w:tcPr>
            <w:tcW w:w="1320"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spacing w:lineRule="atLeast" w:line="100"/>
              <w:jc w:val="center"/>
              <w:textAlignment w:val="baseline"/>
              <w:rPr/>
            </w:pPr>
            <w:r>
              <w:rPr>
                <w:rFonts w:eastAsia="Calibri"/>
              </w:rPr>
              <w:t>4</w:t>
            </w:r>
          </w:p>
        </w:tc>
        <w:tc>
          <w:tcPr>
            <w:tcW w:w="5942" w:type="dxa"/>
            <w:tcBorders>
              <w:top w:val="single" w:sz="4" w:space="0" w:color="000001"/>
              <w:start w:val="single" w:sz="4" w:space="0" w:color="000001"/>
              <w:bottom w:val="single" w:sz="4" w:space="0" w:color="000001"/>
              <w:end w:val="single" w:sz="4" w:space="0" w:color="000001"/>
            </w:tcBorders>
            <w:shd w:fill="auto" w:val="clear"/>
          </w:tcPr>
          <w:p>
            <w:pPr>
              <w:pStyle w:val="Heading1"/>
              <w:widowControl/>
              <w:numPr>
                <w:ilvl w:val="0"/>
                <w:numId w:val="0"/>
              </w:numPr>
              <w:bidi w:val="0"/>
              <w:spacing w:before="0" w:after="120"/>
              <w:ind w:hanging="0" w:start="227"/>
              <w:jc w:val="start"/>
              <w:textAlignment w:val="top"/>
              <w:rPr/>
            </w:pPr>
            <w:r>
              <w:rPr>
                <w:rFonts w:ascii="Times New Roman" w:hAnsi="Times New Roman"/>
                <w:b w:val="false"/>
                <w:bCs w:val="false"/>
                <w:i w:val="false"/>
                <w:caps w:val="false"/>
                <w:smallCaps w:val="false"/>
                <w:color w:val="000040"/>
                <w:spacing w:val="0"/>
                <w:sz w:val="20"/>
                <w:szCs w:val="20"/>
              </w:rPr>
              <w:t>Nosze płachtowe  z kieszenią na nogi 80cm. x 200cm.</w:t>
              <w:br/>
            </w:r>
            <w:r>
              <w:rPr>
                <w:rStyle w:val="Mocnowyrniony"/>
                <w:rFonts w:ascii="Times New Roman" w:hAnsi="Times New Roman"/>
                <w:b w:val="false"/>
                <w:bCs w:val="false"/>
                <w:i w:val="false"/>
                <w:caps w:val="false"/>
                <w:smallCaps w:val="false"/>
                <w:color w:val="242424"/>
                <w:spacing w:val="0"/>
                <w:sz w:val="20"/>
                <w:szCs w:val="20"/>
              </w:rPr>
              <w:t>Wysoka nośność</w:t>
            </w:r>
            <w:r>
              <w:rPr>
                <w:rFonts w:ascii="Times New Roman" w:hAnsi="Times New Roman"/>
                <w:b w:val="false"/>
                <w:bCs w:val="false"/>
                <w:i w:val="false"/>
                <w:caps w:val="false"/>
                <w:smallCaps w:val="false"/>
                <w:color w:val="242424"/>
                <w:spacing w:val="0"/>
                <w:sz w:val="20"/>
                <w:szCs w:val="20"/>
              </w:rPr>
              <w:t xml:space="preserve"> umożliwiająca </w:t>
            </w:r>
            <w:r>
              <w:rPr>
                <w:rStyle w:val="Mocnowyrniony"/>
                <w:rFonts w:ascii="Times New Roman" w:hAnsi="Times New Roman"/>
                <w:b w:val="false"/>
                <w:bCs w:val="false"/>
                <w:i w:val="false"/>
                <w:caps w:val="false"/>
                <w:smallCaps w:val="false"/>
                <w:color w:val="242424"/>
                <w:spacing w:val="0"/>
                <w:sz w:val="20"/>
                <w:szCs w:val="20"/>
              </w:rPr>
              <w:t>transport pacjentów</w:t>
            </w:r>
            <w:r>
              <w:rPr>
                <w:rFonts w:ascii="Times New Roman" w:hAnsi="Times New Roman"/>
                <w:b w:val="false"/>
                <w:bCs w:val="false"/>
                <w:i w:val="false"/>
                <w:caps w:val="false"/>
                <w:smallCaps w:val="false"/>
                <w:color w:val="242424"/>
                <w:spacing w:val="0"/>
                <w:sz w:val="20"/>
                <w:szCs w:val="20"/>
              </w:rPr>
              <w:t>, których nie można przenieść na innym urządzeniu.</w:t>
              <w:br/>
              <w:t>- k</w:t>
            </w:r>
            <w:r>
              <w:rPr>
                <w:rFonts w:ascii="Times New Roman" w:hAnsi="Times New Roman"/>
                <w:b w:val="false"/>
                <w:i w:val="false"/>
                <w:caps w:val="false"/>
                <w:smallCaps w:val="false"/>
                <w:color w:val="242424"/>
                <w:spacing w:val="0"/>
                <w:sz w:val="20"/>
                <w:szCs w:val="20"/>
              </w:rPr>
              <w:t>ieszeń na nogi gwarantująca bezpieczeństwo podczas transportu po schodach.</w:t>
              <w:br/>
              <w:t xml:space="preserve">- wyprodukowane z łatwozmywalnego i dezynfekowalnego materiału </w:t>
              <w:br/>
              <w:t>- nosze mają być lekkie i wygodne w użytkowaniu,  zajmujące niewiele miejsca  podczas transportu oraz przechowywania.</w:t>
              <w:br/>
              <w:t>- wzmocnione poprzecznymi pasami z ośmioma  uchwytami do przenoszenia pacjenta</w:t>
              <w:br/>
              <w:t>- umiejscowiona kieszeń na nogi.</w:t>
              <w:br/>
              <w:t>- dopuszcza się +/- 2 cm różnicy w długości.</w:t>
            </w:r>
          </w:p>
          <w:p>
            <w:pPr>
              <w:pStyle w:val="BodyText"/>
              <w:widowControl/>
              <w:numPr>
                <w:ilvl w:val="0"/>
                <w:numId w:val="0"/>
              </w:numPr>
              <w:bidi w:val="0"/>
              <w:spacing w:before="0" w:after="120"/>
              <w:ind w:hanging="0" w:start="0"/>
              <w:jc w:val="start"/>
              <w:textAlignment w:val="top"/>
              <w:rPr>
                <w:rFonts w:ascii="Times New Roman" w:hAnsi="Times New Roman"/>
                <w:b w:val="false"/>
                <w:bCs w:val="false"/>
                <w:i w:val="false"/>
                <w:caps w:val="false"/>
                <w:smallCaps w:val="false"/>
                <w:color w:val="000040"/>
                <w:spacing w:val="0"/>
                <w:sz w:val="20"/>
                <w:szCs w:val="20"/>
              </w:rPr>
            </w:pPr>
            <w:r>
              <w:rPr>
                <w:rFonts w:ascii="Times New Roman" w:hAnsi="Times New Roman"/>
                <w:b w:val="false"/>
                <w:bCs w:val="false"/>
                <w:i w:val="false"/>
                <w:caps w:val="false"/>
                <w:smallCaps w:val="false"/>
                <w:color w:val="000040"/>
                <w:spacing w:val="0"/>
                <w:sz w:val="20"/>
                <w:szCs w:val="20"/>
              </w:rPr>
            </w:r>
          </w:p>
        </w:tc>
        <w:tc>
          <w:tcPr>
            <w:tcW w:w="1980"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t>Tak</w:t>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p>
            <w:pPr>
              <w:pStyle w:val="Normal"/>
              <w:widowControl w:val="false"/>
              <w:spacing w:lineRule="atLeast" w:line="100"/>
              <w:jc w:val="center"/>
              <w:textAlignment w:val="baseline"/>
              <w:rPr/>
            </w:pPr>
            <w:r>
              <w:rPr/>
            </w:r>
          </w:p>
        </w:tc>
        <w:tc>
          <w:tcPr>
            <w:tcW w:w="4762" w:type="dxa"/>
            <w:tcBorders>
              <w:top w:val="single" w:sz="4" w:space="0" w:color="000001"/>
              <w:start w:val="single" w:sz="4" w:space="0" w:color="000001"/>
              <w:bottom w:val="single" w:sz="4" w:space="0" w:color="000001"/>
              <w:end w:val="single" w:sz="4" w:space="0" w:color="000001"/>
            </w:tcBorders>
            <w:shd w:fill="auto" w:val="clear"/>
          </w:tcPr>
          <w:p>
            <w:pPr>
              <w:pStyle w:val="Normal"/>
              <w:widowControl w:val="false"/>
              <w:spacing w:lineRule="atLeast" w:line="100"/>
              <w:textAlignment w:val="baseline"/>
              <w:rPr>
                <w:rFonts w:eastAsia="Calibri"/>
                <w:b/>
                <w:bCs/>
              </w:rPr>
            </w:pPr>
            <w:r>
              <w:rPr>
                <w:rFonts w:eastAsia="Calibri"/>
                <w:b/>
                <w:bCs/>
              </w:rPr>
            </w:r>
          </w:p>
        </w:tc>
      </w:tr>
    </w:tbl>
    <w:p>
      <w:pPr>
        <w:pStyle w:val="Normal"/>
        <w:widowControl w:val="false"/>
        <w:spacing w:lineRule="atLeast" w:line="100"/>
        <w:textAlignment w:val="baseline"/>
        <w:rPr/>
      </w:pPr>
      <w:r>
        <w:rPr/>
      </w:r>
    </w:p>
    <w:sectPr>
      <w:footerReference w:type="even" r:id="rId2"/>
      <w:footerReference w:type="default" r:id="rId3"/>
      <w:footerReference w:type="first" r:id="rId4"/>
      <w:type w:val="nextPage"/>
      <w:pgSz w:orient="landscape" w:w="16838" w:h="11906"/>
      <w:pgMar w:left="1417" w:right="1417" w:gutter="0" w:header="0" w:top="2121" w:footer="213" w:bottom="1276"/>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Times New Roman">
    <w:charset w:val="ee" w:characterSet="windows-1250"/>
    <w:family w:val="roman"/>
    <w:pitch w:val="variable"/>
  </w:font>
  <w:font w:name="Arial">
    <w:charset w:val="ee" w:characterSet="windows-1250"/>
    <w:family w:val="swiss"/>
    <w:pitch w:val="variable"/>
  </w:font>
  <w:font w:name="Aptos Display">
    <w:charset w:val="ee" w:characterSet="windows-1250"/>
    <w:family w:val="roman"/>
    <w:pitch w:val="variable"/>
  </w:font>
  <w:font w:name="Aptos">
    <w:charset w:val="ee" w:characterSet="windows-1250"/>
    <w:family w:val="roman"/>
    <w:pitch w:val="variable"/>
  </w:font>
  <w:font w:name="Segoe UI">
    <w:charset w:val="ee" w:characterSet="windows-1250"/>
    <w:family w:val="roman"/>
    <w:pitch w:val="variable"/>
  </w:font>
  <w:font w:name="OpenSymbol">
    <w:altName w:val="Arial Unicode MS"/>
    <w:charset w:val="02"/>
    <w:family w:val="roman"/>
    <w:pitch w:val="variable"/>
  </w:font>
  <w:font w:name="Verdana">
    <w:charset w:val="ee" w:characterSet="windows-1250"/>
    <w:family w:val="roman"/>
    <w:pitch w:val="variable"/>
  </w:font>
  <w:font w:name="Wingdings">
    <w:charset w:val="ee" w:characterSet="windows-1250"/>
    <w:family w:val="roman"/>
    <w:pitch w:val="variable"/>
  </w:font>
  <w:font w:name="Courier New">
    <w:charset w:val="ee" w:characterSet="windows-1250"/>
    <w:family w:val="roman"/>
    <w:pitch w:val="variable"/>
  </w:font>
  <w:font w:name="OpenSymbol">
    <w:altName w:val="Arial Unicode MS"/>
    <w:charset w:val="ee" w:characterSet="windows-1250"/>
    <w:family w:val="roman"/>
    <w:pitch w:val="variable"/>
  </w:font>
  <w:font w:name="Tahoma">
    <w:charset w:val="ee" w:characterSet="windows-1250"/>
    <w:family w:val="roman"/>
    <w:pitch w:val="variable"/>
  </w:font>
  <w:font w:name="Cambria">
    <w:charset w:val="ee" w:characterSet="windows-1250"/>
    <w:family w:val="roman"/>
    <w:pitch w:val="variable"/>
  </w:font>
  <w:font w:name="Liberation Sans">
    <w:altName w:val="Arial"/>
    <w:charset w:val="ee" w:characterSet="windows-1250"/>
    <w:family w:val="swiss"/>
    <w:pitch w:val="variable"/>
  </w:font>
  <w:font w:name="Helvetica">
    <w:altName w:val="Arial"/>
    <w:charset w:val="ee" w:characterSet="windows-1250"/>
    <w:family w:val="roman"/>
    <w:pitch w:val="variable"/>
  </w:font>
  <w:font w:name="Garamond">
    <w:charset w:val="ee" w:characterSet="windows-1250"/>
    <w:family w:val="roman"/>
    <w:pitch w:val="variable"/>
  </w:font>
  <w:font w:name="Source Sans Pro">
    <w:altName w:val="sans-serif"/>
    <w:charset w:val="ee" w:characterSet="windows-125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2E74B5"/>
        <w:sz w:val="18"/>
        <w:szCs w:val="18"/>
      </w:rPr>
    </w:pPr>
    <w:r>
      <w:rPr>
        <w:color w:val="2E74B5"/>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2E74B5"/>
        <w:sz w:val="18"/>
        <w:szCs w:val="18"/>
      </w:rPr>
    </w:pPr>
    <w:r>
      <w:rPr>
        <w:color w:val="2E74B5"/>
        <w:sz w:val="18"/>
        <w:szCs w:val="18"/>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2">
    <w:lvl w:ilvl="0">
      <w:start w:val="1"/>
      <w:numFmt w:val="bullet"/>
      <w:lvlText w:val=""/>
      <w:lvlJc w:val="start"/>
      <w:pPr>
        <w:tabs>
          <w:tab w:val="num" w:pos="0"/>
        </w:tabs>
        <w:ind w:start="720" w:hanging="360"/>
      </w:pPr>
      <w:rPr>
        <w:rFonts w:ascii="Symbol" w:hAnsi="Symbol" w:cs="Symbol" w:hint="default"/>
        <w:sz w:val="21"/>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bullet"/>
      <w:lvlText w:val=""/>
      <w:lvlJc w:val="start"/>
      <w:pPr>
        <w:tabs>
          <w:tab w:val="num" w:pos="0"/>
        </w:tabs>
        <w:ind w:start="720" w:hanging="360"/>
      </w:pPr>
      <w:rPr>
        <w:rFonts w:ascii="Symbol" w:hAnsi="Symbol" w:cs="Symbol" w:hint="default"/>
        <w:color w:val="00000A"/>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color w:val="00000A"/>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color w:val="00000A"/>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71"/>
  <w:embedSystemFonts/>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semiHidden="1" w:unhideWhenUsed="1" w:qFormat="1"/>
    <w:lsdException w:name="heading 3" w:locked="1" w:uiPriority="9" w:semiHidden="1" w:unhideWhenUsed="1" w:qFormat="1"/>
    <w:lsdException w:name="heading 4" w:locked="1" w:uiPriority="9" w:semiHidden="1" w:unhideWhenUsed="1" w:qFormat="1"/>
    <w:lsdException w:name="heading 5" w:locked="1" w:uiPriority="9" w:semiHidden="1" w:unhideWhenUsed="1" w:qFormat="1"/>
    <w:lsdException w:name="heading 6" w:locked="1" w:uiPriority="9" w:semiHidden="1" w:unhideWhenUsed="1" w:qFormat="1"/>
    <w:lsdException w:name="heading 7" w:locked="1" w:uiPriority="9" w:semiHidden="1" w:unhideWhenUsed="1" w:qFormat="1"/>
    <w:lsdException w:name="heading 8" w:locked="1" w:uiPriority="0" w:semiHidden="1" w:unhideWhenUsed="1" w:qFormat="1"/>
    <w:lsdException w:name="heading 9" w:locked="1" w:uiPriority="9"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uiPriority="0" w:semiHidden="1" w:unhideWhenUsed="1"/>
    <w:lsdException w:name="annotation text" w:uiPriority="0" w:semiHidden="1" w:unhideWhenUsed="1"/>
    <w:lsdException w:name="header" w:semiHidden="1" w:unhideWhenUsed="1" w:qFormat="1"/>
    <w:lsdException w:name="footer" w:uiPriority="0"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uiPriority="0" w:semiHidden="1" w:unhideWhenUsed="1" w:qFormat="1"/>
    <w:lsdException w:name="endnote text" w:uiPriority="0" w:semiHidden="1" w:unhideWhenUsed="1" w:qFormat="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7adb"/>
    <w:pPr>
      <w:widowControl/>
      <w:suppressAutoHyphens w:val="true"/>
      <w:bidi w:val="0"/>
      <w:spacing w:before="0" w:after="0"/>
      <w:jc w:val="start"/>
    </w:pPr>
    <w:rPr>
      <w:rFonts w:ascii="Times New Roman" w:hAnsi="Times New Roman" w:eastAsia="Times New Roman" w:cs="Times New Roman"/>
      <w:color w:val="00000A"/>
      <w:kern w:val="0"/>
      <w:sz w:val="20"/>
      <w:szCs w:val="20"/>
      <w:lang w:val="pl-PL" w:eastAsia="ar-SA" w:bidi="ar-SA"/>
    </w:rPr>
  </w:style>
  <w:style w:type="paragraph" w:styleId="Heading1">
    <w:name w:val="heading 1"/>
    <w:basedOn w:val="Normal"/>
    <w:link w:val="Nagwek1Znak"/>
    <w:uiPriority w:val="9"/>
    <w:qFormat/>
    <w:rsid w:val="0043506a"/>
    <w:pPr>
      <w:keepNext w:val="true"/>
      <w:widowControl w:val="false"/>
      <w:ind w:hanging="227" w:start="227"/>
      <w:jc w:val="center"/>
      <w:outlineLvl w:val="0"/>
    </w:pPr>
    <w:rPr>
      <w:rFonts w:ascii="Arial" w:hAnsi="Arial" w:cs="Arial"/>
      <w:b/>
      <w:bCs/>
      <w:sz w:val="24"/>
      <w:szCs w:val="24"/>
    </w:rPr>
  </w:style>
  <w:style w:type="paragraph" w:styleId="Heading2">
    <w:name w:val="heading 2"/>
    <w:basedOn w:val="Normal"/>
    <w:link w:val="Nagwek2Znak"/>
    <w:uiPriority w:val="9"/>
    <w:unhideWhenUsed/>
    <w:qFormat/>
    <w:locked/>
    <w:rsid w:val="006a1eff"/>
    <w:pPr>
      <w:keepNext w:val="true"/>
      <w:keepLines/>
      <w:suppressAutoHyphens w:val="false"/>
      <w:spacing w:lineRule="auto" w:line="259" w:before="160" w:after="80"/>
      <w:outlineLvl w:val="1"/>
    </w:pPr>
    <w:rPr>
      <w:rFonts w:ascii="Aptos Display" w:hAnsi="Aptos Display"/>
      <w:color w:val="0F4761"/>
      <w:sz w:val="32"/>
      <w:szCs w:val="32"/>
      <w:lang w:eastAsia="en-US"/>
    </w:rPr>
  </w:style>
  <w:style w:type="paragraph" w:styleId="Heading3">
    <w:name w:val="heading 3"/>
    <w:basedOn w:val="Normal"/>
    <w:link w:val="Nagwek3Znak"/>
    <w:uiPriority w:val="9"/>
    <w:unhideWhenUsed/>
    <w:qFormat/>
    <w:locked/>
    <w:rsid w:val="006a1eff"/>
    <w:pPr>
      <w:keepNext w:val="true"/>
      <w:keepLines/>
      <w:suppressAutoHyphens w:val="false"/>
      <w:spacing w:lineRule="auto" w:line="259" w:before="160" w:after="80"/>
      <w:outlineLvl w:val="2"/>
    </w:pPr>
    <w:rPr>
      <w:rFonts w:ascii="Aptos" w:hAnsi="Aptos"/>
      <w:color w:val="0F4761"/>
      <w:sz w:val="28"/>
      <w:szCs w:val="28"/>
      <w:lang w:eastAsia="en-US"/>
    </w:rPr>
  </w:style>
  <w:style w:type="paragraph" w:styleId="Heading4">
    <w:name w:val="heading 4"/>
    <w:basedOn w:val="Normal"/>
    <w:link w:val="Nagwek4Znak"/>
    <w:uiPriority w:val="9"/>
    <w:unhideWhenUsed/>
    <w:qFormat/>
    <w:locked/>
    <w:rsid w:val="006a1eff"/>
    <w:pPr>
      <w:keepNext w:val="true"/>
      <w:keepLines/>
      <w:suppressAutoHyphens w:val="false"/>
      <w:spacing w:lineRule="auto" w:line="259" w:before="80" w:after="40"/>
      <w:outlineLvl w:val="3"/>
    </w:pPr>
    <w:rPr>
      <w:rFonts w:ascii="Aptos" w:hAnsi="Aptos"/>
      <w:i/>
      <w:iCs/>
      <w:color w:val="0F4761"/>
      <w:sz w:val="22"/>
      <w:szCs w:val="22"/>
      <w:lang w:eastAsia="en-US"/>
    </w:rPr>
  </w:style>
  <w:style w:type="paragraph" w:styleId="Heading5">
    <w:name w:val="heading 5"/>
    <w:basedOn w:val="Normal"/>
    <w:link w:val="Nagwek5Znak"/>
    <w:uiPriority w:val="9"/>
    <w:unhideWhenUsed/>
    <w:qFormat/>
    <w:locked/>
    <w:rsid w:val="006a1eff"/>
    <w:pPr>
      <w:keepNext w:val="true"/>
      <w:keepLines/>
      <w:suppressAutoHyphens w:val="false"/>
      <w:spacing w:lineRule="auto" w:line="259" w:before="80" w:after="40"/>
      <w:outlineLvl w:val="4"/>
    </w:pPr>
    <w:rPr>
      <w:rFonts w:ascii="Aptos" w:hAnsi="Aptos"/>
      <w:color w:val="0F4761"/>
      <w:sz w:val="22"/>
      <w:szCs w:val="22"/>
      <w:lang w:eastAsia="en-US"/>
    </w:rPr>
  </w:style>
  <w:style w:type="paragraph" w:styleId="Heading6">
    <w:name w:val="heading 6"/>
    <w:basedOn w:val="Normal"/>
    <w:link w:val="Nagwek6Znak"/>
    <w:uiPriority w:val="9"/>
    <w:semiHidden/>
    <w:unhideWhenUsed/>
    <w:qFormat/>
    <w:locked/>
    <w:rsid w:val="006a1eff"/>
    <w:pPr>
      <w:keepNext w:val="true"/>
      <w:keepLines/>
      <w:suppressAutoHyphens w:val="false"/>
      <w:spacing w:lineRule="auto" w:line="259" w:before="40" w:after="0"/>
      <w:outlineLvl w:val="5"/>
    </w:pPr>
    <w:rPr>
      <w:rFonts w:ascii="Aptos" w:hAnsi="Aptos"/>
      <w:i/>
      <w:iCs/>
      <w:color w:val="595959"/>
      <w:sz w:val="22"/>
      <w:szCs w:val="22"/>
      <w:lang w:eastAsia="en-US"/>
    </w:rPr>
  </w:style>
  <w:style w:type="paragraph" w:styleId="Heading7">
    <w:name w:val="heading 7"/>
    <w:basedOn w:val="Normal"/>
    <w:link w:val="Nagwek7Znak"/>
    <w:uiPriority w:val="9"/>
    <w:semiHidden/>
    <w:unhideWhenUsed/>
    <w:qFormat/>
    <w:locked/>
    <w:rsid w:val="006a1eff"/>
    <w:pPr>
      <w:keepNext w:val="true"/>
      <w:keepLines/>
      <w:suppressAutoHyphens w:val="false"/>
      <w:spacing w:lineRule="auto" w:line="259" w:before="40" w:after="0"/>
      <w:outlineLvl w:val="6"/>
    </w:pPr>
    <w:rPr>
      <w:rFonts w:ascii="Aptos" w:hAnsi="Aptos"/>
      <w:color w:val="595959"/>
      <w:sz w:val="22"/>
      <w:szCs w:val="22"/>
      <w:lang w:eastAsia="en-US"/>
    </w:rPr>
  </w:style>
  <w:style w:type="paragraph" w:styleId="Heading8">
    <w:name w:val="heading 8"/>
    <w:basedOn w:val="Normal"/>
    <w:link w:val="Nagwek8Znak"/>
    <w:unhideWhenUsed/>
    <w:qFormat/>
    <w:locked/>
    <w:rsid w:val="006a1eff"/>
    <w:pPr>
      <w:keepNext w:val="true"/>
      <w:keepLines/>
      <w:suppressAutoHyphens w:val="false"/>
      <w:spacing w:lineRule="auto" w:line="259"/>
      <w:outlineLvl w:val="7"/>
    </w:pPr>
    <w:rPr>
      <w:rFonts w:ascii="Aptos" w:hAnsi="Aptos"/>
      <w:i/>
      <w:iCs/>
      <w:color w:val="272727"/>
      <w:sz w:val="22"/>
      <w:szCs w:val="22"/>
      <w:lang w:eastAsia="en-US"/>
    </w:rPr>
  </w:style>
  <w:style w:type="paragraph" w:styleId="Heading9">
    <w:name w:val="heading 9"/>
    <w:basedOn w:val="Normal"/>
    <w:link w:val="Nagwek9Znak"/>
    <w:uiPriority w:val="9"/>
    <w:semiHidden/>
    <w:unhideWhenUsed/>
    <w:qFormat/>
    <w:locked/>
    <w:rsid w:val="006a1eff"/>
    <w:pPr>
      <w:keepNext w:val="true"/>
      <w:keepLines/>
      <w:suppressAutoHyphens w:val="false"/>
      <w:spacing w:lineRule="auto" w:line="259"/>
      <w:outlineLvl w:val="8"/>
    </w:pPr>
    <w:rPr>
      <w:rFonts w:ascii="Aptos" w:hAnsi="Aptos"/>
      <w:color w:val="272727"/>
      <w:sz w:val="22"/>
      <w:szCs w:val="22"/>
      <w:lang w:eastAsia="en-US"/>
    </w:rPr>
  </w:style>
  <w:style w:type="character" w:styleId="DefaultParagraphFont" w:default="1">
    <w:name w:val="Default Paragraph Font"/>
    <w:uiPriority w:val="1"/>
    <w:unhideWhenUsed/>
    <w:qFormat/>
    <w:rPr/>
  </w:style>
  <w:style w:type="character" w:styleId="Nagwek1Znak" w:customStyle="1">
    <w:name w:val="Nagłówek 1 Znak"/>
    <w:qFormat/>
    <w:locked/>
    <w:rsid w:val="0043506a"/>
    <w:rPr>
      <w:rFonts w:ascii="Arial" w:hAnsi="Arial" w:cs="Arial"/>
      <w:b/>
      <w:bCs/>
      <w:sz w:val="24"/>
      <w:szCs w:val="24"/>
      <w:lang w:val="x-none" w:eastAsia="ar-SA" w:bidi="ar-SA"/>
    </w:rPr>
  </w:style>
  <w:style w:type="character" w:styleId="NagwekZnak" w:customStyle="1">
    <w:name w:val="Nagłówek Znak"/>
    <w:link w:val="Nagwek"/>
    <w:uiPriority w:val="99"/>
    <w:qFormat/>
    <w:locked/>
    <w:rsid w:val="00a33ebc"/>
    <w:rPr>
      <w:rFonts w:ascii="Times New Roman" w:hAnsi="Times New Roman" w:cs="Times New Roman"/>
      <w:sz w:val="20"/>
      <w:szCs w:val="20"/>
      <w:lang w:val="x-none" w:eastAsia="ar-SA" w:bidi="ar-SA"/>
    </w:rPr>
  </w:style>
  <w:style w:type="character" w:styleId="StopkaZnak" w:customStyle="1">
    <w:name w:val="Stopka Znak"/>
    <w:qFormat/>
    <w:locked/>
    <w:rsid w:val="00a33ebc"/>
    <w:rPr>
      <w:rFonts w:ascii="Times New Roman" w:hAnsi="Times New Roman" w:cs="Times New Roman"/>
      <w:sz w:val="20"/>
      <w:szCs w:val="20"/>
      <w:lang w:val="x-none" w:eastAsia="ar-SA" w:bidi="ar-SA"/>
    </w:rPr>
  </w:style>
  <w:style w:type="character" w:styleId="Strong">
    <w:name w:val="Strong"/>
    <w:qFormat/>
    <w:rsid w:val="001c6435"/>
    <w:rPr>
      <w:b/>
      <w:bCs/>
    </w:rPr>
  </w:style>
  <w:style w:type="character" w:styleId="TekstdymkaZnak" w:customStyle="1">
    <w:name w:val="Tekst dymka Znak"/>
    <w:qFormat/>
    <w:locked/>
    <w:rsid w:val="005d3c0b"/>
    <w:rPr>
      <w:rFonts w:ascii="Segoe UI" w:hAnsi="Segoe UI" w:cs="Segoe UI"/>
      <w:sz w:val="18"/>
      <w:szCs w:val="18"/>
      <w:lang w:val="x-none" w:eastAsia="ar-SA" w:bidi="ar-SA"/>
    </w:rPr>
  </w:style>
  <w:style w:type="character" w:styleId="Hyperlink" w:customStyle="1">
    <w:name w:val="Hyperlink"/>
    <w:qFormat/>
    <w:rsid w:val="006a1eff"/>
    <w:rPr>
      <w:rFonts w:cs="Times New Roman"/>
      <w:color w:val="0000FF"/>
      <w:u w:val="single"/>
    </w:rPr>
  </w:style>
  <w:style w:type="character" w:styleId="AkapitzlistZnak" w:customStyle="1">
    <w:name w:val="Akapit z listą Znak"/>
    <w:qFormat/>
    <w:locked/>
    <w:rsid w:val="00680add"/>
    <w:rPr>
      <w:rFonts w:ascii="Times New Roman" w:hAnsi="Times New Roman" w:eastAsia="Times New Roman"/>
      <w:lang w:eastAsia="ar-SA"/>
    </w:rPr>
  </w:style>
  <w:style w:type="character" w:styleId="TekstpodstawowyZnak" w:customStyle="1">
    <w:name w:val="Tekst podstawowy Znak"/>
    <w:qFormat/>
    <w:rsid w:val="00680add"/>
    <w:rPr>
      <w:rFonts w:ascii="Arial" w:hAnsi="Arial" w:eastAsia="Times New Roman"/>
      <w:color w:val="00000A"/>
      <w:lang w:eastAsia="hi-IN" w:bidi="hi-IN"/>
    </w:rPr>
  </w:style>
  <w:style w:type="character" w:styleId="Nagwek2Znak" w:customStyle="1">
    <w:name w:val="Nagłówek 2 Znak"/>
    <w:uiPriority w:val="9"/>
    <w:qFormat/>
    <w:rsid w:val="006a1eff"/>
    <w:rPr>
      <w:rFonts w:ascii="Aptos Display" w:hAnsi="Aptos Display" w:eastAsia="Times New Roman"/>
      <w:color w:val="0F4761"/>
      <w:sz w:val="32"/>
      <w:szCs w:val="32"/>
      <w:lang w:eastAsia="en-US"/>
    </w:rPr>
  </w:style>
  <w:style w:type="character" w:styleId="Nagwek3Znak" w:customStyle="1">
    <w:name w:val="Nagłówek 3 Znak"/>
    <w:uiPriority w:val="9"/>
    <w:qFormat/>
    <w:rsid w:val="006a1eff"/>
    <w:rPr>
      <w:rFonts w:ascii="Aptos" w:hAnsi="Aptos" w:eastAsia="Times New Roman"/>
      <w:color w:val="0F4761"/>
      <w:sz w:val="28"/>
      <w:szCs w:val="28"/>
      <w:lang w:eastAsia="en-US"/>
    </w:rPr>
  </w:style>
  <w:style w:type="character" w:styleId="Nagwek4Znak" w:customStyle="1">
    <w:name w:val="Nagłówek 4 Znak"/>
    <w:uiPriority w:val="9"/>
    <w:qFormat/>
    <w:rsid w:val="006a1eff"/>
    <w:rPr>
      <w:rFonts w:ascii="Aptos" w:hAnsi="Aptos" w:eastAsia="Times New Roman"/>
      <w:i/>
      <w:iCs/>
      <w:color w:val="0F4761"/>
      <w:sz w:val="22"/>
      <w:szCs w:val="22"/>
      <w:lang w:eastAsia="en-US"/>
    </w:rPr>
  </w:style>
  <w:style w:type="character" w:styleId="Nagwek5Znak" w:customStyle="1">
    <w:name w:val="Nagłówek 5 Znak"/>
    <w:qFormat/>
    <w:rsid w:val="006a1eff"/>
    <w:rPr>
      <w:rFonts w:ascii="Aptos" w:hAnsi="Aptos" w:eastAsia="Times New Roman"/>
      <w:color w:val="0F4761"/>
      <w:sz w:val="22"/>
      <w:szCs w:val="22"/>
      <w:lang w:eastAsia="en-US"/>
    </w:rPr>
  </w:style>
  <w:style w:type="character" w:styleId="Nagwek6Znak" w:customStyle="1">
    <w:name w:val="Nagłówek 6 Znak"/>
    <w:uiPriority w:val="9"/>
    <w:semiHidden/>
    <w:qFormat/>
    <w:rsid w:val="006a1eff"/>
    <w:rPr>
      <w:rFonts w:ascii="Aptos" w:hAnsi="Aptos" w:eastAsia="Times New Roman"/>
      <w:i/>
      <w:iCs/>
      <w:color w:val="595959"/>
      <w:sz w:val="22"/>
      <w:szCs w:val="22"/>
      <w:lang w:eastAsia="en-US"/>
    </w:rPr>
  </w:style>
  <w:style w:type="character" w:styleId="Nagwek7Znak" w:customStyle="1">
    <w:name w:val="Nagłówek 7 Znak"/>
    <w:uiPriority w:val="9"/>
    <w:semiHidden/>
    <w:qFormat/>
    <w:rsid w:val="006a1eff"/>
    <w:rPr>
      <w:rFonts w:ascii="Aptos" w:hAnsi="Aptos" w:eastAsia="Times New Roman"/>
      <w:color w:val="595959"/>
      <w:sz w:val="22"/>
      <w:szCs w:val="22"/>
      <w:lang w:eastAsia="en-US"/>
    </w:rPr>
  </w:style>
  <w:style w:type="character" w:styleId="Nagwek8Znak" w:customStyle="1">
    <w:name w:val="Nagłówek 8 Znak"/>
    <w:qFormat/>
    <w:rsid w:val="006a1eff"/>
    <w:rPr>
      <w:rFonts w:ascii="Aptos" w:hAnsi="Aptos" w:eastAsia="Times New Roman"/>
      <w:i/>
      <w:iCs/>
      <w:color w:val="272727"/>
      <w:sz w:val="22"/>
      <w:szCs w:val="22"/>
      <w:lang w:eastAsia="en-US"/>
    </w:rPr>
  </w:style>
  <w:style w:type="character" w:styleId="Nagwek9Znak" w:customStyle="1">
    <w:name w:val="Nagłówek 9 Znak"/>
    <w:uiPriority w:val="9"/>
    <w:semiHidden/>
    <w:qFormat/>
    <w:rsid w:val="006a1eff"/>
    <w:rPr>
      <w:rFonts w:ascii="Aptos" w:hAnsi="Aptos" w:eastAsia="Times New Roman"/>
      <w:color w:val="272727"/>
      <w:sz w:val="22"/>
      <w:szCs w:val="22"/>
      <w:lang w:eastAsia="en-US"/>
    </w:rPr>
  </w:style>
  <w:style w:type="character" w:styleId="TytuZnak" w:customStyle="1">
    <w:name w:val="Tytuł Znak"/>
    <w:qFormat/>
    <w:rsid w:val="006a1eff"/>
    <w:rPr>
      <w:rFonts w:ascii="Aptos Display" w:hAnsi="Aptos Display" w:eastAsia="Times New Roman"/>
      <w:spacing w:val="-10"/>
      <w:sz w:val="56"/>
      <w:szCs w:val="56"/>
      <w:lang w:eastAsia="en-US"/>
    </w:rPr>
  </w:style>
  <w:style w:type="character" w:styleId="PodtytuZnak" w:customStyle="1">
    <w:name w:val="Podtytuł Znak"/>
    <w:uiPriority w:val="11"/>
    <w:qFormat/>
    <w:rsid w:val="006a1eff"/>
    <w:rPr>
      <w:rFonts w:ascii="Aptos" w:hAnsi="Aptos" w:eastAsia="Times New Roman"/>
      <w:color w:val="595959"/>
      <w:spacing w:val="15"/>
      <w:sz w:val="28"/>
      <w:szCs w:val="28"/>
      <w:lang w:eastAsia="en-US"/>
    </w:rPr>
  </w:style>
  <w:style w:type="character" w:styleId="CytatZnak" w:customStyle="1">
    <w:name w:val="Cytat Znak"/>
    <w:uiPriority w:val="29"/>
    <w:qFormat/>
    <w:rsid w:val="006a1eff"/>
    <w:rPr>
      <w:rFonts w:ascii="Aptos" w:hAnsi="Aptos" w:eastAsia="Aptos"/>
      <w:i/>
      <w:iCs/>
      <w:color w:val="404040"/>
      <w:sz w:val="22"/>
      <w:szCs w:val="22"/>
      <w:lang w:eastAsia="en-US"/>
    </w:rPr>
  </w:style>
  <w:style w:type="character" w:styleId="IntenseEmphasis">
    <w:name w:val="Intense Emphasis"/>
    <w:uiPriority w:val="21"/>
    <w:qFormat/>
    <w:rsid w:val="006a1eff"/>
    <w:rPr>
      <w:i/>
      <w:iCs/>
      <w:color w:val="0F4761"/>
    </w:rPr>
  </w:style>
  <w:style w:type="character" w:styleId="CytatintensywnyZnak" w:customStyle="1">
    <w:name w:val="Cytat intensywny Znak"/>
    <w:uiPriority w:val="30"/>
    <w:qFormat/>
    <w:rsid w:val="006a1eff"/>
    <w:rPr>
      <w:rFonts w:ascii="Aptos" w:hAnsi="Aptos" w:eastAsia="Aptos"/>
      <w:i/>
      <w:iCs/>
      <w:color w:val="0F4761"/>
      <w:sz w:val="22"/>
      <w:szCs w:val="22"/>
      <w:lang w:eastAsia="en-US"/>
    </w:rPr>
  </w:style>
  <w:style w:type="character" w:styleId="IntenseReference">
    <w:name w:val="Intense Reference"/>
    <w:uiPriority w:val="32"/>
    <w:qFormat/>
    <w:rsid w:val="006a1eff"/>
    <w:rPr>
      <w:b/>
      <w:bCs/>
      <w:smallCaps/>
      <w:color w:val="0F4761"/>
      <w:spacing w:val="5"/>
    </w:rPr>
  </w:style>
  <w:style w:type="character" w:styleId="Nagwek1Znak1" w:customStyle="1">
    <w:name w:val="Nagłówek 1 Znak1"/>
    <w:uiPriority w:val="9"/>
    <w:qFormat/>
    <w:rsid w:val="006a1eff"/>
    <w:rPr>
      <w:rFonts w:eastAsia="Andale Sans UI" w:cs="Tahoma"/>
      <w:b/>
      <w:sz w:val="24"/>
      <w:szCs w:val="24"/>
      <w:lang w:val="de-DE" w:eastAsia="fa-IR" w:bidi="fa-IR"/>
    </w:rPr>
  </w:style>
  <w:style w:type="character" w:styleId="Domylnaczcionkaakapitu1" w:customStyle="1">
    <w:name w:val="Domyślna czcionka akapitu1"/>
    <w:qFormat/>
    <w:rsid w:val="006a1eff"/>
    <w:rPr/>
  </w:style>
  <w:style w:type="character" w:styleId="WW8Num4z0" w:customStyle="1">
    <w:name w:val="WW8Num4z0"/>
    <w:qFormat/>
    <w:rsid w:val="006a1eff"/>
    <w:rPr>
      <w:rFonts w:ascii="Symbol" w:hAnsi="Symbol"/>
    </w:rPr>
  </w:style>
  <w:style w:type="character" w:styleId="Znakinumeracji" w:customStyle="1">
    <w:name w:val="Znaki numeracji"/>
    <w:qFormat/>
    <w:rsid w:val="006a1eff"/>
    <w:rPr/>
  </w:style>
  <w:style w:type="character" w:styleId="Symbolewypunktowania" w:customStyle="1">
    <w:name w:val="Symbole wypunktowania"/>
    <w:qFormat/>
    <w:rsid w:val="006a1eff"/>
    <w:rPr>
      <w:rFonts w:ascii="OpenSymbol" w:hAnsi="OpenSymbol" w:eastAsia="OpenSymbol" w:cs="OpenSymbol"/>
    </w:rPr>
  </w:style>
  <w:style w:type="character" w:styleId="WW8Num10z0" w:customStyle="1">
    <w:name w:val="WW8Num10z0"/>
    <w:qFormat/>
    <w:rsid w:val="006a1eff"/>
    <w:rPr>
      <w:rFonts w:ascii="Times New Roman" w:hAnsi="Times New Roman"/>
    </w:rPr>
  </w:style>
  <w:style w:type="character" w:styleId="StopkaZnak1" w:customStyle="1">
    <w:name w:val="Stopka Znak1"/>
    <w:qFormat/>
    <w:rsid w:val="006a1eff"/>
    <w:rPr/>
  </w:style>
  <w:style w:type="character" w:styleId="NagwekZnak1" w:customStyle="1">
    <w:name w:val="Nagłówek Znak1"/>
    <w:qFormat/>
    <w:rsid w:val="006a1eff"/>
    <w:rPr/>
  </w:style>
  <w:style w:type="character" w:styleId="WWCharLFO6LVL1" w:customStyle="1">
    <w:name w:val="WW_CharLFO6LVL1"/>
    <w:qFormat/>
    <w:rsid w:val="006a1eff"/>
    <w:rPr>
      <w:rFonts w:ascii="Symbol" w:hAnsi="Symbol"/>
    </w:rPr>
  </w:style>
  <w:style w:type="character" w:styleId="WWCharLFO11LVL1" w:customStyle="1">
    <w:name w:val="WW_CharLFO11LVL1"/>
    <w:qFormat/>
    <w:rsid w:val="006a1eff"/>
    <w:rPr>
      <w:rFonts w:ascii="Times New Roman" w:hAnsi="Times New Roman"/>
    </w:rPr>
  </w:style>
  <w:style w:type="character" w:styleId="WWCharLFO15LVL1" w:customStyle="1">
    <w:name w:val="WW_CharLFO15LVL1"/>
    <w:qFormat/>
    <w:rsid w:val="006a1eff"/>
    <w:rPr>
      <w:rFonts w:ascii="OpenSymbol" w:hAnsi="OpenSymbol" w:eastAsia="OpenSymbol" w:cs="OpenSymbol"/>
    </w:rPr>
  </w:style>
  <w:style w:type="character" w:styleId="WWCharLFO15LVL2" w:customStyle="1">
    <w:name w:val="WW_CharLFO15LVL2"/>
    <w:qFormat/>
    <w:rsid w:val="006a1eff"/>
    <w:rPr>
      <w:rFonts w:ascii="OpenSymbol" w:hAnsi="OpenSymbol" w:eastAsia="OpenSymbol" w:cs="OpenSymbol"/>
    </w:rPr>
  </w:style>
  <w:style w:type="character" w:styleId="WWCharLFO15LVL3" w:customStyle="1">
    <w:name w:val="WW_CharLFO15LVL3"/>
    <w:qFormat/>
    <w:rsid w:val="006a1eff"/>
    <w:rPr>
      <w:rFonts w:ascii="OpenSymbol" w:hAnsi="OpenSymbol" w:eastAsia="OpenSymbol" w:cs="OpenSymbol"/>
    </w:rPr>
  </w:style>
  <w:style w:type="character" w:styleId="WWCharLFO15LVL4" w:customStyle="1">
    <w:name w:val="WW_CharLFO15LVL4"/>
    <w:qFormat/>
    <w:rsid w:val="006a1eff"/>
    <w:rPr>
      <w:rFonts w:ascii="OpenSymbol" w:hAnsi="OpenSymbol" w:eastAsia="OpenSymbol" w:cs="OpenSymbol"/>
    </w:rPr>
  </w:style>
  <w:style w:type="character" w:styleId="WWCharLFO15LVL5" w:customStyle="1">
    <w:name w:val="WW_CharLFO15LVL5"/>
    <w:qFormat/>
    <w:rsid w:val="006a1eff"/>
    <w:rPr>
      <w:rFonts w:ascii="OpenSymbol" w:hAnsi="OpenSymbol" w:eastAsia="OpenSymbol" w:cs="OpenSymbol"/>
    </w:rPr>
  </w:style>
  <w:style w:type="character" w:styleId="WWCharLFO15LVL6" w:customStyle="1">
    <w:name w:val="WW_CharLFO15LVL6"/>
    <w:qFormat/>
    <w:rsid w:val="006a1eff"/>
    <w:rPr>
      <w:rFonts w:ascii="OpenSymbol" w:hAnsi="OpenSymbol" w:eastAsia="OpenSymbol" w:cs="OpenSymbol"/>
    </w:rPr>
  </w:style>
  <w:style w:type="character" w:styleId="WWCharLFO15LVL7" w:customStyle="1">
    <w:name w:val="WW_CharLFO15LVL7"/>
    <w:qFormat/>
    <w:rsid w:val="006a1eff"/>
    <w:rPr>
      <w:rFonts w:ascii="OpenSymbol" w:hAnsi="OpenSymbol" w:eastAsia="OpenSymbol" w:cs="OpenSymbol"/>
    </w:rPr>
  </w:style>
  <w:style w:type="character" w:styleId="WWCharLFO15LVL8" w:customStyle="1">
    <w:name w:val="WW_CharLFO15LVL8"/>
    <w:qFormat/>
    <w:rsid w:val="006a1eff"/>
    <w:rPr>
      <w:rFonts w:ascii="OpenSymbol" w:hAnsi="OpenSymbol" w:eastAsia="OpenSymbol" w:cs="OpenSymbol"/>
    </w:rPr>
  </w:style>
  <w:style w:type="character" w:styleId="WWCharLFO15LVL9" w:customStyle="1">
    <w:name w:val="WW_CharLFO15LVL9"/>
    <w:qFormat/>
    <w:rsid w:val="006a1eff"/>
    <w:rPr>
      <w:rFonts w:ascii="OpenSymbol" w:hAnsi="OpenSymbol" w:eastAsia="OpenSymbol" w:cs="OpenSymbol"/>
    </w:rPr>
  </w:style>
  <w:style w:type="character" w:styleId="NagwekZnak2" w:customStyle="1">
    <w:name w:val="Nagłówek Znak2"/>
    <w:qFormat/>
    <w:rsid w:val="006a1eff"/>
    <w:rPr>
      <w:rFonts w:ascii="Times New Roman" w:hAnsi="Times New Roman" w:eastAsia="Andale Sans UI" w:cs="Tahoma"/>
      <w:sz w:val="24"/>
      <w:szCs w:val="24"/>
      <w:lang w:val="de-DE" w:eastAsia="fa-IR" w:bidi="fa-IR"/>
    </w:rPr>
  </w:style>
  <w:style w:type="character" w:styleId="TekstpodstawowyZnak1" w:customStyle="1">
    <w:name w:val="Tekst podstawowy Znak1"/>
    <w:qFormat/>
    <w:rsid w:val="006a1eff"/>
    <w:rPr>
      <w:rFonts w:ascii="Times New Roman" w:hAnsi="Times New Roman" w:eastAsia="Andale Sans UI" w:cs="Tahoma"/>
      <w:sz w:val="24"/>
      <w:szCs w:val="24"/>
      <w:lang w:val="de-DE" w:eastAsia="fa-IR" w:bidi="fa-IR"/>
    </w:rPr>
  </w:style>
  <w:style w:type="character" w:styleId="StopkaZnak2" w:customStyle="1">
    <w:name w:val="Stopka Znak2"/>
    <w:qFormat/>
    <w:rsid w:val="006a1eff"/>
    <w:rPr>
      <w:rFonts w:ascii="Times New Roman" w:hAnsi="Times New Roman" w:eastAsia="Andale Sans UI" w:cs="Tahoma"/>
      <w:sz w:val="24"/>
      <w:szCs w:val="24"/>
      <w:lang w:val="de-DE" w:eastAsia="fa-IR" w:bidi="fa-IR"/>
    </w:rPr>
  </w:style>
  <w:style w:type="character" w:styleId="PageNumber">
    <w:name w:val="page number"/>
    <w:qFormat/>
    <w:rsid w:val="006a1eff"/>
    <w:rPr/>
  </w:style>
  <w:style w:type="character" w:styleId="Tekstpodstawowywcity3Znak" w:customStyle="1">
    <w:name w:val="Tekst podstawowy wcięty 3 Znak"/>
    <w:qFormat/>
    <w:rsid w:val="006a1eff"/>
    <w:rPr>
      <w:rFonts w:ascii="Times New Roman" w:hAnsi="Times New Roman" w:eastAsia="Andale Sans UI" w:cs="Tahoma"/>
      <w:sz w:val="16"/>
      <w:szCs w:val="16"/>
      <w:lang w:val="de-DE" w:eastAsia="fa-IR" w:bidi="fa-IR"/>
    </w:rPr>
  </w:style>
  <w:style w:type="character" w:styleId="Internetlink" w:customStyle="1">
    <w:name w:val="Internet link"/>
    <w:qFormat/>
    <w:rsid w:val="006a1eff"/>
    <w:rPr>
      <w:color w:val="0000FF"/>
      <w:u w:val="single"/>
    </w:rPr>
  </w:style>
  <w:style w:type="character" w:styleId="FollowedHyperlink">
    <w:name w:val="FollowedHyperlink"/>
    <w:qFormat/>
    <w:rsid w:val="006a1eff"/>
    <w:rPr>
      <w:color w:val="800080"/>
      <w:u w:val="single"/>
    </w:rPr>
  </w:style>
  <w:style w:type="character" w:styleId="TekstpodstawowywcityZnak" w:customStyle="1">
    <w:name w:val="Tekst podstawowy wcięty Znak"/>
    <w:qFormat/>
    <w:rsid w:val="006a1eff"/>
    <w:rPr>
      <w:rFonts w:ascii="Times New Roman" w:hAnsi="Times New Roman" w:eastAsia="Times New Roman"/>
      <w:sz w:val="24"/>
    </w:rPr>
  </w:style>
  <w:style w:type="character" w:styleId="TekstprzypisukocowegoZnak" w:customStyle="1">
    <w:name w:val="Tekst przypisu końcowego Znak"/>
    <w:qFormat/>
    <w:rsid w:val="006a1eff"/>
    <w:rPr>
      <w:rFonts w:ascii="Times New Roman" w:hAnsi="Times New Roman" w:eastAsia="Andale Sans UI" w:cs="Tahoma"/>
      <w:lang w:val="de-DE" w:eastAsia="fa-IR" w:bidi="fa-IR"/>
    </w:rPr>
  </w:style>
  <w:style w:type="character" w:styleId="Znakiprzypiswkocowychuser">
    <w:name w:val="Znaki przypisów końcowych (user)"/>
    <w:unhideWhenUsed/>
    <w:qFormat/>
    <w:rsid w:val="006a1eff"/>
    <w:rPr>
      <w:vertAlign w:val="superscript"/>
    </w:rPr>
  </w:style>
  <w:style w:type="character" w:styleId="Znakiprzypiswkocowych">
    <w:name w:val="Znaki przypisów końcowych"/>
    <w:qFormat/>
    <w:rPr>
      <w:vertAlign w:val="superscript"/>
    </w:rPr>
  </w:style>
  <w:style w:type="character" w:styleId="EndnoteReference">
    <w:name w:val="endnote reference"/>
    <w:rPr>
      <w:vertAlign w:val="superscript"/>
    </w:rPr>
  </w:style>
  <w:style w:type="character" w:styleId="TekstprzypisudolnegoZnak" w:customStyle="1">
    <w:name w:val="Tekst przypisu dolnego Znak"/>
    <w:qFormat/>
    <w:rsid w:val="006a1eff"/>
    <w:rPr>
      <w:rFonts w:ascii="Times New Roman" w:hAnsi="Times New Roman" w:eastAsia="Andale Sans UI" w:cs="Tahoma"/>
      <w:lang w:val="de-DE" w:eastAsia="fa-IR" w:bidi="fa-IR"/>
    </w:rPr>
  </w:style>
  <w:style w:type="character" w:styleId="DeltaViewInsertion" w:customStyle="1">
    <w:name w:val="DeltaView Insertion"/>
    <w:qFormat/>
    <w:rsid w:val="006a1eff"/>
    <w:rPr>
      <w:b/>
      <w:i/>
      <w:spacing w:val="0"/>
    </w:rPr>
  </w:style>
  <w:style w:type="character" w:styleId="Znakiprzypiswdolnychuser">
    <w:name w:val="Znaki przypisów dolnych (user)"/>
    <w:unhideWhenUsed/>
    <w:qFormat/>
    <w:rsid w:val="006a1eff"/>
    <w:rPr>
      <w:vertAlign w:val="superscript"/>
    </w:rPr>
  </w:style>
  <w:style w:type="character" w:styleId="Znakiprzypiswdolnych">
    <w:name w:val="Znaki przypisów dolnych"/>
    <w:qFormat/>
    <w:rPr>
      <w:vertAlign w:val="superscript"/>
    </w:rPr>
  </w:style>
  <w:style w:type="character" w:styleId="FootnoteReference">
    <w:name w:val="footnote reference"/>
    <w:rPr>
      <w:vertAlign w:val="superscript"/>
    </w:rPr>
  </w:style>
  <w:style w:type="character" w:styleId="CommentReference">
    <w:name w:val="annotation reference"/>
    <w:unhideWhenUsed/>
    <w:qFormat/>
    <w:rsid w:val="006a1eff"/>
    <w:rPr>
      <w:sz w:val="16"/>
      <w:szCs w:val="16"/>
    </w:rPr>
  </w:style>
  <w:style w:type="character" w:styleId="Stylwiadomocie-mail161" w:customStyle="1">
    <w:name w:val="Styl wiadomości e-mail 161"/>
    <w:qFormat/>
    <w:rsid w:val="006a1eff"/>
    <w:rPr>
      <w:rFonts w:ascii="Verdana" w:hAnsi="Verdana" w:cs="Tahoma"/>
      <w:color w:val="00000A"/>
      <w:sz w:val="20"/>
      <w:szCs w:val="20"/>
      <w:u w:val="none"/>
      <w:effect w:val="none"/>
    </w:rPr>
  </w:style>
  <w:style w:type="character" w:styleId="FontStyle11" w:customStyle="1">
    <w:name w:val="Font Style11"/>
    <w:qFormat/>
    <w:rsid w:val="006a1eff"/>
    <w:rPr>
      <w:rFonts w:ascii="Times New Roman" w:hAnsi="Times New Roman" w:cs="Times New Roman"/>
      <w:color w:val="000000"/>
      <w:sz w:val="22"/>
    </w:rPr>
  </w:style>
  <w:style w:type="character" w:styleId="Domylnaczcionkaakapitu2" w:customStyle="1">
    <w:name w:val="Domyślna czcionka akapitu2"/>
    <w:qFormat/>
    <w:rsid w:val="006a1eff"/>
    <w:rPr/>
  </w:style>
  <w:style w:type="character" w:styleId="Tekstpodstawowy2Znak" w:customStyle="1">
    <w:name w:val="Tekst podstawowy 2 Znak"/>
    <w:qFormat/>
    <w:rsid w:val="006a1eff"/>
    <w:rPr>
      <w:rFonts w:ascii="Times New Roman" w:hAnsi="Times New Roman" w:eastAsia="Times New Roman"/>
      <w:sz w:val="24"/>
      <w:lang w:val="x-none" w:eastAsia="x-none"/>
    </w:rPr>
  </w:style>
  <w:style w:type="character" w:styleId="TekstkomentarzaZnak" w:customStyle="1">
    <w:name w:val="Tekst komentarza Znak"/>
    <w:qFormat/>
    <w:rsid w:val="006a1eff"/>
    <w:rPr>
      <w:rFonts w:ascii="Times New Roman" w:hAnsi="Times New Roman" w:eastAsia="Andale Sans UI" w:cs="Tahoma"/>
      <w:lang w:val="de-DE" w:eastAsia="fa-IR" w:bidi="fa-IR"/>
    </w:rPr>
  </w:style>
  <w:style w:type="character" w:styleId="WW8Num2z0" w:customStyle="1">
    <w:name w:val="WW8Num2z0"/>
    <w:qFormat/>
    <w:rsid w:val="006a1eff"/>
    <w:rPr>
      <w:rFonts w:ascii="Wingdings" w:hAnsi="Wingdings"/>
    </w:rPr>
  </w:style>
  <w:style w:type="character" w:styleId="WW8Num3z0" w:customStyle="1">
    <w:name w:val="WW8Num3z0"/>
    <w:qFormat/>
    <w:rsid w:val="006a1eff"/>
    <w:rPr>
      <w:rFonts w:ascii="Times New Roman" w:hAnsi="Times New Roman"/>
      <w:b w:val="false"/>
      <w:i w:val="false"/>
      <w:sz w:val="24"/>
      <w:u w:val="none"/>
    </w:rPr>
  </w:style>
  <w:style w:type="character" w:styleId="WW8Num9z0" w:customStyle="1">
    <w:name w:val="WW8Num9z0"/>
    <w:qFormat/>
    <w:rsid w:val="006a1eff"/>
    <w:rPr>
      <w:rFonts w:ascii="Symbol" w:hAnsi="Symbol"/>
      <w:color w:val="000000"/>
    </w:rPr>
  </w:style>
  <w:style w:type="character" w:styleId="Absatz-Standardschriftart" w:customStyle="1">
    <w:name w:val="Absatz-Standardschriftart"/>
    <w:qFormat/>
    <w:rsid w:val="006a1eff"/>
    <w:rPr/>
  </w:style>
  <w:style w:type="character" w:styleId="WW8Num7z0" w:customStyle="1">
    <w:name w:val="WW8Num7z0"/>
    <w:qFormat/>
    <w:rsid w:val="006a1eff"/>
    <w:rPr>
      <w:rFonts w:ascii="Symbol" w:hAnsi="Symbol"/>
      <w:color w:val="000000"/>
    </w:rPr>
  </w:style>
  <w:style w:type="character" w:styleId="WW-Absatz-Standardschriftart" w:customStyle="1">
    <w:name w:val="WW-Absatz-Standardschriftart"/>
    <w:qFormat/>
    <w:rsid w:val="006a1eff"/>
    <w:rPr/>
  </w:style>
  <w:style w:type="character" w:styleId="WW-Absatz-Standardschriftart1" w:customStyle="1">
    <w:name w:val="WW-Absatz-Standardschriftart1"/>
    <w:qFormat/>
    <w:rsid w:val="006a1eff"/>
    <w:rPr/>
  </w:style>
  <w:style w:type="character" w:styleId="WW-Absatz-Standardschriftart11" w:customStyle="1">
    <w:name w:val="WW-Absatz-Standardschriftart11"/>
    <w:qFormat/>
    <w:rsid w:val="006a1eff"/>
    <w:rPr/>
  </w:style>
  <w:style w:type="character" w:styleId="WW-Absatz-Standardschriftart111" w:customStyle="1">
    <w:name w:val="WW-Absatz-Standardschriftart111"/>
    <w:qFormat/>
    <w:rsid w:val="006a1eff"/>
    <w:rPr/>
  </w:style>
  <w:style w:type="character" w:styleId="WW-Absatz-Standardschriftart1111" w:customStyle="1">
    <w:name w:val="WW-Absatz-Standardschriftart1111"/>
    <w:qFormat/>
    <w:rsid w:val="006a1eff"/>
    <w:rPr/>
  </w:style>
  <w:style w:type="character" w:styleId="WW-Absatz-Standardschriftart11111" w:customStyle="1">
    <w:name w:val="WW-Absatz-Standardschriftart11111"/>
    <w:qFormat/>
    <w:rsid w:val="006a1eff"/>
    <w:rPr/>
  </w:style>
  <w:style w:type="character" w:styleId="WW-Absatz-Standardschriftart111111" w:customStyle="1">
    <w:name w:val="WW-Absatz-Standardschriftart111111"/>
    <w:qFormat/>
    <w:rsid w:val="006a1eff"/>
    <w:rPr/>
  </w:style>
  <w:style w:type="character" w:styleId="WW-Absatz-Standardschriftart1111111" w:customStyle="1">
    <w:name w:val="WW-Absatz-Standardschriftart1111111"/>
    <w:qFormat/>
    <w:rsid w:val="006a1eff"/>
    <w:rPr/>
  </w:style>
  <w:style w:type="character" w:styleId="WW-Absatz-Standardschriftart11111111" w:customStyle="1">
    <w:name w:val="WW-Absatz-Standardschriftart11111111"/>
    <w:qFormat/>
    <w:rsid w:val="006a1eff"/>
    <w:rPr/>
  </w:style>
  <w:style w:type="character" w:styleId="WW-Absatz-Standardschriftart111111111" w:customStyle="1">
    <w:name w:val="WW-Absatz-Standardschriftart111111111"/>
    <w:qFormat/>
    <w:rsid w:val="006a1eff"/>
    <w:rPr/>
  </w:style>
  <w:style w:type="character" w:styleId="WW-Absatz-Standardschriftart1111111111" w:customStyle="1">
    <w:name w:val="WW-Absatz-Standardschriftart1111111111"/>
    <w:qFormat/>
    <w:rsid w:val="006a1eff"/>
    <w:rPr/>
  </w:style>
  <w:style w:type="character" w:styleId="WW-Absatz-Standardschriftart11111111111" w:customStyle="1">
    <w:name w:val="WW-Absatz-Standardschriftart11111111111"/>
    <w:qFormat/>
    <w:rsid w:val="006a1eff"/>
    <w:rPr/>
  </w:style>
  <w:style w:type="character" w:styleId="WW-Absatz-Standardschriftart111111111111" w:customStyle="1">
    <w:name w:val="WW-Absatz-Standardschriftart111111111111"/>
    <w:qFormat/>
    <w:rsid w:val="006a1eff"/>
    <w:rPr/>
  </w:style>
  <w:style w:type="character" w:styleId="WW-Absatz-Standardschriftart1111111111111" w:customStyle="1">
    <w:name w:val="WW-Absatz-Standardschriftart1111111111111"/>
    <w:qFormat/>
    <w:rsid w:val="006a1eff"/>
    <w:rPr/>
  </w:style>
  <w:style w:type="character" w:styleId="WW-Absatz-Standardschriftart11111111111111" w:customStyle="1">
    <w:name w:val="WW-Absatz-Standardschriftart11111111111111"/>
    <w:qFormat/>
    <w:rsid w:val="006a1eff"/>
    <w:rPr/>
  </w:style>
  <w:style w:type="character" w:styleId="WW-Absatz-Standardschriftart111111111111111" w:customStyle="1">
    <w:name w:val="WW-Absatz-Standardschriftart111111111111111"/>
    <w:qFormat/>
    <w:rsid w:val="006a1eff"/>
    <w:rPr/>
  </w:style>
  <w:style w:type="character" w:styleId="WW-Absatz-Standardschriftart1111111111111111" w:customStyle="1">
    <w:name w:val="WW-Absatz-Standardschriftart1111111111111111"/>
    <w:qFormat/>
    <w:rsid w:val="006a1eff"/>
    <w:rPr/>
  </w:style>
  <w:style w:type="character" w:styleId="WW-Absatz-Standardschriftart11111111111111111" w:customStyle="1">
    <w:name w:val="WW-Absatz-Standardschriftart11111111111111111"/>
    <w:qFormat/>
    <w:rsid w:val="006a1eff"/>
    <w:rPr/>
  </w:style>
  <w:style w:type="character" w:styleId="WW-Absatz-Standardschriftart111111111111111111" w:customStyle="1">
    <w:name w:val="WW-Absatz-Standardschriftart111111111111111111"/>
    <w:qFormat/>
    <w:rsid w:val="006a1eff"/>
    <w:rPr/>
  </w:style>
  <w:style w:type="character" w:styleId="WW-Absatz-Standardschriftart1111111111111111111" w:customStyle="1">
    <w:name w:val="WW-Absatz-Standardschriftart1111111111111111111"/>
    <w:qFormat/>
    <w:rsid w:val="006a1eff"/>
    <w:rPr/>
  </w:style>
  <w:style w:type="character" w:styleId="WW-Absatz-Standardschriftart11111111111111111111" w:customStyle="1">
    <w:name w:val="WW-Absatz-Standardschriftart11111111111111111111"/>
    <w:qFormat/>
    <w:rsid w:val="006a1eff"/>
    <w:rPr/>
  </w:style>
  <w:style w:type="character" w:styleId="WW8Num8z0" w:customStyle="1">
    <w:name w:val="WW8Num8z0"/>
    <w:qFormat/>
    <w:rsid w:val="006a1eff"/>
    <w:rPr>
      <w:rFonts w:ascii="Symbol" w:hAnsi="Symbol"/>
      <w:color w:val="000000"/>
    </w:rPr>
  </w:style>
  <w:style w:type="character" w:styleId="WW8Num11z0" w:customStyle="1">
    <w:name w:val="WW8Num11z0"/>
    <w:qFormat/>
    <w:rsid w:val="006a1eff"/>
    <w:rPr>
      <w:rFonts w:ascii="Symbol" w:hAnsi="Symbol"/>
      <w:color w:val="000000"/>
    </w:rPr>
  </w:style>
  <w:style w:type="character" w:styleId="WW8Num12z0" w:customStyle="1">
    <w:name w:val="WW8Num12z0"/>
    <w:qFormat/>
    <w:rsid w:val="006a1eff"/>
    <w:rPr>
      <w:color w:val="000000"/>
    </w:rPr>
  </w:style>
  <w:style w:type="character" w:styleId="WW8Num13z0" w:customStyle="1">
    <w:name w:val="WW8Num13z0"/>
    <w:qFormat/>
    <w:rsid w:val="006a1eff"/>
    <w:rPr>
      <w:color w:val="000000"/>
    </w:rPr>
  </w:style>
  <w:style w:type="character" w:styleId="WW8Num14z0" w:customStyle="1">
    <w:name w:val="WW8Num14z0"/>
    <w:qFormat/>
    <w:rsid w:val="006a1eff"/>
    <w:rPr>
      <w:rFonts w:ascii="Symbol" w:hAnsi="Symbol" w:cs="OpenSymbol"/>
    </w:rPr>
  </w:style>
  <w:style w:type="character" w:styleId="WW-Absatz-Standardschriftart111111111111111111111" w:customStyle="1">
    <w:name w:val="WW-Absatz-Standardschriftart111111111111111111111"/>
    <w:qFormat/>
    <w:rsid w:val="006a1eff"/>
    <w:rPr/>
  </w:style>
  <w:style w:type="character" w:styleId="WW-Absatz-Standardschriftart1111111111111111111111" w:customStyle="1">
    <w:name w:val="WW-Absatz-Standardschriftart1111111111111111111111"/>
    <w:qFormat/>
    <w:rsid w:val="006a1eff"/>
    <w:rPr/>
  </w:style>
  <w:style w:type="character" w:styleId="WW-Absatz-Standardschriftart11111111111111111111111" w:customStyle="1">
    <w:name w:val="WW-Absatz-Standardschriftart11111111111111111111111"/>
    <w:qFormat/>
    <w:rsid w:val="006a1eff"/>
    <w:rPr/>
  </w:style>
  <w:style w:type="character" w:styleId="WW-Absatz-Standardschriftart111111111111111111111111" w:customStyle="1">
    <w:name w:val="WW-Absatz-Standardschriftart111111111111111111111111"/>
    <w:qFormat/>
    <w:rsid w:val="006a1eff"/>
    <w:rPr/>
  </w:style>
  <w:style w:type="character" w:styleId="WW8Num15z0" w:customStyle="1">
    <w:name w:val="WW8Num15z0"/>
    <w:qFormat/>
    <w:rsid w:val="006a1eff"/>
    <w:rPr>
      <w:rFonts w:ascii="Symbol" w:hAnsi="Symbol" w:cs="OpenSymbol"/>
    </w:rPr>
  </w:style>
  <w:style w:type="character" w:styleId="WW-Absatz-Standardschriftart1111111111111111111111111" w:customStyle="1">
    <w:name w:val="WW-Absatz-Standardschriftart1111111111111111111111111"/>
    <w:qFormat/>
    <w:rsid w:val="006a1eff"/>
    <w:rPr/>
  </w:style>
  <w:style w:type="character" w:styleId="WW8Num16z0" w:customStyle="1">
    <w:name w:val="WW8Num16z0"/>
    <w:qFormat/>
    <w:rsid w:val="006a1eff"/>
    <w:rPr>
      <w:rFonts w:ascii="Symbol" w:hAnsi="Symbol" w:cs="OpenSymbol"/>
    </w:rPr>
  </w:style>
  <w:style w:type="character" w:styleId="WW-Absatz-Standardschriftart11111111111111111111111111" w:customStyle="1">
    <w:name w:val="WW-Absatz-Standardschriftart11111111111111111111111111"/>
    <w:qFormat/>
    <w:rsid w:val="006a1eff"/>
    <w:rPr/>
  </w:style>
  <w:style w:type="character" w:styleId="WW8Num5z0" w:customStyle="1">
    <w:name w:val="WW8Num5z0"/>
    <w:qFormat/>
    <w:rsid w:val="006a1eff"/>
    <w:rPr>
      <w:b w:val="false"/>
      <w:sz w:val="24"/>
      <w:szCs w:val="24"/>
    </w:rPr>
  </w:style>
  <w:style w:type="character" w:styleId="WW8Num17z0" w:customStyle="1">
    <w:name w:val="WW8Num17z0"/>
    <w:qFormat/>
    <w:rsid w:val="006a1eff"/>
    <w:rPr>
      <w:rFonts w:ascii="Symbol" w:hAnsi="Symbol" w:cs="OpenSymbol"/>
    </w:rPr>
  </w:style>
  <w:style w:type="character" w:styleId="WW8Num18z0" w:customStyle="1">
    <w:name w:val="WW8Num18z0"/>
    <w:qFormat/>
    <w:rsid w:val="006a1eff"/>
    <w:rPr>
      <w:rFonts w:ascii="Symbol" w:hAnsi="Symbol" w:cs="OpenSymbol"/>
    </w:rPr>
  </w:style>
  <w:style w:type="character" w:styleId="WW-Absatz-Standardschriftart111111111111111111111111111" w:customStyle="1">
    <w:name w:val="WW-Absatz-Standardschriftart111111111111111111111111111"/>
    <w:qFormat/>
    <w:rsid w:val="006a1eff"/>
    <w:rPr/>
  </w:style>
  <w:style w:type="character" w:styleId="WW-Absatz-Standardschriftart1111111111111111111111111111" w:customStyle="1">
    <w:name w:val="WW-Absatz-Standardschriftart1111111111111111111111111111"/>
    <w:qFormat/>
    <w:rsid w:val="006a1eff"/>
    <w:rPr/>
  </w:style>
  <w:style w:type="character" w:styleId="Domylnaczcionkaakapitu6" w:customStyle="1">
    <w:name w:val="Domyślna czcionka akapitu6"/>
    <w:qFormat/>
    <w:rsid w:val="006a1eff"/>
    <w:rPr/>
  </w:style>
  <w:style w:type="character" w:styleId="WW-Absatz-Standardschriftart11111111111111111111111111111" w:customStyle="1">
    <w:name w:val="WW-Absatz-Standardschriftart11111111111111111111111111111"/>
    <w:qFormat/>
    <w:rsid w:val="006a1eff"/>
    <w:rPr/>
  </w:style>
  <w:style w:type="character" w:styleId="WW-Absatz-Standardschriftart111111111111111111111111111111" w:customStyle="1">
    <w:name w:val="WW-Absatz-Standardschriftart111111111111111111111111111111"/>
    <w:qFormat/>
    <w:rsid w:val="006a1eff"/>
    <w:rPr/>
  </w:style>
  <w:style w:type="character" w:styleId="WW8Num6z0" w:customStyle="1">
    <w:name w:val="WW8Num6z0"/>
    <w:qFormat/>
    <w:rsid w:val="006a1eff"/>
    <w:rPr>
      <w:rFonts w:ascii="Times New Roman" w:hAnsi="Times New Roman"/>
      <w:b w:val="false"/>
      <w:i w:val="false"/>
      <w:sz w:val="24"/>
    </w:rPr>
  </w:style>
  <w:style w:type="character" w:styleId="WW-Absatz-Standardschriftart1111111111111111111111111111111" w:customStyle="1">
    <w:name w:val="WW-Absatz-Standardschriftart1111111111111111111111111111111"/>
    <w:qFormat/>
    <w:rsid w:val="006a1eff"/>
    <w:rPr/>
  </w:style>
  <w:style w:type="character" w:styleId="WW-Absatz-Standardschriftart11111111111111111111111111111111" w:customStyle="1">
    <w:name w:val="WW-Absatz-Standardschriftart11111111111111111111111111111111"/>
    <w:qFormat/>
    <w:rsid w:val="006a1eff"/>
    <w:rPr/>
  </w:style>
  <w:style w:type="character" w:styleId="WW-Absatz-Standardschriftart111111111111111111111111111111111" w:customStyle="1">
    <w:name w:val="WW-Absatz-Standardschriftart111111111111111111111111111111111"/>
    <w:qFormat/>
    <w:rsid w:val="006a1eff"/>
    <w:rPr/>
  </w:style>
  <w:style w:type="character" w:styleId="WW-Absatz-Standardschriftart1111111111111111111111111111111111" w:customStyle="1">
    <w:name w:val="WW-Absatz-Standardschriftart1111111111111111111111111111111111"/>
    <w:qFormat/>
    <w:rsid w:val="006a1eff"/>
    <w:rPr/>
  </w:style>
  <w:style w:type="character" w:styleId="WW-Absatz-Standardschriftart11111111111111111111111111111111111" w:customStyle="1">
    <w:name w:val="WW-Absatz-Standardschriftart11111111111111111111111111111111111"/>
    <w:qFormat/>
    <w:rsid w:val="006a1eff"/>
    <w:rPr/>
  </w:style>
  <w:style w:type="character" w:styleId="WW-Absatz-Standardschriftart111111111111111111111111111111111111" w:customStyle="1">
    <w:name w:val="WW-Absatz-Standardschriftart111111111111111111111111111111111111"/>
    <w:qFormat/>
    <w:rsid w:val="006a1eff"/>
    <w:rPr/>
  </w:style>
  <w:style w:type="character" w:styleId="WW-Absatz-Standardschriftart1111111111111111111111111111111111111" w:customStyle="1">
    <w:name w:val="WW-Absatz-Standardschriftart1111111111111111111111111111111111111"/>
    <w:qFormat/>
    <w:rsid w:val="006a1eff"/>
    <w:rPr/>
  </w:style>
  <w:style w:type="character" w:styleId="WW-Absatz-Standardschriftart11111111111111111111111111111111111111" w:customStyle="1">
    <w:name w:val="WW-Absatz-Standardschriftart11111111111111111111111111111111111111"/>
    <w:qFormat/>
    <w:rsid w:val="006a1eff"/>
    <w:rPr/>
  </w:style>
  <w:style w:type="character" w:styleId="WW-Absatz-Standardschriftart111111111111111111111111111111111111111" w:customStyle="1">
    <w:name w:val="WW-Absatz-Standardschriftart111111111111111111111111111111111111111"/>
    <w:qFormat/>
    <w:rsid w:val="006a1eff"/>
    <w:rPr/>
  </w:style>
  <w:style w:type="character" w:styleId="WW-Absatz-Standardschriftart1111111111111111111111111111111111111111" w:customStyle="1">
    <w:name w:val="WW-Absatz-Standardschriftart1111111111111111111111111111111111111111"/>
    <w:qFormat/>
    <w:rsid w:val="006a1eff"/>
    <w:rPr/>
  </w:style>
  <w:style w:type="character" w:styleId="Domylnaczcionkaakapitu5" w:customStyle="1">
    <w:name w:val="Domyślna czcionka akapitu5"/>
    <w:qFormat/>
    <w:rsid w:val="006a1eff"/>
    <w:rPr/>
  </w:style>
  <w:style w:type="character" w:styleId="WW-Absatz-Standardschriftart11111111111111111111111111111111111111111" w:customStyle="1">
    <w:name w:val="WW-Absatz-Standardschriftart11111111111111111111111111111111111111111"/>
    <w:qFormat/>
    <w:rsid w:val="006a1eff"/>
    <w:rPr/>
  </w:style>
  <w:style w:type="character" w:styleId="WW8Num15z1" w:customStyle="1">
    <w:name w:val="WW8Num15z1"/>
    <w:qFormat/>
    <w:rsid w:val="006a1eff"/>
    <w:rPr>
      <w:rFonts w:ascii="Courier New" w:hAnsi="Courier New" w:cs="Courier New"/>
    </w:rPr>
  </w:style>
  <w:style w:type="character" w:styleId="WW8Num15z2" w:customStyle="1">
    <w:name w:val="WW8Num15z2"/>
    <w:qFormat/>
    <w:rsid w:val="006a1eff"/>
    <w:rPr>
      <w:rFonts w:ascii="Wingdings" w:hAnsi="Wingdings"/>
    </w:rPr>
  </w:style>
  <w:style w:type="character" w:styleId="WW8Num15z3" w:customStyle="1">
    <w:name w:val="WW8Num15z3"/>
    <w:qFormat/>
    <w:rsid w:val="006a1eff"/>
    <w:rPr>
      <w:rFonts w:ascii="Symbol" w:hAnsi="Symbol"/>
    </w:rPr>
  </w:style>
  <w:style w:type="character" w:styleId="Domylnaczcionkaakapitu4" w:customStyle="1">
    <w:name w:val="Domyślna czcionka akapitu4"/>
    <w:qFormat/>
    <w:rsid w:val="006a1eff"/>
    <w:rPr/>
  </w:style>
  <w:style w:type="character" w:styleId="WW-Absatz-Standardschriftart111111111111111111111111111111111111111111" w:customStyle="1">
    <w:name w:val="WW-Absatz-Standardschriftart111111111111111111111111111111111111111111"/>
    <w:qFormat/>
    <w:rsid w:val="006a1eff"/>
    <w:rPr/>
  </w:style>
  <w:style w:type="character" w:styleId="WW-Absatz-Standardschriftart1111111111111111111111111111111111111111111" w:customStyle="1">
    <w:name w:val="WW-Absatz-Standardschriftart1111111111111111111111111111111111111111111"/>
    <w:qFormat/>
    <w:rsid w:val="006a1eff"/>
    <w:rPr/>
  </w:style>
  <w:style w:type="character" w:styleId="WW-Absatz-Standardschriftart11111111111111111111111111111111111111111111" w:customStyle="1">
    <w:name w:val="WW-Absatz-Standardschriftart11111111111111111111111111111111111111111111"/>
    <w:qFormat/>
    <w:rsid w:val="006a1eff"/>
    <w:rPr/>
  </w:style>
  <w:style w:type="character" w:styleId="WW-Absatz-Standardschriftart111111111111111111111111111111111111111111111" w:customStyle="1">
    <w:name w:val="WW-Absatz-Standardschriftart111111111111111111111111111111111111111111111"/>
    <w:qFormat/>
    <w:rsid w:val="006a1eff"/>
    <w:rPr/>
  </w:style>
  <w:style w:type="character" w:styleId="WW-Absatz-Standardschriftart1111111111111111111111111111111111111111111111" w:customStyle="1">
    <w:name w:val="WW-Absatz-Standardschriftart1111111111111111111111111111111111111111111111"/>
    <w:qFormat/>
    <w:rsid w:val="006a1eff"/>
    <w:rPr/>
  </w:style>
  <w:style w:type="character" w:styleId="WW-Absatz-Standardschriftart11111111111111111111111111111111111111111111111" w:customStyle="1">
    <w:name w:val="WW-Absatz-Standardschriftart11111111111111111111111111111111111111111111111"/>
    <w:qFormat/>
    <w:rsid w:val="006a1eff"/>
    <w:rPr/>
  </w:style>
  <w:style w:type="character" w:styleId="WW-Absatz-Standardschriftart111111111111111111111111111111111111111111111111" w:customStyle="1">
    <w:name w:val="WW-Absatz-Standardschriftart111111111111111111111111111111111111111111111111"/>
    <w:qFormat/>
    <w:rsid w:val="006a1eff"/>
    <w:rPr/>
  </w:style>
  <w:style w:type="character" w:styleId="WW-Absatz-Standardschriftart1111111111111111111111111111111111111111111111111" w:customStyle="1">
    <w:name w:val="WW-Absatz-Standardschriftart1111111111111111111111111111111111111111111111111"/>
    <w:qFormat/>
    <w:rsid w:val="006a1eff"/>
    <w:rPr/>
  </w:style>
  <w:style w:type="character" w:styleId="Domylnaczcionkaakapitu3" w:customStyle="1">
    <w:name w:val="Domyślna czcionka akapitu3"/>
    <w:qFormat/>
    <w:rsid w:val="006a1eff"/>
    <w:rPr/>
  </w:style>
  <w:style w:type="character" w:styleId="WW-Absatz-Standardschriftart11111111111111111111111111111111111111111111111111" w:customStyle="1">
    <w:name w:val="WW-Absatz-Standardschriftart11111111111111111111111111111111111111111111111111"/>
    <w:qFormat/>
    <w:rsid w:val="006a1eff"/>
    <w:rPr/>
  </w:style>
  <w:style w:type="character" w:styleId="WW-Absatz-Standardschriftart111111111111111111111111111111111111111111111111111" w:customStyle="1">
    <w:name w:val="WW-Absatz-Standardschriftart111111111111111111111111111111111111111111111111111"/>
    <w:qFormat/>
    <w:rsid w:val="006a1eff"/>
    <w:rPr/>
  </w:style>
  <w:style w:type="character" w:styleId="WW-Absatz-Standardschriftart1111111111111111111111111111111111111111111111111111" w:customStyle="1">
    <w:name w:val="WW-Absatz-Standardschriftart1111111111111111111111111111111111111111111111111111"/>
    <w:qFormat/>
    <w:rsid w:val="006a1eff"/>
    <w:rPr/>
  </w:style>
  <w:style w:type="character" w:styleId="WW-Absatz-Standardschriftart11111111111111111111111111111111111111111111111111111" w:customStyle="1">
    <w:name w:val="WW-Absatz-Standardschriftart11111111111111111111111111111111111111111111111111111"/>
    <w:qFormat/>
    <w:rsid w:val="006a1eff"/>
    <w:rPr/>
  </w:style>
  <w:style w:type="character" w:styleId="WW-Absatz-Standardschriftart111111111111111111111111111111111111111111111111111111" w:customStyle="1">
    <w:name w:val="WW-Absatz-Standardschriftart111111111111111111111111111111111111111111111111111111"/>
    <w:qFormat/>
    <w:rsid w:val="006a1eff"/>
    <w:rPr/>
  </w:style>
  <w:style w:type="character" w:styleId="WW-Absatz-Standardschriftart1111111111111111111111111111111111111111111111111111111" w:customStyle="1">
    <w:name w:val="WW-Absatz-Standardschriftart1111111111111111111111111111111111111111111111111111111"/>
    <w:qFormat/>
    <w:rsid w:val="006a1eff"/>
    <w:rPr/>
  </w:style>
  <w:style w:type="character" w:styleId="WW8Num1z0" w:customStyle="1">
    <w:name w:val="WW8Num1z0"/>
    <w:qFormat/>
    <w:rsid w:val="006a1eff"/>
    <w:rPr>
      <w:rFonts w:ascii="Wingdings" w:hAnsi="Wingdings"/>
    </w:rPr>
  </w:style>
  <w:style w:type="character" w:styleId="WW8Num1z1" w:customStyle="1">
    <w:name w:val="WW8Num1z1"/>
    <w:qFormat/>
    <w:rsid w:val="006a1eff"/>
    <w:rPr>
      <w:rFonts w:ascii="Courier New" w:hAnsi="Courier New" w:cs="Courier New"/>
    </w:rPr>
  </w:style>
  <w:style w:type="character" w:styleId="WW8Num1z3" w:customStyle="1">
    <w:name w:val="WW8Num1z3"/>
    <w:qFormat/>
    <w:rsid w:val="006a1eff"/>
    <w:rPr>
      <w:rFonts w:ascii="Symbol" w:hAnsi="Symbol"/>
    </w:rPr>
  </w:style>
  <w:style w:type="character" w:styleId="WW8NumSt3z0" w:customStyle="1">
    <w:name w:val="WW8NumSt3z0"/>
    <w:qFormat/>
    <w:rsid w:val="006a1eff"/>
    <w:rPr>
      <w:rFonts w:ascii="Times New Roman" w:hAnsi="Times New Roman"/>
      <w:b w:val="false"/>
      <w:i w:val="false"/>
      <w:sz w:val="24"/>
      <w:u w:val="none"/>
    </w:rPr>
  </w:style>
  <w:style w:type="character" w:styleId="LineNumber">
    <w:name w:val="line number"/>
    <w:qFormat/>
    <w:rsid w:val="006a1eff"/>
    <w:rPr/>
  </w:style>
  <w:style w:type="character" w:styleId="WW8Num19z0" w:customStyle="1">
    <w:name w:val="WW8Num19z0"/>
    <w:qFormat/>
    <w:rsid w:val="006a1eff"/>
    <w:rPr>
      <w:rFonts w:ascii="Symbol" w:hAnsi="Symbol" w:cs="OpenSymbol"/>
    </w:rPr>
  </w:style>
  <w:style w:type="character" w:styleId="Znakiwypunktowania" w:customStyle="1">
    <w:name w:val="Znaki wypunktowania"/>
    <w:qFormat/>
    <w:rsid w:val="006a1eff"/>
    <w:rPr>
      <w:rFonts w:ascii="OpenSymbol, 'Arial Unicode MS'" w:hAnsi="OpenSymbol, 'Arial Unicode MS'" w:eastAsia="OpenSymbol, 'Arial Unicode MS'" w:cs="OpenSymbol, 'Arial Unicode MS'"/>
    </w:rPr>
  </w:style>
  <w:style w:type="character" w:styleId="Numerstrony1" w:customStyle="1">
    <w:name w:val="Numer strony1"/>
    <w:qFormat/>
    <w:rsid w:val="006a1eff"/>
    <w:rPr/>
  </w:style>
  <w:style w:type="character" w:styleId="WW8Num35z0" w:customStyle="1">
    <w:name w:val="WW8Num35z0"/>
    <w:qFormat/>
    <w:rsid w:val="006a1eff"/>
    <w:rPr>
      <w:b w:val="false"/>
    </w:rPr>
  </w:style>
  <w:style w:type="character" w:styleId="TematkomentarzaZnak" w:customStyle="1">
    <w:name w:val="Temat komentarza Znak"/>
    <w:qFormat/>
    <w:rsid w:val="006a1eff"/>
    <w:rPr>
      <w:rFonts w:ascii="Times New Roman" w:hAnsi="Times New Roman" w:eastAsia="Andale Sans UI" w:cs="Tahoma"/>
      <w:b/>
      <w:bCs/>
      <w:lang w:val="de-DE" w:eastAsia="ar-SA" w:bidi="fa-IR"/>
    </w:rPr>
  </w:style>
  <w:style w:type="character" w:styleId="Tekstpodstawowy3Znak" w:customStyle="1">
    <w:name w:val="Tekst podstawowy 3 Znak"/>
    <w:qFormat/>
    <w:rsid w:val="006a1eff"/>
    <w:rPr>
      <w:rFonts w:ascii="Times New Roman" w:hAnsi="Times New Roman" w:eastAsia="Times New Roman"/>
      <w:sz w:val="16"/>
      <w:szCs w:val="16"/>
      <w:lang w:val="x-none" w:eastAsia="zh-CN"/>
    </w:rPr>
  </w:style>
  <w:style w:type="character" w:styleId="WW8Num2z8" w:customStyle="1">
    <w:name w:val="WW8Num2z8"/>
    <w:qFormat/>
    <w:rsid w:val="006a1eff"/>
    <w:rPr/>
  </w:style>
  <w:style w:type="character" w:styleId="Nierozpoznanawzmianka1" w:customStyle="1">
    <w:name w:val="Nierozpoznana wzmianka1"/>
    <w:unhideWhenUsed/>
    <w:qFormat/>
    <w:rsid w:val="006a1eff"/>
    <w:rPr>
      <w:color w:val="605E5C"/>
      <w:shd w:fill="E1DFDD" w:val="clear"/>
    </w:rPr>
  </w:style>
  <w:style w:type="character" w:styleId="Emphasis">
    <w:name w:val="Emphasis"/>
    <w:qFormat/>
    <w:locked/>
    <w:rsid w:val="006a1eff"/>
    <w:rPr>
      <w:i/>
      <w:iCs/>
    </w:rPr>
  </w:style>
  <w:style w:type="character" w:styleId="WW8Num3z1" w:customStyle="1">
    <w:name w:val="WW8Num3z1"/>
    <w:qFormat/>
    <w:rsid w:val="006a1eff"/>
    <w:rPr>
      <w:rFonts w:ascii="OpenSymbol" w:hAnsi="OpenSymbol" w:cs="OpenSymbol"/>
    </w:rPr>
  </w:style>
  <w:style w:type="character" w:styleId="WW8Num4z1" w:customStyle="1">
    <w:name w:val="WW8Num4z1"/>
    <w:qFormat/>
    <w:rsid w:val="006a1eff"/>
    <w:rPr>
      <w:rFonts w:ascii="OpenSymbol" w:hAnsi="OpenSymbol" w:cs="OpenSymbol"/>
    </w:rPr>
  </w:style>
  <w:style w:type="character" w:styleId="WW8Num5z1" w:customStyle="1">
    <w:name w:val="WW8Num5z1"/>
    <w:qFormat/>
    <w:rsid w:val="006a1eff"/>
    <w:rPr>
      <w:rFonts w:ascii="OpenSymbol" w:hAnsi="OpenSymbol" w:cs="OpenSymbol"/>
    </w:rPr>
  </w:style>
  <w:style w:type="character" w:styleId="WW8Num6z1" w:customStyle="1">
    <w:name w:val="WW8Num6z1"/>
    <w:qFormat/>
    <w:rsid w:val="006a1eff"/>
    <w:rPr>
      <w:rFonts w:ascii="OpenSymbol" w:hAnsi="OpenSymbol" w:cs="OpenSymbol"/>
    </w:rPr>
  </w:style>
  <w:style w:type="character" w:styleId="WW8Num2z1" w:customStyle="1">
    <w:name w:val="WW8Num2z1"/>
    <w:qFormat/>
    <w:rsid w:val="006a1eff"/>
    <w:rPr>
      <w:rFonts w:ascii="Times New Roman" w:hAnsi="Times New Roman" w:eastAsia="Times New Roman" w:cs="Calibri"/>
    </w:rPr>
  </w:style>
  <w:style w:type="character" w:styleId="WW8Num20z0" w:customStyle="1">
    <w:name w:val="WW8Num20z0"/>
    <w:qFormat/>
    <w:rsid w:val="006a1eff"/>
    <w:rPr>
      <w:b w:val="false"/>
      <w:i w:val="false"/>
      <w:sz w:val="24"/>
      <w:szCs w:val="24"/>
    </w:rPr>
  </w:style>
  <w:style w:type="character" w:styleId="WW8Num20z1" w:customStyle="1">
    <w:name w:val="WW8Num20z1"/>
    <w:qFormat/>
    <w:rsid w:val="006a1eff"/>
    <w:rPr>
      <w:rFonts w:ascii="Times New Roman" w:hAnsi="Times New Roman" w:cs="Courier New"/>
    </w:rPr>
  </w:style>
  <w:style w:type="character" w:styleId="WW8Num23z0" w:customStyle="1">
    <w:name w:val="WW8Num23z0"/>
    <w:qFormat/>
    <w:rsid w:val="006a1eff"/>
    <w:rPr>
      <w:rFonts w:cs="Arial"/>
      <w:b/>
    </w:rPr>
  </w:style>
  <w:style w:type="character" w:styleId="WW8Num25z0" w:customStyle="1">
    <w:name w:val="WW8Num25z0"/>
    <w:qFormat/>
    <w:rsid w:val="006a1eff"/>
    <w:rPr>
      <w:rFonts w:ascii="Symbol" w:hAnsi="Symbol"/>
    </w:rPr>
  </w:style>
  <w:style w:type="character" w:styleId="WW8Num25z1" w:customStyle="1">
    <w:name w:val="WW8Num25z1"/>
    <w:qFormat/>
    <w:rsid w:val="006a1eff"/>
    <w:rPr>
      <w:rFonts w:ascii="Courier New" w:hAnsi="Courier New" w:cs="Courier New"/>
    </w:rPr>
  </w:style>
  <w:style w:type="character" w:styleId="WW8Num25z2" w:customStyle="1">
    <w:name w:val="WW8Num25z2"/>
    <w:qFormat/>
    <w:rsid w:val="006a1eff"/>
    <w:rPr>
      <w:rFonts w:ascii="Wingdings" w:hAnsi="Wingdings"/>
    </w:rPr>
  </w:style>
  <w:style w:type="character" w:styleId="WW8Num27z0" w:customStyle="1">
    <w:name w:val="WW8Num27z0"/>
    <w:qFormat/>
    <w:rsid w:val="006a1eff"/>
    <w:rPr>
      <w:rFonts w:ascii="OpenSymbol" w:hAnsi="OpenSymbol"/>
    </w:rPr>
  </w:style>
  <w:style w:type="character" w:styleId="WW8Num27z1" w:customStyle="1">
    <w:name w:val="WW8Num27z1"/>
    <w:qFormat/>
    <w:rsid w:val="006a1eff"/>
    <w:rPr>
      <w:rFonts w:ascii="Courier New" w:hAnsi="Courier New" w:cs="Courier New"/>
    </w:rPr>
  </w:style>
  <w:style w:type="character" w:styleId="WW8Num27z2" w:customStyle="1">
    <w:name w:val="WW8Num27z2"/>
    <w:qFormat/>
    <w:rsid w:val="006a1eff"/>
    <w:rPr>
      <w:rFonts w:ascii="Wingdings" w:hAnsi="Wingdings"/>
    </w:rPr>
  </w:style>
  <w:style w:type="character" w:styleId="WW8Num27z3" w:customStyle="1">
    <w:name w:val="WW8Num27z3"/>
    <w:qFormat/>
    <w:rsid w:val="006a1eff"/>
    <w:rPr>
      <w:rFonts w:ascii="Symbol" w:hAnsi="Symbol"/>
    </w:rPr>
  </w:style>
  <w:style w:type="character" w:styleId="WW8Num30z0" w:customStyle="1">
    <w:name w:val="WW8Num30z0"/>
    <w:qFormat/>
    <w:rsid w:val="006a1eff"/>
    <w:rPr>
      <w:rFonts w:cs="Arial"/>
      <w:b/>
    </w:rPr>
  </w:style>
  <w:style w:type="character" w:styleId="WW8Num31z1" w:customStyle="1">
    <w:name w:val="WW8Num31z1"/>
    <w:qFormat/>
    <w:rsid w:val="006a1eff"/>
    <w:rPr>
      <w:rFonts w:ascii="Times New Roman" w:hAnsi="Times New Roman" w:cs="Courier New"/>
    </w:rPr>
  </w:style>
  <w:style w:type="character" w:styleId="WW8Num36z0" w:customStyle="1">
    <w:name w:val="WW8Num36z0"/>
    <w:qFormat/>
    <w:rsid w:val="006a1eff"/>
    <w:rPr>
      <w:rFonts w:ascii="OpenSymbol" w:hAnsi="OpenSymbol" w:eastAsia="OpenSymbol" w:cs="OpenSymbol"/>
    </w:rPr>
  </w:style>
  <w:style w:type="character" w:styleId="WW8Num37z0" w:customStyle="1">
    <w:name w:val="WW8Num37z0"/>
    <w:qFormat/>
    <w:rsid w:val="006a1eff"/>
    <w:rPr>
      <w:b/>
      <w:sz w:val="24"/>
      <w:szCs w:val="24"/>
    </w:rPr>
  </w:style>
  <w:style w:type="character" w:styleId="WW8Num38z0" w:customStyle="1">
    <w:name w:val="WW8Num38z0"/>
    <w:qFormat/>
    <w:rsid w:val="006a1eff"/>
    <w:rPr>
      <w:rFonts w:ascii="OpenSymbol" w:hAnsi="OpenSymbol" w:eastAsia="OpenSymbol" w:cs="OpenSymbol"/>
    </w:rPr>
  </w:style>
  <w:style w:type="character" w:styleId="WW8Num39z0" w:customStyle="1">
    <w:name w:val="WW8Num39z0"/>
    <w:qFormat/>
    <w:rsid w:val="006a1eff"/>
    <w:rPr>
      <w:rFonts w:ascii="OpenSymbol" w:hAnsi="OpenSymbol" w:eastAsia="OpenSymbol" w:cs="OpenSymbol"/>
    </w:rPr>
  </w:style>
  <w:style w:type="character" w:styleId="WW8Num41z0" w:customStyle="1">
    <w:name w:val="WW8Num41z0"/>
    <w:qFormat/>
    <w:rsid w:val="006a1eff"/>
    <w:rPr>
      <w:rFonts w:cs="Arial"/>
      <w:b/>
    </w:rPr>
  </w:style>
  <w:style w:type="character" w:styleId="WW8Num45z6" w:customStyle="1">
    <w:name w:val="WW8Num45z6"/>
    <w:qFormat/>
    <w:rsid w:val="006a1eff"/>
    <w:rPr>
      <w:color w:val="00000A"/>
    </w:rPr>
  </w:style>
  <w:style w:type="character" w:styleId="WW8Num46z0" w:customStyle="1">
    <w:name w:val="WW8Num46z0"/>
    <w:qFormat/>
    <w:rsid w:val="006a1eff"/>
    <w:rPr>
      <w:b/>
    </w:rPr>
  </w:style>
  <w:style w:type="character" w:styleId="WW8Num50z0" w:customStyle="1">
    <w:name w:val="WW8Num50z0"/>
    <w:qFormat/>
    <w:rsid w:val="006a1eff"/>
    <w:rPr>
      <w:color w:val="00000A"/>
    </w:rPr>
  </w:style>
  <w:style w:type="character" w:styleId="WW8Num52z0" w:customStyle="1">
    <w:name w:val="WW8Num52z0"/>
    <w:qFormat/>
    <w:rsid w:val="006a1eff"/>
    <w:rPr>
      <w:rFonts w:eastAsia="SimSun"/>
    </w:rPr>
  </w:style>
  <w:style w:type="character" w:styleId="WW8Num53z0" w:customStyle="1">
    <w:name w:val="WW8Num53z0"/>
    <w:qFormat/>
    <w:rsid w:val="006a1eff"/>
    <w:rPr>
      <w:color w:val="00000A"/>
    </w:rPr>
  </w:style>
  <w:style w:type="character" w:styleId="WW8Num55z0" w:customStyle="1">
    <w:name w:val="WW8Num55z0"/>
    <w:qFormat/>
    <w:rsid w:val="006a1eff"/>
    <w:rPr>
      <w:rFonts w:ascii="Times New Roman" w:hAnsi="Times New Roman" w:cs="Times New Roman"/>
    </w:rPr>
  </w:style>
  <w:style w:type="character" w:styleId="ZwykytekstZnak" w:customStyle="1">
    <w:name w:val="Zwykły tekst Znak"/>
    <w:qFormat/>
    <w:rsid w:val="006a1eff"/>
    <w:rPr>
      <w:rFonts w:ascii="Courier New" w:hAnsi="Courier New" w:eastAsia="Times New Roman" w:cs="Times New Roman"/>
      <w:sz w:val="20"/>
      <w:szCs w:val="20"/>
    </w:rPr>
  </w:style>
  <w:style w:type="character" w:styleId="FontStyle59" w:customStyle="1">
    <w:name w:val="Font Style59"/>
    <w:qFormat/>
    <w:rsid w:val="006a1eff"/>
    <w:rPr>
      <w:rFonts w:ascii="Tahoma" w:hAnsi="Tahoma" w:cs="Tahoma"/>
      <w:sz w:val="16"/>
      <w:szCs w:val="16"/>
    </w:rPr>
  </w:style>
  <w:style w:type="character" w:styleId="FontStyle58" w:customStyle="1">
    <w:name w:val="Font Style58"/>
    <w:qFormat/>
    <w:rsid w:val="006a1eff"/>
    <w:rPr>
      <w:rFonts w:ascii="Cambria" w:hAnsi="Cambria" w:cs="Cambria"/>
      <w:b/>
      <w:bCs/>
      <w:sz w:val="20"/>
      <w:szCs w:val="20"/>
    </w:rPr>
  </w:style>
  <w:style w:type="character" w:styleId="WW8Num7z1" w:customStyle="1">
    <w:name w:val="WW8Num7z1"/>
    <w:qFormat/>
    <w:rsid w:val="006a1eff"/>
    <w:rPr>
      <w:rFonts w:ascii="OpenSymbol" w:hAnsi="OpenSymbol" w:cs="OpenSymbol"/>
    </w:rPr>
  </w:style>
  <w:style w:type="character" w:styleId="WW8Num8z1" w:customStyle="1">
    <w:name w:val="WW8Num8z1"/>
    <w:qFormat/>
    <w:rsid w:val="006a1eff"/>
    <w:rPr>
      <w:rFonts w:ascii="OpenSymbol" w:hAnsi="OpenSymbol" w:cs="OpenSymbol"/>
    </w:rPr>
  </w:style>
  <w:style w:type="character" w:styleId="TekstpodstawowyZnak2" w:customStyle="1">
    <w:name w:val="Tekst podstawowy Znak2"/>
    <w:qFormat/>
    <w:rsid w:val="006a1eff"/>
    <w:rPr>
      <w:rFonts w:ascii="Calibri" w:hAnsi="Calibri" w:eastAsia="SimSun" w:cs="Times New Roman"/>
      <w:lang w:eastAsia="ar-SA"/>
    </w:rPr>
  </w:style>
  <w:style w:type="character" w:styleId="TekstdymkaZnak1" w:customStyle="1">
    <w:name w:val="Tekst dymka Znak1"/>
    <w:qFormat/>
    <w:rsid w:val="006a1eff"/>
    <w:rPr>
      <w:rFonts w:ascii="Tahoma" w:hAnsi="Tahoma" w:eastAsia="Times New Roman" w:cs="Tahoma"/>
      <w:sz w:val="16"/>
      <w:szCs w:val="16"/>
      <w:lang w:eastAsia="ar-SA"/>
    </w:rPr>
  </w:style>
  <w:style w:type="character" w:styleId="TytuZnak1" w:customStyle="1">
    <w:name w:val="Tytuł Znak1"/>
    <w:qFormat/>
    <w:rsid w:val="006a1eff"/>
    <w:rPr>
      <w:rFonts w:ascii="Times New Roman" w:hAnsi="Times New Roman" w:eastAsia="Times New Roman" w:cs="Times New Roman"/>
      <w:b/>
      <w:bCs/>
      <w:sz w:val="36"/>
      <w:szCs w:val="36"/>
      <w:lang w:eastAsia="ar-SA"/>
    </w:rPr>
  </w:style>
  <w:style w:type="character" w:styleId="Mocnowyrniony">
    <w:name w:val="Mocno wyróżniony"/>
    <w:qFormat/>
    <w:rPr>
      <w:b/>
      <w:bCs/>
    </w:rPr>
  </w:style>
  <w:style w:type="paragraph" w:styleId="Nagwek" w:customStyle="1">
    <w:name w:val="Nagłówek"/>
    <w:basedOn w:val="Normal"/>
    <w:next w:val="BodyText"/>
    <w:qFormat/>
    <w:rsid w:val="006a1eff"/>
    <w:pPr>
      <w:keepNext w:val="true"/>
      <w:widowControl w:val="false"/>
      <w:bidi w:val="0"/>
      <w:spacing w:before="240" w:after="120"/>
      <w:jc w:val="start"/>
    </w:pPr>
    <w:rPr>
      <w:rFonts w:ascii="Arial" w:hAnsi="Arial" w:eastAsia="Microsoft YaHei" w:cs="Mangal"/>
      <w:color w:val="00000A"/>
      <w:sz w:val="28"/>
      <w:szCs w:val="28"/>
      <w:lang w:val="pl-PL" w:eastAsia="ar-SA" w:bidi="ar-SA"/>
    </w:rPr>
  </w:style>
  <w:style w:type="paragraph" w:styleId="BodyText">
    <w:name w:val="Body Text"/>
    <w:basedOn w:val="Normal"/>
    <w:link w:val="TekstpodstawowyZnak"/>
    <w:rsid w:val="00680add"/>
    <w:pPr>
      <w:widowControl w:val="false"/>
      <w:tabs>
        <w:tab w:val="left" w:pos="708" w:leader="none"/>
      </w:tabs>
      <w:spacing w:lineRule="atLeast" w:line="100" w:before="0" w:after="120"/>
      <w:jc w:val="both"/>
    </w:pPr>
    <w:rPr>
      <w:rFonts w:ascii="Arial" w:hAnsi="Arial"/>
      <w:color w:val="00000A"/>
      <w:lang w:eastAsia="hi-IN" w:bidi="hi-IN"/>
    </w:rPr>
  </w:style>
  <w:style w:type="paragraph" w:styleId="List">
    <w:name w:val="List"/>
    <w:basedOn w:val="BodyText"/>
    <w:rsid w:val="006a1eff"/>
    <w:pPr>
      <w:jc w:val="start"/>
      <w:textAlignment w:val="baseline"/>
    </w:pPr>
    <w:rPr>
      <w:rFonts w:ascii="Times New Roman" w:hAnsi="Times New Roman" w:eastAsia="Andale Sans UI" w:cs="Tahoma"/>
      <w:color w:val="00000A"/>
      <w:sz w:val="24"/>
      <w:szCs w:val="24"/>
      <w:lang w:val="de-DE" w:eastAsia="fa-IR" w:bidi="fa-IR"/>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6a1eff"/>
    <w:pPr>
      <w:widowControl w:val="false"/>
      <w:suppressLineNumbers/>
      <w:bidi w:val="0"/>
      <w:ind w:hanging="0" w:start="0"/>
      <w:jc w:val="start"/>
    </w:pPr>
    <w:rPr>
      <w:rFonts w:ascii="Calibri" w:hAnsi="Calibri" w:eastAsia="SimSun" w:cs="Mangal"/>
      <w:color w:val="00000A"/>
      <w:sz w:val="24"/>
      <w:szCs w:val="24"/>
      <w:lang w:val="pl-PL" w:eastAsia="zh-CN" w:bidi="hi-IN"/>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Akapitzlist1" w:customStyle="1">
    <w:name w:val="Akapit z listą1"/>
    <w:basedOn w:val="Normal"/>
    <w:qFormat/>
    <w:rsid w:val="00741b56"/>
    <w:pPr>
      <w:ind w:hanging="0" w:start="708"/>
    </w:pPr>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qFormat/>
    <w:rsid w:val="00a33ebc"/>
    <w:pPr>
      <w:tabs>
        <w:tab w:val="clear" w:pos="708"/>
        <w:tab w:val="center" w:pos="4536" w:leader="none"/>
        <w:tab w:val="right" w:pos="9072" w:leader="none"/>
      </w:tabs>
    </w:pPr>
    <w:rPr/>
  </w:style>
  <w:style w:type="paragraph" w:styleId="Footer">
    <w:name w:val="footer"/>
    <w:basedOn w:val="Normal"/>
    <w:link w:val="StopkaZnak"/>
    <w:rsid w:val="00a33ebc"/>
    <w:pPr>
      <w:tabs>
        <w:tab w:val="clear" w:pos="708"/>
        <w:tab w:val="center" w:pos="4536" w:leader="none"/>
        <w:tab w:val="right" w:pos="9072" w:leader="none"/>
      </w:tabs>
    </w:pPr>
    <w:rPr/>
  </w:style>
  <w:style w:type="paragraph" w:styleId="BalloonText">
    <w:name w:val="Balloon Text"/>
    <w:basedOn w:val="Normal"/>
    <w:link w:val="TekstdymkaZnak"/>
    <w:qFormat/>
    <w:rsid w:val="005d3c0b"/>
    <w:pPr/>
    <w:rPr>
      <w:rFonts w:ascii="Segoe UI" w:hAnsi="Segoe UI" w:cs="Segoe UI"/>
      <w:sz w:val="18"/>
      <w:szCs w:val="18"/>
    </w:rPr>
  </w:style>
  <w:style w:type="paragraph" w:styleId="ListParagraph">
    <w:name w:val="List Paragraph"/>
    <w:basedOn w:val="Normal"/>
    <w:link w:val="AkapitzlistZnak"/>
    <w:uiPriority w:val="1"/>
    <w:qFormat/>
    <w:rsid w:val="00b00026"/>
    <w:pPr>
      <w:ind w:hanging="0" w:start="708"/>
    </w:pPr>
    <w:rPr/>
  </w:style>
  <w:style w:type="paragraph" w:styleId="Standard" w:customStyle="1">
    <w:name w:val="Standard"/>
    <w:qFormat/>
    <w:rsid w:val="006a1eff"/>
    <w:pPr>
      <w:widowControl/>
      <w:suppressAutoHyphens w:val="true"/>
      <w:bidi w:val="0"/>
      <w:spacing w:lineRule="auto" w:line="276" w:before="0" w:after="200"/>
      <w:jc w:val="start"/>
      <w:textAlignment w:val="baseline"/>
    </w:pPr>
    <w:rPr>
      <w:rFonts w:ascii="Calibri" w:hAnsi="Calibri" w:eastAsia="Lucida Sans Unicode" w:cs="Tahoma"/>
      <w:color w:val="00000A"/>
      <w:kern w:val="0"/>
      <w:sz w:val="22"/>
      <w:szCs w:val="22"/>
      <w:lang w:val="pl-PL" w:eastAsia="zh-CN" w:bidi="ar-SA"/>
    </w:rPr>
  </w:style>
  <w:style w:type="paragraph" w:styleId="Index1">
    <w:name w:val="index 1"/>
    <w:basedOn w:val="Normal"/>
    <w:autoRedefine/>
    <w:unhideWhenUsed/>
    <w:qFormat/>
    <w:rsid w:val="00b322b3"/>
    <w:pPr>
      <w:suppressLineNumbers/>
      <w:tabs>
        <w:tab w:val="clear" w:pos="708"/>
        <w:tab w:val="left" w:pos="284" w:leader="none"/>
      </w:tabs>
      <w:ind w:hanging="75" w:start="200"/>
      <w:textAlignment w:val="baseline"/>
    </w:pPr>
    <w:rPr/>
  </w:style>
  <w:style w:type="paragraph" w:styleId="Textbody" w:customStyle="1">
    <w:name w:val="Text body"/>
    <w:basedOn w:val="Standard"/>
    <w:qFormat/>
    <w:rsid w:val="00b322b3"/>
    <w:pPr>
      <w:ind w:hanging="0" w:start="0"/>
      <w:jc w:val="center"/>
    </w:pPr>
    <w:rPr>
      <w:b/>
      <w:color w:val="000000"/>
      <w:sz w:val="40"/>
    </w:rPr>
  </w:style>
  <w:style w:type="paragraph" w:styleId="NormalWeb">
    <w:name w:val="Normal (Web)"/>
    <w:basedOn w:val="Normal"/>
    <w:uiPriority w:val="99"/>
    <w:qFormat/>
    <w:rsid w:val="009c2d22"/>
    <w:pPr>
      <w:suppressAutoHyphens w:val="false"/>
      <w:spacing w:beforeAutospacing="1" w:afterAutospacing="1"/>
    </w:pPr>
    <w:rPr>
      <w:sz w:val="24"/>
      <w:szCs w:val="24"/>
      <w:lang w:eastAsia="pl-PL"/>
    </w:rPr>
  </w:style>
  <w:style w:type="paragraph" w:styleId="Title">
    <w:name w:val="Title"/>
    <w:basedOn w:val="Normal"/>
    <w:link w:val="TytuZnak"/>
    <w:uiPriority w:val="10"/>
    <w:qFormat/>
    <w:locked/>
    <w:rsid w:val="006a1eff"/>
    <w:pPr>
      <w:suppressAutoHyphens w:val="false"/>
      <w:spacing w:before="0" w:after="80"/>
      <w:contextualSpacing/>
    </w:pPr>
    <w:rPr>
      <w:rFonts w:ascii="Aptos Display" w:hAnsi="Aptos Display"/>
      <w:spacing w:val="-10"/>
      <w:sz w:val="56"/>
      <w:szCs w:val="56"/>
      <w:lang w:eastAsia="en-US"/>
    </w:rPr>
  </w:style>
  <w:style w:type="paragraph" w:styleId="Subtitle">
    <w:name w:val="Subtitle"/>
    <w:basedOn w:val="Normal"/>
    <w:link w:val="PodtytuZnak"/>
    <w:uiPriority w:val="11"/>
    <w:qFormat/>
    <w:locked/>
    <w:rsid w:val="006a1eff"/>
    <w:pPr>
      <w:suppressAutoHyphens w:val="false"/>
      <w:spacing w:lineRule="auto" w:line="259" w:before="0" w:after="160"/>
    </w:pPr>
    <w:rPr>
      <w:rFonts w:ascii="Aptos" w:hAnsi="Aptos"/>
      <w:color w:val="595959"/>
      <w:spacing w:val="15"/>
      <w:sz w:val="28"/>
      <w:szCs w:val="28"/>
      <w:lang w:eastAsia="en-US"/>
    </w:rPr>
  </w:style>
  <w:style w:type="paragraph" w:styleId="Quote">
    <w:name w:val="Quote"/>
    <w:basedOn w:val="Normal"/>
    <w:link w:val="CytatZnak"/>
    <w:uiPriority w:val="29"/>
    <w:qFormat/>
    <w:rsid w:val="006a1eff"/>
    <w:pPr>
      <w:suppressAutoHyphens w:val="false"/>
      <w:spacing w:lineRule="auto" w:line="259" w:before="160" w:after="160"/>
      <w:jc w:val="center"/>
    </w:pPr>
    <w:rPr>
      <w:rFonts w:ascii="Aptos" w:hAnsi="Aptos" w:eastAsia="Aptos"/>
      <w:i/>
      <w:iCs/>
      <w:color w:val="404040"/>
      <w:sz w:val="22"/>
      <w:szCs w:val="22"/>
      <w:lang w:eastAsia="en-US"/>
    </w:rPr>
  </w:style>
  <w:style w:type="paragraph" w:styleId="IntenseQuote">
    <w:name w:val="Intense Quote"/>
    <w:basedOn w:val="Normal"/>
    <w:link w:val="CytatintensywnyZnak"/>
    <w:uiPriority w:val="30"/>
    <w:qFormat/>
    <w:rsid w:val="006a1eff"/>
    <w:pPr>
      <w:pBdr>
        <w:top w:val="single" w:sz="4" w:space="10" w:color="0F4761"/>
        <w:bottom w:val="single" w:sz="4" w:space="10" w:color="0F4761"/>
      </w:pBdr>
      <w:suppressAutoHyphens w:val="false"/>
      <w:spacing w:lineRule="auto" w:line="259" w:before="360" w:after="360"/>
      <w:ind w:hanging="0" w:start="864" w:end="864"/>
      <w:jc w:val="center"/>
    </w:pPr>
    <w:rPr>
      <w:rFonts w:ascii="Aptos" w:hAnsi="Aptos" w:eastAsia="Aptos"/>
      <w:i/>
      <w:iCs/>
      <w:color w:val="0F4761"/>
      <w:sz w:val="22"/>
      <w:szCs w:val="22"/>
      <w:lang w:eastAsia="en-US"/>
    </w:rPr>
  </w:style>
  <w:style w:type="paragraph" w:styleId="Normalny1" w:customStyle="1">
    <w:name w:val="Normalny1"/>
    <w:qFormat/>
    <w:rsid w:val="006a1eff"/>
    <w:pPr>
      <w:widowControl w:val="false"/>
      <w:suppressAutoHyphens w:val="true"/>
      <w:bidi w:val="0"/>
      <w:spacing w:lineRule="atLeast" w:line="100" w:before="0" w:after="0"/>
      <w:jc w:val="start"/>
      <w:textAlignment w:val="baseline"/>
    </w:pPr>
    <w:rPr>
      <w:rFonts w:ascii="Times New Roman" w:hAnsi="Times New Roman" w:eastAsia="Andale Sans UI" w:cs="Tahoma"/>
      <w:color w:val="00000A"/>
      <w:kern w:val="0"/>
      <w:sz w:val="24"/>
      <w:szCs w:val="24"/>
      <w:lang w:val="de-DE" w:eastAsia="fa-IR" w:bidi="fa-IR"/>
    </w:rPr>
  </w:style>
  <w:style w:type="paragraph" w:styleId="Nagwek2" w:customStyle="1">
    <w:name w:val="Nagłówek2"/>
    <w:basedOn w:val="Normal"/>
    <w:qFormat/>
    <w:rsid w:val="006a1eff"/>
    <w:pPr>
      <w:keepNext w:val="true"/>
      <w:widowControl w:val="false"/>
      <w:spacing w:lineRule="atLeast" w:line="100" w:before="240" w:after="120"/>
      <w:textAlignment w:val="baseline"/>
    </w:pPr>
    <w:rPr>
      <w:rFonts w:ascii="Arial" w:hAnsi="Arial" w:eastAsia="MS PGothic" w:cs="Tahoma"/>
      <w:sz w:val="28"/>
      <w:szCs w:val="28"/>
      <w:lang w:val="de-DE" w:eastAsia="fa-IR" w:bidi="fa-IR"/>
    </w:rPr>
  </w:style>
  <w:style w:type="paragraph" w:styleId="Podpis1" w:customStyle="1">
    <w:name w:val="Podpis1"/>
    <w:basedOn w:val="Normal"/>
    <w:qFormat/>
    <w:rsid w:val="006a1eff"/>
    <w:pPr>
      <w:widowControl w:val="false"/>
      <w:suppressLineNumbers/>
      <w:spacing w:lineRule="atLeast" w:line="100" w:before="120" w:after="120"/>
      <w:textAlignment w:val="baseline"/>
    </w:pPr>
    <w:rPr>
      <w:rFonts w:eastAsia="Andale Sans UI" w:cs="Tahoma"/>
      <w:i/>
      <w:iCs/>
      <w:sz w:val="24"/>
      <w:szCs w:val="24"/>
      <w:lang w:val="de-DE" w:eastAsia="fa-IR" w:bidi="fa-IR"/>
    </w:rPr>
  </w:style>
  <w:style w:type="paragraph" w:styleId="Tekstpodstawowywcity31" w:customStyle="1">
    <w:name w:val="Tekst podstawowy wcięty 31"/>
    <w:basedOn w:val="Normal"/>
    <w:qFormat/>
    <w:rsid w:val="006a1eff"/>
    <w:pPr>
      <w:widowControl w:val="false"/>
      <w:spacing w:lineRule="atLeast" w:line="100"/>
      <w:ind w:hanging="284" w:start="284"/>
      <w:textAlignment w:val="baseline"/>
    </w:pPr>
    <w:rPr>
      <w:rFonts w:eastAsia="Andale Sans UI" w:cs="Tahoma"/>
      <w:sz w:val="24"/>
      <w:szCs w:val="24"/>
      <w:lang w:val="de-DE" w:eastAsia="fa-IR" w:bidi="fa-IR"/>
    </w:rPr>
  </w:style>
  <w:style w:type="paragraph" w:styleId="Zawartotabeli" w:customStyle="1">
    <w:name w:val="Zawartość tabeli"/>
    <w:basedOn w:val="Standard"/>
    <w:qFormat/>
    <w:rsid w:val="006a1eff"/>
    <w:pPr>
      <w:widowControl w:val="false"/>
      <w:suppressLineNumbers/>
      <w:ind w:hanging="0" w:start="0"/>
      <w:jc w:val="start"/>
    </w:pPr>
    <w:rPr>
      <w:rFonts w:eastAsia="Andale Sans UI" w:cs="Tahoma"/>
      <w:sz w:val="24"/>
      <w:szCs w:val="24"/>
      <w:lang w:val="en-US" w:eastAsia="en-US" w:bidi="en-US"/>
    </w:rPr>
  </w:style>
  <w:style w:type="paragraph" w:styleId="Nagwektabeli" w:customStyle="1">
    <w:name w:val="Nagłówek tabeli"/>
    <w:basedOn w:val="Zawartotabeli"/>
    <w:qFormat/>
    <w:rsid w:val="006a1eff"/>
    <w:pPr>
      <w:jc w:val="center"/>
    </w:pPr>
    <w:rPr>
      <w:rFonts w:eastAsia="SimSun" w:cs="Mangal"/>
      <w:b/>
      <w:bCs/>
      <w:lang w:val="pl-PL" w:eastAsia="zh-CN" w:bidi="hi-IN"/>
    </w:rPr>
  </w:style>
  <w:style w:type="paragraph" w:styleId="Nagwek1" w:customStyle="1">
    <w:name w:val="Nagłówek1"/>
    <w:basedOn w:val="Normalny1"/>
    <w:qFormat/>
    <w:rsid w:val="006a1eff"/>
    <w:pPr>
      <w:keepNext w:val="true"/>
      <w:spacing w:before="240" w:after="120"/>
      <w:textAlignment w:val="auto"/>
    </w:pPr>
    <w:rPr>
      <w:rFonts w:ascii="Arial" w:hAnsi="Arial" w:eastAsia="Microsoft YaHei" w:cs="Mangal"/>
      <w:sz w:val="28"/>
      <w:szCs w:val="28"/>
      <w:lang w:val="pl-PL" w:eastAsia="hi-IN" w:bidi="hi-IN"/>
    </w:rPr>
  </w:style>
  <w:style w:type="paragraph" w:styleId="Tekstpodstawowy1" w:customStyle="1">
    <w:name w:val="Tekst podstawowy1"/>
    <w:basedOn w:val="Normalny1"/>
    <w:qFormat/>
    <w:rsid w:val="006a1eff"/>
    <w:pPr>
      <w:spacing w:before="0" w:after="120"/>
    </w:pPr>
    <w:rPr/>
  </w:style>
  <w:style w:type="paragraph" w:styleId="TOC1">
    <w:name w:val="toc 1"/>
    <w:basedOn w:val="Normal"/>
    <w:locked/>
    <w:rsid w:val="006a1eff"/>
    <w:pPr/>
    <w:rPr>
      <w:sz w:val="24"/>
      <w:szCs w:val="24"/>
    </w:rPr>
  </w:style>
  <w:style w:type="paragraph" w:styleId="Tekstkomentarza1" w:customStyle="1">
    <w:name w:val="Tekst komentarza1"/>
    <w:basedOn w:val="Normal"/>
    <w:qFormat/>
    <w:rsid w:val="006a1eff"/>
    <w:pPr/>
    <w:rPr/>
  </w:style>
  <w:style w:type="paragraph" w:styleId="BodyTextIndent3">
    <w:name w:val="Body Text Indent 3"/>
    <w:basedOn w:val="Normal"/>
    <w:link w:val="Tekstpodstawowywcity3Znak"/>
    <w:qFormat/>
    <w:rsid w:val="006a1eff"/>
    <w:pPr>
      <w:widowControl w:val="false"/>
      <w:spacing w:lineRule="atLeast" w:line="100" w:before="0" w:after="120"/>
      <w:ind w:hanging="0" w:start="283"/>
      <w:textAlignment w:val="baseline"/>
    </w:pPr>
    <w:rPr>
      <w:rFonts w:eastAsia="Andale Sans UI" w:cs="Tahoma"/>
      <w:sz w:val="16"/>
      <w:szCs w:val="16"/>
      <w:lang w:val="de-DE" w:eastAsia="fa-IR" w:bidi="fa-IR"/>
    </w:rPr>
  </w:style>
  <w:style w:type="paragraph" w:styleId="Nagwek3" w:customStyle="1">
    <w:name w:val="Nagłówek3"/>
    <w:basedOn w:val="Normal"/>
    <w:qFormat/>
    <w:rsid w:val="006a1eff"/>
    <w:pPr>
      <w:widowControl w:val="false"/>
      <w:tabs>
        <w:tab w:val="clear" w:pos="708"/>
        <w:tab w:val="center" w:pos="4536" w:leader="none"/>
        <w:tab w:val="right" w:pos="9072" w:leader="none"/>
      </w:tabs>
      <w:textAlignment w:val="baseline"/>
    </w:pPr>
    <w:rPr>
      <w:rFonts w:eastAsia="Andale Sans UI" w:cs="Tahoma"/>
      <w:sz w:val="24"/>
      <w:szCs w:val="24"/>
      <w:lang w:val="de-DE" w:eastAsia="ja-JP" w:bidi="fa-IR"/>
    </w:rPr>
  </w:style>
  <w:style w:type="paragraph" w:styleId="Nagwek11" w:customStyle="1">
    <w:name w:val="Nagłówek 11"/>
    <w:basedOn w:val="Standard"/>
    <w:next w:val="Standard"/>
    <w:qFormat/>
    <w:rsid w:val="006a1eff"/>
    <w:pPr>
      <w:keepNext w:val="true"/>
      <w:widowControl w:val="false"/>
      <w:ind w:hanging="0" w:start="0"/>
      <w:jc w:val="center"/>
      <w:outlineLvl w:val="0"/>
    </w:pPr>
    <w:rPr>
      <w:rFonts w:eastAsia="Andale Sans UI" w:cs="Tahoma"/>
      <w:b/>
      <w:sz w:val="24"/>
      <w:szCs w:val="24"/>
      <w:lang w:val="de-DE" w:eastAsia="ja-JP" w:bidi="fa-IR"/>
    </w:rPr>
  </w:style>
  <w:style w:type="paragraph" w:styleId="Default" w:customStyle="1">
    <w:name w:val="Default"/>
    <w:qFormat/>
    <w:rsid w:val="006a1eff"/>
    <w:pPr>
      <w:widowControl w:val="false"/>
      <w:suppressAutoHyphens w:val="true"/>
      <w:bidi w:val="0"/>
      <w:spacing w:before="0" w:after="0"/>
      <w:jc w:val="start"/>
    </w:pPr>
    <w:rPr>
      <w:rFonts w:ascii="Helvetica" w:hAnsi="Helvetica" w:eastAsia="Arial" w:cs="Helvetica"/>
      <w:color w:val="000000"/>
      <w:kern w:val="0"/>
      <w:sz w:val="24"/>
      <w:szCs w:val="24"/>
      <w:lang w:val="pl-PL" w:eastAsia="ar-SA" w:bidi="ar-SA"/>
    </w:rPr>
  </w:style>
  <w:style w:type="paragraph" w:styleId="Nagwek31" w:customStyle="1">
    <w:name w:val="Nagłówek 31"/>
    <w:basedOn w:val="Standard"/>
    <w:next w:val="Standard"/>
    <w:qFormat/>
    <w:rsid w:val="006a1eff"/>
    <w:pPr>
      <w:keepNext w:val="true"/>
      <w:widowControl w:val="false"/>
      <w:ind w:hanging="0" w:start="0"/>
      <w:jc w:val="end"/>
      <w:outlineLvl w:val="2"/>
    </w:pPr>
    <w:rPr>
      <w:rFonts w:eastAsia="Andale Sans UI" w:cs="Tahoma"/>
      <w:b/>
      <w:sz w:val="28"/>
      <w:szCs w:val="24"/>
      <w:lang w:val="de-DE" w:eastAsia="ja-JP" w:bidi="fa-IR"/>
    </w:rPr>
  </w:style>
  <w:style w:type="paragraph" w:styleId="Tabelapozycja" w:customStyle="1">
    <w:name w:val="Tabela pozycja"/>
    <w:basedOn w:val="Standard"/>
    <w:qFormat/>
    <w:rsid w:val="006a1eff"/>
    <w:pPr>
      <w:widowControl w:val="false"/>
      <w:ind w:hanging="0" w:start="0"/>
      <w:jc w:val="start"/>
    </w:pPr>
    <w:rPr>
      <w:rFonts w:ascii="Arial" w:hAnsi="Arial" w:eastAsia="MS Outlook" w:cs="Tahoma"/>
      <w:sz w:val="24"/>
      <w:szCs w:val="24"/>
      <w:lang w:val="de-DE" w:eastAsia="ja-JP" w:bidi="fa-IR"/>
    </w:rPr>
  </w:style>
  <w:style w:type="paragraph" w:styleId="NoSpacing">
    <w:name w:val="No Spacing"/>
    <w:qFormat/>
    <w:rsid w:val="006a1eff"/>
    <w:pPr>
      <w:widowControl/>
      <w:suppressAutoHyphens w:val="true"/>
      <w:bidi w:val="0"/>
      <w:spacing w:before="0" w:after="0"/>
      <w:jc w:val="start"/>
    </w:pPr>
    <w:rPr>
      <w:rFonts w:ascii="Calibri" w:hAnsi="Calibri" w:eastAsia="Calibri" w:cs="Times New Roman"/>
      <w:color w:val="00000A"/>
      <w:kern w:val="0"/>
      <w:sz w:val="22"/>
      <w:szCs w:val="22"/>
      <w:lang w:val="en-US" w:eastAsia="en-US" w:bidi="ar-SA"/>
    </w:rPr>
  </w:style>
  <w:style w:type="paragraph" w:styleId="BodyTextIndent">
    <w:name w:val="Body Text Indent"/>
    <w:basedOn w:val="Normal"/>
    <w:link w:val="TekstpodstawowywcityZnak"/>
    <w:rsid w:val="006a1eff"/>
    <w:pPr>
      <w:suppressAutoHyphens w:val="false"/>
      <w:spacing w:before="0" w:after="120"/>
      <w:ind w:hanging="0" w:start="283"/>
    </w:pPr>
    <w:rPr>
      <w:sz w:val="24"/>
      <w:lang w:eastAsia="pl-PL"/>
    </w:rPr>
  </w:style>
  <w:style w:type="paragraph" w:styleId="Styl" w:customStyle="1">
    <w:name w:val="Styl"/>
    <w:qFormat/>
    <w:rsid w:val="006a1eff"/>
    <w:pPr>
      <w:widowControl w:val="false"/>
      <w:suppressAutoHyphens w:val="true"/>
      <w:bidi w:val="0"/>
      <w:spacing w:before="0" w:after="0"/>
      <w:jc w:val="start"/>
    </w:pPr>
    <w:rPr>
      <w:rFonts w:ascii="Arial" w:hAnsi="Arial" w:eastAsia="Arial" w:cs="Arial"/>
      <w:color w:val="00000A"/>
      <w:kern w:val="0"/>
      <w:sz w:val="24"/>
      <w:szCs w:val="24"/>
      <w:lang w:val="pl-PL" w:eastAsia="ar-SA" w:bidi="ar-SA"/>
    </w:rPr>
  </w:style>
  <w:style w:type="paragraph" w:styleId="Styl2" w:customStyle="1">
    <w:name w:val="Styl 2"/>
    <w:basedOn w:val="Normal"/>
    <w:qFormat/>
    <w:rsid w:val="006a1eff"/>
    <w:pPr>
      <w:widowControl w:val="false"/>
      <w:tabs>
        <w:tab w:val="clear" w:pos="708"/>
        <w:tab w:val="left" w:pos="360" w:leader="none"/>
        <w:tab w:val="center" w:pos="851" w:leader="none"/>
      </w:tabs>
      <w:spacing w:lineRule="atLeast" w:line="100" w:before="120" w:after="120"/>
      <w:ind w:hanging="0" w:start="360"/>
      <w:jc w:val="center"/>
    </w:pPr>
    <w:rPr>
      <w:rFonts w:ascii="Tahoma" w:hAnsi="Tahoma" w:cs="Tahoma"/>
      <w:b/>
      <w:sz w:val="22"/>
      <w:szCs w:val="24"/>
      <w:lang w:val="en-US" w:eastAsia="fa-IR" w:bidi="fa-IR"/>
    </w:rPr>
  </w:style>
  <w:style w:type="paragraph" w:styleId="Tabela" w:customStyle="1">
    <w:name w:val="Tabela"/>
    <w:basedOn w:val="Podpis1"/>
    <w:qFormat/>
    <w:rsid w:val="006a1eff"/>
    <w:pPr>
      <w:spacing w:lineRule="auto" w:line="240"/>
      <w:textAlignment w:val="auto"/>
    </w:pPr>
    <w:rPr>
      <w:rFonts w:eastAsia="SimSun" w:cs="Mangal"/>
      <w:lang w:val="pl-PL" w:eastAsia="hi-IN" w:bidi="hi-IN"/>
    </w:rPr>
  </w:style>
  <w:style w:type="paragraph" w:styleId="ft04p1" w:customStyle="1">
    <w:name w:val="ft04p1"/>
    <w:basedOn w:val="Normal"/>
    <w:qFormat/>
    <w:rsid w:val="006a1eff"/>
    <w:pPr>
      <w:suppressAutoHyphens w:val="false"/>
      <w:spacing w:beforeAutospacing="1" w:afterAutospacing="1"/>
    </w:pPr>
    <w:rPr>
      <w:sz w:val="24"/>
      <w:szCs w:val="24"/>
      <w:lang w:eastAsia="pl-PL"/>
    </w:rPr>
  </w:style>
  <w:style w:type="paragraph" w:styleId="EndnoteText">
    <w:name w:val="endnote text"/>
    <w:basedOn w:val="Normal"/>
    <w:link w:val="TekstprzypisukocowegoZnak"/>
    <w:unhideWhenUsed/>
    <w:qFormat/>
    <w:rsid w:val="006a1eff"/>
    <w:pPr>
      <w:widowControl w:val="false"/>
      <w:spacing w:lineRule="atLeast" w:line="100"/>
      <w:textAlignment w:val="baseline"/>
    </w:pPr>
    <w:rPr>
      <w:rFonts w:eastAsia="Andale Sans UI" w:cs="Tahoma"/>
      <w:lang w:val="de-DE" w:eastAsia="fa-IR" w:bidi="fa-IR"/>
    </w:rPr>
  </w:style>
  <w:style w:type="paragraph" w:styleId="FootnoteText">
    <w:name w:val="footnote text"/>
    <w:basedOn w:val="Normal"/>
    <w:link w:val="TekstprzypisudolnegoZnak"/>
    <w:unhideWhenUsed/>
    <w:qFormat/>
    <w:rsid w:val="006a1eff"/>
    <w:pPr>
      <w:widowControl w:val="false"/>
      <w:spacing w:lineRule="atLeast" w:line="100"/>
      <w:textAlignment w:val="baseline"/>
    </w:pPr>
    <w:rPr>
      <w:rFonts w:eastAsia="Andale Sans UI" w:cs="Tahoma"/>
      <w:lang w:val="de-DE" w:eastAsia="fa-IR" w:bidi="fa-IR"/>
    </w:rPr>
  </w:style>
  <w:style w:type="paragraph" w:styleId="Tiret0" w:customStyle="1">
    <w:name w:val="Tiret 0"/>
    <w:basedOn w:val="Normal"/>
    <w:qFormat/>
    <w:rsid w:val="006a1eff"/>
    <w:pPr>
      <w:suppressAutoHyphens w:val="false"/>
      <w:spacing w:before="120" w:after="120"/>
      <w:jc w:val="both"/>
    </w:pPr>
    <w:rPr>
      <w:rFonts w:eastAsia="Calibri"/>
      <w:sz w:val="24"/>
      <w:szCs w:val="22"/>
      <w:lang w:eastAsia="en-GB"/>
    </w:rPr>
  </w:style>
  <w:style w:type="paragraph" w:styleId="Tiret1" w:customStyle="1">
    <w:name w:val="Tiret 1"/>
    <w:basedOn w:val="Normal"/>
    <w:qFormat/>
    <w:rsid w:val="006a1eff"/>
    <w:pPr>
      <w:suppressAutoHyphens w:val="false"/>
      <w:spacing w:before="120" w:after="120"/>
      <w:jc w:val="both"/>
    </w:pPr>
    <w:rPr>
      <w:rFonts w:eastAsia="Calibri"/>
      <w:sz w:val="24"/>
      <w:szCs w:val="22"/>
      <w:lang w:eastAsia="en-GB"/>
    </w:rPr>
  </w:style>
  <w:style w:type="paragraph" w:styleId="NumPar1" w:customStyle="1">
    <w:name w:val="NumPar 1"/>
    <w:basedOn w:val="Normal"/>
    <w:qFormat/>
    <w:rsid w:val="006a1eff"/>
    <w:pPr>
      <w:suppressAutoHyphens w:val="false"/>
      <w:spacing w:before="120" w:after="120"/>
      <w:jc w:val="both"/>
    </w:pPr>
    <w:rPr>
      <w:rFonts w:eastAsia="Calibri"/>
      <w:sz w:val="24"/>
      <w:szCs w:val="22"/>
      <w:lang w:eastAsia="en-GB"/>
    </w:rPr>
  </w:style>
  <w:style w:type="paragraph" w:styleId="NumPar2" w:customStyle="1">
    <w:name w:val="NumPar 2"/>
    <w:basedOn w:val="Normal"/>
    <w:qFormat/>
    <w:rsid w:val="006a1eff"/>
    <w:pPr>
      <w:suppressAutoHyphens w:val="false"/>
      <w:spacing w:before="120" w:after="120"/>
      <w:jc w:val="both"/>
    </w:pPr>
    <w:rPr>
      <w:rFonts w:eastAsia="Calibri"/>
      <w:sz w:val="24"/>
      <w:szCs w:val="22"/>
      <w:lang w:eastAsia="en-GB"/>
    </w:rPr>
  </w:style>
  <w:style w:type="paragraph" w:styleId="NumPar3" w:customStyle="1">
    <w:name w:val="NumPar 3"/>
    <w:basedOn w:val="Normal"/>
    <w:qFormat/>
    <w:rsid w:val="006a1eff"/>
    <w:pPr>
      <w:suppressAutoHyphens w:val="false"/>
      <w:spacing w:before="120" w:after="120"/>
      <w:jc w:val="both"/>
    </w:pPr>
    <w:rPr>
      <w:rFonts w:eastAsia="Calibri"/>
      <w:sz w:val="24"/>
      <w:szCs w:val="22"/>
      <w:lang w:eastAsia="en-GB"/>
    </w:rPr>
  </w:style>
  <w:style w:type="paragraph" w:styleId="NumPar4" w:customStyle="1">
    <w:name w:val="NumPar 4"/>
    <w:basedOn w:val="Normal"/>
    <w:qFormat/>
    <w:rsid w:val="006a1eff"/>
    <w:pPr>
      <w:suppressAutoHyphens w:val="false"/>
      <w:spacing w:before="120" w:after="120"/>
      <w:jc w:val="both"/>
    </w:pPr>
    <w:rPr>
      <w:rFonts w:eastAsia="Calibri"/>
      <w:sz w:val="24"/>
      <w:szCs w:val="22"/>
      <w:lang w:eastAsia="en-GB"/>
    </w:rPr>
  </w:style>
  <w:style w:type="paragraph" w:styleId="StylSIWZv3" w:customStyle="1">
    <w:name w:val="Styl SIWZ v3"/>
    <w:basedOn w:val="ListParagraph"/>
    <w:qFormat/>
    <w:rsid w:val="006a1eff"/>
    <w:pPr>
      <w:suppressAutoHyphens w:val="false"/>
      <w:spacing w:lineRule="auto" w:line="276" w:before="120" w:after="240"/>
      <w:jc w:val="both"/>
    </w:pPr>
    <w:rPr>
      <w:rFonts w:ascii="Calibri" w:hAnsi="Calibri" w:eastAsia="Calibri" w:cs="Calibri"/>
      <w:b/>
      <w:sz w:val="24"/>
      <w:szCs w:val="24"/>
      <w:lang w:eastAsia="en-US"/>
    </w:rPr>
  </w:style>
  <w:style w:type="paragraph" w:styleId="Legenda1" w:customStyle="1">
    <w:name w:val="Legenda1"/>
    <w:basedOn w:val="Normal"/>
    <w:qFormat/>
    <w:rsid w:val="006a1eff"/>
    <w:pPr>
      <w:suppressLineNumbers/>
      <w:spacing w:before="120" w:after="120"/>
    </w:pPr>
    <w:rPr>
      <w:rFonts w:ascii="Arial" w:hAnsi="Arial" w:eastAsia="Batang" w:cs="Mangal"/>
      <w:i/>
      <w:iCs/>
      <w:color w:val="00000A"/>
      <w:sz w:val="24"/>
      <w:szCs w:val="24"/>
      <w:lang w:eastAsia="pl-PL"/>
    </w:rPr>
  </w:style>
  <w:style w:type="paragraph" w:styleId="Stopka1" w:customStyle="1">
    <w:name w:val="Stopka1"/>
    <w:basedOn w:val="Normal"/>
    <w:qFormat/>
    <w:rsid w:val="006a1eff"/>
    <w:pPr>
      <w:tabs>
        <w:tab w:val="clear" w:pos="708"/>
        <w:tab w:val="center" w:pos="4536" w:leader="none"/>
        <w:tab w:val="right" w:pos="9072" w:leader="none"/>
      </w:tabs>
    </w:pPr>
    <w:rPr>
      <w:rFonts w:ascii="Aptos" w:hAnsi="Aptos" w:eastAsia="Aptos"/>
      <w:sz w:val="22"/>
      <w:szCs w:val="22"/>
      <w:lang w:eastAsia="en-US"/>
    </w:rPr>
  </w:style>
  <w:style w:type="paragraph" w:styleId="BodyText2">
    <w:name w:val="Body Text 2"/>
    <w:basedOn w:val="Normal"/>
    <w:link w:val="Tekstpodstawowy2Znak"/>
    <w:qFormat/>
    <w:rsid w:val="006a1eff"/>
    <w:pPr>
      <w:suppressAutoHyphens w:val="false"/>
      <w:spacing w:lineRule="auto" w:line="480" w:before="0" w:after="120"/>
    </w:pPr>
    <w:rPr>
      <w:sz w:val="24"/>
      <w:lang w:val="x-none" w:eastAsia="x-none"/>
    </w:rPr>
  </w:style>
  <w:style w:type="paragraph" w:styleId="CommentText">
    <w:name w:val="annotation text"/>
    <w:basedOn w:val="Normal"/>
    <w:link w:val="TekstkomentarzaZnak"/>
    <w:unhideWhenUsed/>
    <w:qFormat/>
    <w:rsid w:val="006a1eff"/>
    <w:pPr>
      <w:widowControl w:val="false"/>
      <w:spacing w:lineRule="atLeast" w:line="100"/>
      <w:textAlignment w:val="baseline"/>
    </w:pPr>
    <w:rPr>
      <w:rFonts w:eastAsia="Andale Sans UI" w:cs="Tahoma"/>
      <w:lang w:val="de-DE" w:eastAsia="fa-IR" w:bidi="fa-IR"/>
    </w:rPr>
  </w:style>
  <w:style w:type="paragraph" w:styleId="BodyText21" w:customStyle="1">
    <w:name w:val="Body Text 21"/>
    <w:basedOn w:val="Normal"/>
    <w:qFormat/>
    <w:rsid w:val="006a1eff"/>
    <w:pPr>
      <w:widowControl w:val="false"/>
      <w:spacing w:lineRule="auto" w:line="360"/>
      <w:jc w:val="center"/>
    </w:pPr>
    <w:rPr>
      <w:b/>
      <w:bCs/>
      <w:sz w:val="24"/>
      <w:szCs w:val="24"/>
    </w:rPr>
  </w:style>
  <w:style w:type="paragraph" w:styleId="Listanumerowana1" w:customStyle="1">
    <w:name w:val="Lista numerowana1"/>
    <w:basedOn w:val="Normal"/>
    <w:qFormat/>
    <w:rsid w:val="006a1eff"/>
    <w:pPr>
      <w:widowControl w:val="false"/>
    </w:pPr>
    <w:rPr>
      <w:sz w:val="24"/>
    </w:rPr>
  </w:style>
  <w:style w:type="paragraph" w:styleId="WW-Tekstpodstawowy2" w:customStyle="1">
    <w:name w:val="WW-Tekst podstawowy 2"/>
    <w:basedOn w:val="Normal"/>
    <w:qFormat/>
    <w:rsid w:val="006a1eff"/>
    <w:pPr>
      <w:widowControl w:val="false"/>
      <w:pBdr>
        <w:top w:val="single" w:sz="2" w:space="1" w:color="000001"/>
        <w:left w:val="single" w:sz="2" w:space="1" w:color="000001"/>
        <w:bottom w:val="single" w:sz="2" w:space="0" w:color="000001"/>
        <w:right w:val="single" w:sz="2" w:space="3" w:color="000001"/>
      </w:pBdr>
      <w:spacing w:lineRule="auto" w:line="480"/>
      <w:jc w:val="center"/>
    </w:pPr>
    <w:rPr>
      <w:rFonts w:ascii="Arial" w:hAnsi="Arial" w:cs="Arial"/>
      <w:sz w:val="22"/>
      <w:szCs w:val="22"/>
    </w:rPr>
  </w:style>
  <w:style w:type="paragraph" w:styleId="Nagwekistopka" w:customStyle="1">
    <w:name w:val="Nagłówek i stopka"/>
    <w:qFormat/>
    <w:rsid w:val="006a1eff"/>
    <w:pPr>
      <w:widowControl/>
      <w:tabs>
        <w:tab w:val="clear" w:pos="708"/>
        <w:tab w:val="right" w:pos="9020" w:leader="none"/>
      </w:tabs>
      <w:suppressAutoHyphens w:val="true"/>
      <w:bidi w:val="0"/>
      <w:spacing w:before="0" w:after="0"/>
      <w:jc w:val="start"/>
    </w:pPr>
    <w:rPr>
      <w:rFonts w:ascii="Helvetica" w:hAnsi="Helvetica" w:eastAsia="Arial Unicode MS" w:cs="Arial Unicode MS"/>
      <w:color w:val="000000"/>
      <w:kern w:val="0"/>
      <w:sz w:val="24"/>
      <w:szCs w:val="24"/>
      <w:lang w:val="pl-PL" w:eastAsia="pl-PL" w:bidi="ar-SA"/>
    </w:rPr>
  </w:style>
  <w:style w:type="paragraph" w:styleId="AbsatzTableFormat" w:customStyle="1">
    <w:name w:val="AbsatzTableFormat"/>
    <w:qFormat/>
    <w:rsid w:val="006a1eff"/>
    <w:pPr>
      <w:widowControl/>
      <w:suppressAutoHyphens w:val="true"/>
      <w:bidi w:val="0"/>
      <w:spacing w:before="0" w:after="0"/>
      <w:jc w:val="start"/>
    </w:pPr>
    <w:rPr>
      <w:rFonts w:ascii="Times New Roman" w:hAnsi="Times New Roman" w:eastAsia="Arial Unicode MS" w:cs="Arial Unicode MS"/>
      <w:color w:val="000000"/>
      <w:kern w:val="0"/>
      <w:sz w:val="24"/>
      <w:szCs w:val="24"/>
      <w:u w:val="none" w:color="000000"/>
      <w:lang w:val="pl-PL" w:eastAsia="pl-PL" w:bidi="ar-SA"/>
    </w:rPr>
  </w:style>
  <w:style w:type="paragraph" w:styleId="Bezodstpw1" w:customStyle="1">
    <w:name w:val="Bez odstępów1"/>
    <w:qFormat/>
    <w:rsid w:val="006a1eff"/>
    <w:pPr>
      <w:widowControl/>
      <w:suppressAutoHyphens w:val="true"/>
      <w:bidi w:val="0"/>
      <w:spacing w:before="0" w:after="0"/>
      <w:jc w:val="start"/>
    </w:pPr>
    <w:rPr>
      <w:rFonts w:ascii="Cambria" w:hAnsi="Cambria" w:eastAsia="Times New Roman" w:cs="Cambria"/>
      <w:color w:val="00000A"/>
      <w:kern w:val="0"/>
      <w:sz w:val="24"/>
      <w:szCs w:val="24"/>
      <w:lang w:val="cs-CZ" w:eastAsia="pl-PL" w:bidi="ar-SA"/>
    </w:rPr>
  </w:style>
  <w:style w:type="paragraph" w:styleId="Nagwek5" w:customStyle="1">
    <w:name w:val="Nagłówek5"/>
    <w:basedOn w:val="Normal"/>
    <w:qFormat/>
    <w:rsid w:val="006a1eff"/>
    <w:pPr>
      <w:keepNext w:val="true"/>
      <w:spacing w:before="240" w:after="120"/>
    </w:pPr>
    <w:rPr>
      <w:rFonts w:ascii="Arial" w:hAnsi="Arial" w:eastAsia="SimSun" w:cs="Mangal"/>
      <w:sz w:val="28"/>
      <w:szCs w:val="28"/>
    </w:rPr>
  </w:style>
  <w:style w:type="paragraph" w:styleId="Podpis6" w:customStyle="1">
    <w:name w:val="Podpis6"/>
    <w:basedOn w:val="Normal"/>
    <w:qFormat/>
    <w:rsid w:val="006a1eff"/>
    <w:pPr>
      <w:suppressLineNumbers/>
      <w:spacing w:before="120" w:after="120"/>
    </w:pPr>
    <w:rPr>
      <w:rFonts w:cs="Mangal"/>
      <w:i/>
      <w:iCs/>
      <w:sz w:val="24"/>
      <w:szCs w:val="24"/>
    </w:rPr>
  </w:style>
  <w:style w:type="paragraph" w:styleId="Nagwek4" w:customStyle="1">
    <w:name w:val="Nagłówek4"/>
    <w:basedOn w:val="Normal"/>
    <w:qFormat/>
    <w:rsid w:val="006a1eff"/>
    <w:pPr>
      <w:keepNext w:val="true"/>
      <w:spacing w:before="240" w:after="120"/>
    </w:pPr>
    <w:rPr>
      <w:rFonts w:ascii="Arial" w:hAnsi="Arial" w:eastAsia="SimSun" w:cs="Mangal"/>
      <w:sz w:val="28"/>
      <w:szCs w:val="28"/>
    </w:rPr>
  </w:style>
  <w:style w:type="paragraph" w:styleId="Podpis5" w:customStyle="1">
    <w:name w:val="Podpis5"/>
    <w:basedOn w:val="Normal"/>
    <w:qFormat/>
    <w:rsid w:val="006a1eff"/>
    <w:pPr>
      <w:suppressLineNumbers/>
      <w:spacing w:before="120" w:after="120"/>
    </w:pPr>
    <w:rPr>
      <w:rFonts w:cs="Mangal"/>
      <w:i/>
      <w:iCs/>
      <w:sz w:val="24"/>
      <w:szCs w:val="24"/>
    </w:rPr>
  </w:style>
  <w:style w:type="paragraph" w:styleId="Podpis4" w:customStyle="1">
    <w:name w:val="Podpis4"/>
    <w:basedOn w:val="Normal"/>
    <w:qFormat/>
    <w:rsid w:val="006a1eff"/>
    <w:pPr>
      <w:suppressLineNumbers/>
      <w:spacing w:before="120" w:after="120"/>
    </w:pPr>
    <w:rPr>
      <w:rFonts w:cs="Mangal"/>
      <w:i/>
      <w:iCs/>
      <w:sz w:val="24"/>
      <w:szCs w:val="24"/>
    </w:rPr>
  </w:style>
  <w:style w:type="paragraph" w:styleId="Podpis3" w:customStyle="1">
    <w:name w:val="Podpis3"/>
    <w:basedOn w:val="Normal"/>
    <w:qFormat/>
    <w:rsid w:val="006a1eff"/>
    <w:pPr>
      <w:suppressLineNumbers/>
      <w:spacing w:before="120" w:after="120"/>
    </w:pPr>
    <w:rPr>
      <w:rFonts w:cs="Mangal"/>
      <w:i/>
      <w:iCs/>
      <w:sz w:val="24"/>
      <w:szCs w:val="24"/>
    </w:rPr>
  </w:style>
  <w:style w:type="paragraph" w:styleId="Podpis2" w:customStyle="1">
    <w:name w:val="Podpis2"/>
    <w:basedOn w:val="Normal"/>
    <w:qFormat/>
    <w:rsid w:val="006a1eff"/>
    <w:pPr>
      <w:suppressLineNumbers/>
      <w:spacing w:before="120" w:after="120"/>
    </w:pPr>
    <w:rPr>
      <w:rFonts w:cs="Mangal"/>
      <w:i/>
      <w:iCs/>
      <w:sz w:val="24"/>
      <w:szCs w:val="24"/>
    </w:rPr>
  </w:style>
  <w:style w:type="paragraph" w:styleId="Tekstpodstawowywcity21" w:customStyle="1">
    <w:name w:val="Tekst podstawowy wcięty 21"/>
    <w:basedOn w:val="Normal"/>
    <w:qFormat/>
    <w:rsid w:val="006a1eff"/>
    <w:pPr>
      <w:ind w:hanging="567" w:start="567"/>
    </w:pPr>
    <w:rPr>
      <w:sz w:val="24"/>
    </w:rPr>
  </w:style>
  <w:style w:type="paragraph" w:styleId="Tekstpodstawowy31" w:customStyle="1">
    <w:name w:val="Tekst podstawowy 31"/>
    <w:basedOn w:val="Normal"/>
    <w:qFormat/>
    <w:rsid w:val="006a1eff"/>
    <w:pPr>
      <w:jc w:val="both"/>
    </w:pPr>
    <w:rPr>
      <w:sz w:val="24"/>
    </w:rPr>
  </w:style>
  <w:style w:type="paragraph" w:styleId="Tekstpodstawowy21" w:customStyle="1">
    <w:name w:val="Tekst podstawowy 21"/>
    <w:basedOn w:val="Normal"/>
    <w:qFormat/>
    <w:rsid w:val="006a1eff"/>
    <w:pPr>
      <w:overflowPunct w:val="true"/>
      <w:ind w:hanging="360" w:start="360"/>
      <w:textAlignment w:val="baseline"/>
    </w:pPr>
    <w:rPr>
      <w:sz w:val="24"/>
    </w:rPr>
  </w:style>
  <w:style w:type="paragraph" w:styleId="Zawartoramki" w:customStyle="1">
    <w:name w:val="Zawartość ramki"/>
    <w:basedOn w:val="Textbody"/>
    <w:qFormat/>
    <w:rsid w:val="006a1eff"/>
    <w:pPr>
      <w:widowControl w:val="false"/>
      <w:spacing w:before="0" w:after="120"/>
      <w:jc w:val="start"/>
    </w:pPr>
    <w:rPr>
      <w:rFonts w:eastAsia="SimSun" w:cs="Mangal"/>
      <w:b w:val="false"/>
      <w:color w:val="00000A"/>
      <w:sz w:val="24"/>
      <w:szCs w:val="24"/>
      <w:lang w:eastAsia="zh-CN" w:bidi="hi-IN"/>
    </w:rPr>
  </w:style>
  <w:style w:type="paragraph" w:styleId="Textbodyindent" w:customStyle="1">
    <w:name w:val="Text body indent"/>
    <w:basedOn w:val="Standard"/>
    <w:qFormat/>
    <w:rsid w:val="006a1eff"/>
    <w:pPr>
      <w:widowControl w:val="false"/>
      <w:spacing w:before="0" w:after="120"/>
      <w:ind w:hanging="0" w:start="283"/>
      <w:jc w:val="start"/>
    </w:pPr>
    <w:rPr>
      <w:rFonts w:eastAsia="Lucida Sans Unicode" w:cs="Tahoma"/>
      <w:color w:val="000000"/>
      <w:sz w:val="24"/>
      <w:szCs w:val="24"/>
      <w:lang w:val="en-US" w:eastAsia="en-US" w:bidi="en-US"/>
    </w:rPr>
  </w:style>
  <w:style w:type="paragraph" w:styleId="Legenda2" w:customStyle="1">
    <w:name w:val="Legenda2"/>
    <w:basedOn w:val="Standard"/>
    <w:qFormat/>
    <w:rsid w:val="006a1eff"/>
    <w:pPr>
      <w:widowControl w:val="false"/>
      <w:suppressLineNumbers/>
      <w:spacing w:before="120" w:after="120"/>
      <w:ind w:hanging="0" w:start="0"/>
      <w:jc w:val="start"/>
    </w:pPr>
    <w:rPr>
      <w:rFonts w:eastAsia="SimSun" w:cs="Mangal"/>
      <w:i/>
      <w:iCs/>
      <w:sz w:val="24"/>
      <w:szCs w:val="24"/>
      <w:lang w:eastAsia="zh-CN" w:bidi="hi-IN"/>
    </w:rPr>
  </w:style>
  <w:style w:type="paragraph" w:styleId="Nagwek21" w:customStyle="1">
    <w:name w:val="Nagłówek 21"/>
    <w:basedOn w:val="Standard"/>
    <w:next w:val="Standard"/>
    <w:qFormat/>
    <w:rsid w:val="006a1eff"/>
    <w:pPr>
      <w:keepNext w:val="true"/>
      <w:widowControl w:val="false"/>
      <w:ind w:hanging="0" w:start="0"/>
      <w:jc w:val="end"/>
      <w:outlineLvl w:val="1"/>
    </w:pPr>
    <w:rPr>
      <w:rFonts w:eastAsia="SimSun" w:cs="Mangal"/>
      <w:b/>
      <w:sz w:val="24"/>
      <w:szCs w:val="24"/>
      <w:lang w:eastAsia="zh-CN" w:bidi="hi-IN"/>
    </w:rPr>
  </w:style>
  <w:style w:type="paragraph" w:styleId="Nagwek41" w:customStyle="1">
    <w:name w:val="Nagłówek 41"/>
    <w:basedOn w:val="Standard"/>
    <w:next w:val="Standard"/>
    <w:qFormat/>
    <w:rsid w:val="006a1eff"/>
    <w:pPr>
      <w:keepNext w:val="true"/>
      <w:widowControl w:val="false"/>
      <w:ind w:hanging="0" w:start="0" w:end="-35"/>
      <w:jc w:val="center"/>
      <w:outlineLvl w:val="3"/>
    </w:pPr>
    <w:rPr>
      <w:rFonts w:eastAsia="SimSun" w:cs="Mangal"/>
      <w:b/>
      <w:sz w:val="28"/>
      <w:szCs w:val="24"/>
      <w:lang w:eastAsia="zh-CN" w:bidi="hi-IN"/>
    </w:rPr>
  </w:style>
  <w:style w:type="paragraph" w:styleId="Stopka2" w:customStyle="1">
    <w:name w:val="Stopka2"/>
    <w:basedOn w:val="Standard"/>
    <w:qFormat/>
    <w:rsid w:val="006a1eff"/>
    <w:pPr>
      <w:widowControl w:val="false"/>
      <w:tabs>
        <w:tab w:val="clear" w:pos="708"/>
        <w:tab w:val="center" w:pos="4536" w:leader="none"/>
        <w:tab w:val="right" w:pos="9072" w:leader="none"/>
      </w:tabs>
      <w:ind w:hanging="0" w:start="0"/>
      <w:jc w:val="start"/>
    </w:pPr>
    <w:rPr>
      <w:rFonts w:eastAsia="SimSun" w:cs="Mangal"/>
      <w:sz w:val="24"/>
      <w:szCs w:val="24"/>
      <w:lang w:eastAsia="zh-CN" w:bidi="hi-IN"/>
    </w:rPr>
  </w:style>
  <w:style w:type="paragraph" w:styleId="annotationsubject">
    <w:name w:val="annotation subject"/>
    <w:basedOn w:val="CommentText"/>
    <w:link w:val="TematkomentarzaZnak"/>
    <w:unhideWhenUsed/>
    <w:qFormat/>
    <w:rsid w:val="006a1eff"/>
    <w:pPr>
      <w:widowControl/>
      <w:spacing w:lineRule="auto" w:line="240"/>
      <w:textAlignment w:val="auto"/>
    </w:pPr>
    <w:rPr>
      <w:b/>
      <w:bCs/>
      <w:lang w:eastAsia="ar-SA"/>
    </w:rPr>
  </w:style>
  <w:style w:type="paragraph" w:styleId="ust" w:customStyle="1">
    <w:name w:val="ust"/>
    <w:basedOn w:val="Normal"/>
    <w:autoRedefine/>
    <w:qFormat/>
    <w:rsid w:val="006a1eff"/>
    <w:pPr>
      <w:tabs>
        <w:tab w:val="clear" w:pos="708"/>
        <w:tab w:val="left" w:pos="426" w:leader="none"/>
      </w:tabs>
      <w:jc w:val="both"/>
    </w:pPr>
    <w:rPr>
      <w:sz w:val="24"/>
      <w:szCs w:val="24"/>
    </w:rPr>
  </w:style>
  <w:style w:type="paragraph" w:styleId="BodyText3">
    <w:name w:val="Body Text 3"/>
    <w:basedOn w:val="Standard"/>
    <w:link w:val="Tekstpodstawowy3Znak"/>
    <w:qFormat/>
    <w:rsid w:val="006a1eff"/>
    <w:pPr>
      <w:spacing w:before="0" w:after="120"/>
      <w:ind w:hanging="0" w:start="0"/>
      <w:jc w:val="start"/>
    </w:pPr>
    <w:rPr>
      <w:sz w:val="16"/>
      <w:szCs w:val="16"/>
      <w:lang w:val="x-none" w:eastAsia="zh-CN"/>
    </w:rPr>
  </w:style>
  <w:style w:type="paragraph" w:styleId="Tekstcofnity" w:customStyle="1">
    <w:name w:val="Tekst_cofnięty"/>
    <w:basedOn w:val="Standard"/>
    <w:qFormat/>
    <w:rsid w:val="006a1eff"/>
    <w:pPr>
      <w:spacing w:lineRule="auto" w:line="360"/>
      <w:ind w:hanging="0" w:start="540"/>
      <w:jc w:val="start"/>
    </w:pPr>
    <w:rPr>
      <w:sz w:val="24"/>
      <w:lang w:val="en-US" w:eastAsia="ar-SA"/>
    </w:rPr>
  </w:style>
  <w:style w:type="paragraph" w:styleId="Zwykytekst1" w:customStyle="1">
    <w:name w:val="Zwykły tekst1"/>
    <w:basedOn w:val="Standard"/>
    <w:qFormat/>
    <w:rsid w:val="006a1eff"/>
    <w:pPr>
      <w:ind w:hanging="0" w:start="0"/>
      <w:jc w:val="start"/>
    </w:pPr>
    <w:rPr>
      <w:rFonts w:ascii="Courier New" w:hAnsi="Courier New"/>
      <w:lang w:eastAsia="ar-SA"/>
    </w:rPr>
  </w:style>
  <w:style w:type="paragraph" w:styleId="Tekstpodstawowywcity22" w:customStyle="1">
    <w:name w:val="Tekst podstawowy wcięty 22"/>
    <w:basedOn w:val="Standard"/>
    <w:qFormat/>
    <w:rsid w:val="006a1eff"/>
    <w:pPr>
      <w:widowControl w:val="false"/>
      <w:spacing w:lineRule="auto" w:line="360"/>
      <w:ind w:hanging="284" w:start="284"/>
    </w:pPr>
    <w:rPr>
      <w:sz w:val="24"/>
      <w:lang w:eastAsia="ar-SA"/>
    </w:rPr>
  </w:style>
  <w:style w:type="paragraph" w:styleId="Wyliczkreska" w:customStyle="1">
    <w:name w:val="Wylicz_kreska"/>
    <w:basedOn w:val="Standard"/>
    <w:qFormat/>
    <w:rsid w:val="006a1eff"/>
    <w:pPr>
      <w:spacing w:lineRule="auto" w:line="360"/>
      <w:ind w:hanging="180" w:start="720"/>
      <w:jc w:val="start"/>
    </w:pPr>
    <w:rPr>
      <w:sz w:val="24"/>
      <w:lang w:val="en-US" w:eastAsia="ar-SA"/>
    </w:rPr>
  </w:style>
  <w:style w:type="paragraph" w:styleId="Tekstpodstawowywcity23" w:customStyle="1">
    <w:name w:val="Tekst podstawowy wcięty 23"/>
    <w:basedOn w:val="Standard"/>
    <w:qFormat/>
    <w:rsid w:val="006a1eff"/>
    <w:pPr>
      <w:widowControl w:val="false"/>
      <w:spacing w:lineRule="auto" w:line="360"/>
      <w:ind w:hanging="284" w:start="284"/>
    </w:pPr>
    <w:rPr>
      <w:sz w:val="24"/>
      <w:lang w:eastAsia="ar-SA"/>
    </w:rPr>
  </w:style>
  <w:style w:type="paragraph" w:styleId="Style11" w:customStyle="1">
    <w:name w:val="Style1"/>
    <w:basedOn w:val="Normal"/>
    <w:qFormat/>
    <w:rsid w:val="006a1eff"/>
    <w:pPr>
      <w:widowControl w:val="false"/>
      <w:spacing w:lineRule="exact" w:line="252"/>
      <w:ind w:hanging="439"/>
      <w:textAlignment w:val="baseline"/>
    </w:pPr>
    <w:rPr>
      <w:rFonts w:ascii="Cambria" w:hAnsi="Cambria"/>
      <w:sz w:val="24"/>
      <w:szCs w:val="24"/>
    </w:rPr>
  </w:style>
  <w:style w:type="paragraph" w:styleId="Style26" w:customStyle="1">
    <w:name w:val="Style26"/>
    <w:basedOn w:val="Normal"/>
    <w:qFormat/>
    <w:rsid w:val="006a1eff"/>
    <w:pPr>
      <w:widowControl w:val="false"/>
      <w:spacing w:lineRule="exact" w:line="216"/>
      <w:textAlignment w:val="baseline"/>
    </w:pPr>
    <w:rPr>
      <w:rFonts w:ascii="Garamond" w:hAnsi="Garamond"/>
      <w:sz w:val="24"/>
      <w:szCs w:val="24"/>
    </w:rPr>
  </w:style>
  <w:style w:type="paragraph" w:styleId="Style27" w:customStyle="1">
    <w:name w:val="Style27"/>
    <w:basedOn w:val="Normal"/>
    <w:qFormat/>
    <w:rsid w:val="006a1eff"/>
    <w:pPr>
      <w:widowControl w:val="false"/>
      <w:spacing w:lineRule="exact" w:line="216"/>
      <w:textAlignment w:val="baseline"/>
    </w:pPr>
    <w:rPr>
      <w:rFonts w:ascii="Garamond" w:hAnsi="Garamond"/>
      <w:sz w:val="24"/>
      <w:szCs w:val="24"/>
    </w:rPr>
  </w:style>
  <w:style w:type="numbering" w:styleId="Bezlistyuser" w:default="1">
    <w:name w:val="Bez listy (user)"/>
    <w:uiPriority w:val="99"/>
    <w:semiHidden/>
    <w:unhideWhenUsed/>
    <w:qFormat/>
  </w:style>
  <w:style w:type="numbering" w:styleId="Bezlisty1" w:customStyle="1">
    <w:name w:val="Bez listy1"/>
    <w:uiPriority w:val="99"/>
    <w:semiHidden/>
    <w:unhideWhenUsed/>
    <w:qFormat/>
    <w:rsid w:val="00df7d25"/>
  </w:style>
  <w:style w:type="numbering" w:styleId="Bezlisty2" w:customStyle="1">
    <w:name w:val="Bez listy2"/>
    <w:uiPriority w:val="99"/>
    <w:semiHidden/>
    <w:unhideWhenUsed/>
    <w:qFormat/>
    <w:rsid w:val="00c50c14"/>
  </w:style>
  <w:style w:type="numbering" w:styleId="Bezlisty3" w:customStyle="1">
    <w:name w:val="Bez listy3"/>
    <w:semiHidden/>
    <w:unhideWhenUsed/>
    <w:qFormat/>
    <w:rsid w:val="004b762a"/>
  </w:style>
  <w:style w:type="numbering" w:styleId="Bezlisty4" w:customStyle="1">
    <w:name w:val="Bez listy4"/>
    <w:uiPriority w:val="99"/>
    <w:semiHidden/>
    <w:unhideWhenUsed/>
    <w:qFormat/>
    <w:rsid w:val="009f33fc"/>
  </w:style>
  <w:style w:type="numbering" w:styleId="WW8Num16" w:customStyle="1">
    <w:name w:val="WW8Num16"/>
    <w:qFormat/>
    <w:rsid w:val="006a1eff"/>
  </w:style>
  <w:style w:type="numbering" w:styleId="Bezlisty11" w:customStyle="1">
    <w:name w:val="Bez listy11"/>
    <w:uiPriority w:val="99"/>
    <w:semiHidden/>
    <w:unhideWhenUsed/>
    <w:qFormat/>
    <w:rsid w:val="006a1eff"/>
  </w:style>
  <w:style w:type="numbering" w:styleId="WW8Num161" w:customStyle="1">
    <w:name w:val="WW8Num161"/>
    <w:qFormat/>
    <w:rsid w:val="006a1eff"/>
  </w:style>
  <w:style w:type="numbering" w:styleId="WW8Num162" w:customStyle="1">
    <w:name w:val="WW8Num162"/>
    <w:qFormat/>
    <w:rsid w:val="006a1eff"/>
  </w:style>
  <w:style w:type="numbering" w:styleId="WW8Num163" w:customStyle="1">
    <w:name w:val="WW8Num163"/>
    <w:qFormat/>
    <w:rsid w:val="006a1eff"/>
  </w:style>
  <w:style w:type="numbering" w:styleId="WW8Num164" w:customStyle="1">
    <w:name w:val="WW8Num164"/>
    <w:qFormat/>
    <w:rsid w:val="006a1eff"/>
  </w:style>
  <w:style w:type="numbering" w:styleId="11111112" w:customStyle="1">
    <w:name w:val="1 / 1.1 / 1.1.112"/>
    <w:qFormat/>
    <w:rsid w:val="006a1eff"/>
  </w:style>
  <w:style w:type="numbering" w:styleId="WW8Num60" w:customStyle="1">
    <w:name w:val="WW8Num60"/>
    <w:qFormat/>
    <w:rsid w:val="006a1eff"/>
  </w:style>
  <w:style w:type="numbering" w:styleId="WW8Num62" w:customStyle="1">
    <w:name w:val="WW8Num62"/>
    <w:qFormat/>
    <w:rsid w:val="006a1eff"/>
  </w:style>
  <w:style w:type="numbering" w:styleId="WW8Num110" w:customStyle="1">
    <w:name w:val="WW8Num110"/>
    <w:qFormat/>
    <w:rsid w:val="006a1eff"/>
  </w:style>
  <w:style w:type="numbering" w:styleId="WW8Num911" w:customStyle="1">
    <w:name w:val="WW8Num911"/>
    <w:qFormat/>
    <w:rsid w:val="006a1eff"/>
  </w:style>
  <w:style w:type="numbering" w:styleId="WW8Num98" w:customStyle="1">
    <w:name w:val="WW8Num98"/>
    <w:qFormat/>
    <w:rsid w:val="006a1eff"/>
  </w:style>
  <w:style w:type="numbering" w:styleId="WW8Num36" w:customStyle="1">
    <w:name w:val="WW8Num36"/>
    <w:qFormat/>
    <w:rsid w:val="006a1eff"/>
  </w:style>
  <w:style w:type="numbering" w:styleId="WW8Num22" w:customStyle="1">
    <w:name w:val="WW8Num22"/>
    <w:qFormat/>
    <w:rsid w:val="006a1eff"/>
  </w:style>
  <w:style w:type="numbering" w:styleId="WW8Num82" w:customStyle="1">
    <w:name w:val="WW8Num82"/>
    <w:qFormat/>
    <w:rsid w:val="006a1eff"/>
  </w:style>
  <w:style w:type="numbering" w:styleId="WW8Num91" w:customStyle="1">
    <w:name w:val="WW8Num91"/>
    <w:qFormat/>
    <w:rsid w:val="006a1eff"/>
  </w:style>
  <w:style w:type="numbering" w:styleId="Bezlisty5" w:customStyle="1">
    <w:name w:val="Bez listy5"/>
    <w:uiPriority w:val="99"/>
    <w:semiHidden/>
    <w:unhideWhenUsed/>
    <w:qFormat/>
    <w:rsid w:val="006a1eff"/>
  </w:style>
  <w:style w:type="numbering" w:styleId="WW8Num5" w:customStyle="1">
    <w:name w:val="WW8Num5"/>
    <w:qFormat/>
    <w:rsid w:val="006a1eff"/>
  </w:style>
  <w:style w:type="numbering" w:styleId="Bezlisty111" w:customStyle="1">
    <w:name w:val="Bez listy111"/>
    <w:uiPriority w:val="99"/>
    <w:semiHidden/>
    <w:unhideWhenUsed/>
    <w:qFormat/>
    <w:rsid w:val="006a1eff"/>
  </w:style>
  <w:style w:type="numbering" w:styleId="WW8Num1" w:customStyle="1">
    <w:name w:val="WW8Num1"/>
    <w:qFormat/>
    <w:rsid w:val="006a1eff"/>
  </w:style>
  <w:style w:type="numbering" w:styleId="WW8Num2" w:customStyle="1">
    <w:name w:val="WW8Num2"/>
    <w:qFormat/>
    <w:rsid w:val="006a1eff"/>
  </w:style>
  <w:style w:type="numbering" w:styleId="WW8Num3" w:customStyle="1">
    <w:name w:val="WW8Num3"/>
    <w:qFormat/>
    <w:rsid w:val="006a1eff"/>
  </w:style>
  <w:style w:type="numbering" w:styleId="WW8Num4" w:customStyle="1">
    <w:name w:val="WW8Num4"/>
    <w:qFormat/>
    <w:rsid w:val="006a1eff"/>
  </w:style>
  <w:style w:type="numbering" w:styleId="WW8Num51" w:customStyle="1">
    <w:name w:val="WW8Num51"/>
    <w:qFormat/>
    <w:rsid w:val="006a1eff"/>
  </w:style>
  <w:style w:type="numbering" w:styleId="WW8Num6" w:customStyle="1">
    <w:name w:val="WW8Num6"/>
    <w:qFormat/>
    <w:rsid w:val="006a1eff"/>
  </w:style>
  <w:style w:type="numbering" w:styleId="WW8Num7" w:customStyle="1">
    <w:name w:val="WW8Num7"/>
    <w:qFormat/>
    <w:rsid w:val="006a1eff"/>
  </w:style>
  <w:style w:type="numbering" w:styleId="WW8Num8" w:customStyle="1">
    <w:name w:val="WW8Num8"/>
    <w:qFormat/>
    <w:rsid w:val="006a1eff"/>
  </w:style>
  <w:style w:type="numbering" w:styleId="WW8Num9" w:customStyle="1">
    <w:name w:val="WW8Num9"/>
    <w:qFormat/>
    <w:rsid w:val="006a1eff"/>
  </w:style>
  <w:style w:type="numbering" w:styleId="WW8Num10" w:customStyle="1">
    <w:name w:val="WW8Num10"/>
    <w:qFormat/>
    <w:rsid w:val="006a1eff"/>
  </w:style>
  <w:style w:type="numbering" w:styleId="WW8Num11" w:customStyle="1">
    <w:name w:val="WW8Num11"/>
    <w:qFormat/>
    <w:rsid w:val="006a1eff"/>
  </w:style>
  <w:style w:type="numbering" w:styleId="WW8Num12" w:customStyle="1">
    <w:name w:val="WW8Num12"/>
    <w:qFormat/>
    <w:rsid w:val="006a1eff"/>
  </w:style>
  <w:style w:type="numbering" w:styleId="WW8Num13" w:customStyle="1">
    <w:name w:val="WW8Num13"/>
    <w:qFormat/>
    <w:rsid w:val="006a1eff"/>
  </w:style>
  <w:style w:type="numbering" w:styleId="WW8Num14" w:customStyle="1">
    <w:name w:val="WW8Num14"/>
    <w:qFormat/>
    <w:rsid w:val="006a1eff"/>
  </w:style>
  <w:style w:type="numbering" w:styleId="WW8Num15" w:customStyle="1">
    <w:name w:val="WW8Num15"/>
    <w:qFormat/>
    <w:rsid w:val="006a1eff"/>
  </w:style>
  <w:style w:type="numbering" w:styleId="WW8Num165" w:customStyle="1">
    <w:name w:val="WW8Num165"/>
    <w:qFormat/>
    <w:rsid w:val="006a1eff"/>
  </w:style>
  <w:style w:type="numbering" w:styleId="WW8Num17" w:customStyle="1">
    <w:name w:val="WW8Num17"/>
    <w:qFormat/>
    <w:rsid w:val="006a1eff"/>
  </w:style>
  <w:style w:type="numbering" w:styleId="WW8Num166" w:customStyle="1">
    <w:name w:val="WW8Num166"/>
    <w:qFormat/>
    <w:rsid w:val="006a1eff"/>
  </w:style>
  <w:style w:type="numbering" w:styleId="WW8Num167" w:customStyle="1">
    <w:name w:val="WW8Num167"/>
    <w:qFormat/>
    <w:rsid w:val="006a1eff"/>
  </w:style>
  <w:style w:type="numbering" w:styleId="Bezlisty6" w:customStyle="1">
    <w:name w:val="Bez listy6"/>
    <w:uiPriority w:val="99"/>
    <w:semiHidden/>
    <w:unhideWhenUsed/>
    <w:qFormat/>
    <w:rsid w:val="006a1eff"/>
  </w:style>
  <w:style w:type="numbering" w:styleId="Bezlisty7" w:customStyle="1">
    <w:name w:val="Bez listy7"/>
    <w:uiPriority w:val="99"/>
    <w:semiHidden/>
    <w:unhideWhenUsed/>
    <w:qFormat/>
    <w:rsid w:val="006a1eff"/>
  </w:style>
  <w:style w:type="numbering" w:styleId="WW8Num1641" w:customStyle="1">
    <w:name w:val="WW8Num1641"/>
    <w:qFormat/>
    <w:rsid w:val="006a1eff"/>
  </w:style>
  <w:style w:type="numbering" w:styleId="WW8Num1642" w:customStyle="1">
    <w:name w:val="WW8Num1642"/>
    <w:qFormat/>
    <w:rsid w:val="006a1eff"/>
  </w:style>
  <w:style w:type="numbering" w:styleId="WW8Num16411" w:customStyle="1">
    <w:name w:val="WW8Num16411"/>
    <w:qFormat/>
    <w:rsid w:val="006a1eff"/>
  </w:style>
  <w:style w:type="numbering" w:styleId="WW8Num16411243" w:customStyle="1">
    <w:name w:val="WW8Num16411243"/>
    <w:qFormat/>
    <w:rsid w:val="006a1eff"/>
  </w:style>
  <w:style w:type="numbering" w:styleId="WW8Num1633" w:customStyle="1">
    <w:name w:val="WW8Num1633"/>
    <w:qFormat/>
    <w:rsid w:val="006a1eff"/>
  </w:style>
  <w:style w:type="numbering" w:styleId="WW8Num164112435" w:customStyle="1">
    <w:name w:val="WW8Num164112435"/>
    <w:qFormat/>
    <w:rsid w:val="006a1eff"/>
  </w:style>
  <w:style w:type="numbering" w:styleId="WW8Num16331" w:customStyle="1">
    <w:name w:val="WW8Num16331"/>
    <w:qFormat/>
    <w:rsid w:val="006a1eff"/>
  </w:style>
  <w:style w:type="numbering" w:styleId="WW8Num1643" w:customStyle="1">
    <w:name w:val="WW8Num1643"/>
    <w:qFormat/>
    <w:rsid w:val="006a1eff"/>
  </w:style>
  <w:style w:type="numbering" w:styleId="WW8Num16431" w:customStyle="1">
    <w:name w:val="WW8Num16431"/>
    <w:qFormat/>
    <w:rsid w:val="006a1eff"/>
  </w:style>
  <w:style w:type="numbering" w:styleId="WW8Num97" w:customStyle="1">
    <w:name w:val="WW8Num97"/>
    <w:qFormat/>
    <w:rsid w:val="006a1eff"/>
  </w:style>
  <w:style w:type="numbering" w:styleId="WW8Num16511" w:customStyle="1">
    <w:name w:val="WW8Num16511"/>
    <w:qFormat/>
    <w:rsid w:val="006a1eff"/>
  </w:style>
  <w:style w:type="numbering" w:styleId="WW8Num168" w:customStyle="1">
    <w:name w:val="WW8Num168"/>
    <w:qFormat/>
    <w:rsid w:val="006a1eff"/>
  </w:style>
  <w:style w:type="numbering" w:styleId="WW8Num1611" w:customStyle="1">
    <w:name w:val="WW8Num1611"/>
    <w:qFormat/>
    <w:rsid w:val="006a1eff"/>
  </w:style>
  <w:style w:type="numbering" w:styleId="WW8Num1621" w:customStyle="1">
    <w:name w:val="WW8Num1621"/>
    <w:qFormat/>
    <w:rsid w:val="006a1eff"/>
  </w:style>
  <w:style w:type="numbering" w:styleId="WW8Num1631" w:customStyle="1">
    <w:name w:val="WW8Num1631"/>
    <w:qFormat/>
    <w:rsid w:val="006a1eff"/>
  </w:style>
  <w:style w:type="numbering" w:styleId="WW8Num1644" w:customStyle="1">
    <w:name w:val="WW8Num1644"/>
    <w:qFormat/>
    <w:rsid w:val="006a1eff"/>
  </w:style>
  <w:style w:type="numbering" w:styleId="111111121" w:customStyle="1">
    <w:name w:val="1 / 1.1 / 1.1.1121"/>
    <w:qFormat/>
    <w:rsid w:val="006a1eff"/>
  </w:style>
  <w:style w:type="numbering" w:styleId="WW8Num601" w:customStyle="1">
    <w:name w:val="WW8Num601"/>
    <w:qFormat/>
    <w:rsid w:val="006a1eff"/>
  </w:style>
  <w:style w:type="numbering" w:styleId="WW8Num621" w:customStyle="1">
    <w:name w:val="WW8Num621"/>
    <w:qFormat/>
    <w:rsid w:val="006a1eff"/>
  </w:style>
  <w:style w:type="numbering" w:styleId="WW8Num1101" w:customStyle="1">
    <w:name w:val="WW8Num1101"/>
    <w:qFormat/>
    <w:rsid w:val="006a1eff"/>
  </w:style>
  <w:style w:type="numbering" w:styleId="WW8Num9111" w:customStyle="1">
    <w:name w:val="WW8Num9111"/>
    <w:qFormat/>
    <w:rsid w:val="006a1eff"/>
  </w:style>
  <w:style w:type="numbering" w:styleId="WW8Num981" w:customStyle="1">
    <w:name w:val="WW8Num981"/>
    <w:qFormat/>
    <w:rsid w:val="006a1eff"/>
  </w:style>
  <w:style w:type="numbering" w:styleId="WW8Num361" w:customStyle="1">
    <w:name w:val="WW8Num361"/>
    <w:qFormat/>
    <w:rsid w:val="006a1eff"/>
  </w:style>
  <w:style w:type="numbering" w:styleId="WW8Num221" w:customStyle="1">
    <w:name w:val="WW8Num221"/>
    <w:qFormat/>
    <w:rsid w:val="006a1eff"/>
  </w:style>
  <w:style w:type="numbering" w:styleId="WW8Num821" w:customStyle="1">
    <w:name w:val="WW8Num821"/>
    <w:qFormat/>
    <w:rsid w:val="006a1eff"/>
  </w:style>
  <w:style w:type="numbering" w:styleId="WW8Num912" w:customStyle="1">
    <w:name w:val="WW8Num912"/>
    <w:qFormat/>
    <w:rsid w:val="006a1eff"/>
  </w:style>
  <w:style w:type="numbering" w:styleId="WW8Num52" w:customStyle="1">
    <w:name w:val="WW8Num52"/>
    <w:qFormat/>
    <w:rsid w:val="006a1eff"/>
  </w:style>
  <w:style w:type="numbering" w:styleId="WW8Num18" w:customStyle="1">
    <w:name w:val="WW8Num18"/>
    <w:qFormat/>
    <w:rsid w:val="006a1eff"/>
  </w:style>
  <w:style w:type="numbering" w:styleId="WW8Num21" w:customStyle="1">
    <w:name w:val="WW8Num21"/>
    <w:qFormat/>
    <w:rsid w:val="006a1eff"/>
  </w:style>
  <w:style w:type="numbering" w:styleId="WW8Num31" w:customStyle="1">
    <w:name w:val="WW8Num31"/>
    <w:qFormat/>
    <w:rsid w:val="006a1eff"/>
  </w:style>
  <w:style w:type="numbering" w:styleId="WW8Num41" w:customStyle="1">
    <w:name w:val="WW8Num41"/>
    <w:qFormat/>
    <w:rsid w:val="006a1eff"/>
  </w:style>
  <w:style w:type="numbering" w:styleId="WW8Num511" w:customStyle="1">
    <w:name w:val="WW8Num511"/>
    <w:qFormat/>
    <w:rsid w:val="006a1eff"/>
  </w:style>
  <w:style w:type="numbering" w:styleId="WW8Num61" w:customStyle="1">
    <w:name w:val="WW8Num61"/>
    <w:qFormat/>
    <w:rsid w:val="006a1eff"/>
  </w:style>
  <w:style w:type="numbering" w:styleId="WW8Num71" w:customStyle="1">
    <w:name w:val="WW8Num71"/>
    <w:qFormat/>
    <w:rsid w:val="006a1eff"/>
  </w:style>
  <w:style w:type="numbering" w:styleId="WW8Num81" w:customStyle="1">
    <w:name w:val="WW8Num81"/>
    <w:qFormat/>
    <w:rsid w:val="006a1eff"/>
  </w:style>
  <w:style w:type="numbering" w:styleId="WW8Num92" w:customStyle="1">
    <w:name w:val="WW8Num92"/>
    <w:qFormat/>
    <w:rsid w:val="006a1eff"/>
  </w:style>
  <w:style w:type="numbering" w:styleId="WW8Num101" w:customStyle="1">
    <w:name w:val="WW8Num101"/>
    <w:qFormat/>
    <w:rsid w:val="006a1eff"/>
  </w:style>
  <w:style w:type="numbering" w:styleId="WW8Num111" w:customStyle="1">
    <w:name w:val="WW8Num111"/>
    <w:qFormat/>
    <w:rsid w:val="006a1eff"/>
  </w:style>
  <w:style w:type="numbering" w:styleId="WW8Num121" w:customStyle="1">
    <w:name w:val="WW8Num121"/>
    <w:qFormat/>
    <w:rsid w:val="006a1eff"/>
  </w:style>
  <w:style w:type="numbering" w:styleId="WW8Num131" w:customStyle="1">
    <w:name w:val="WW8Num131"/>
    <w:qFormat/>
    <w:rsid w:val="006a1eff"/>
  </w:style>
  <w:style w:type="numbering" w:styleId="WW8Num141" w:customStyle="1">
    <w:name w:val="WW8Num141"/>
    <w:qFormat/>
    <w:rsid w:val="006a1eff"/>
  </w:style>
  <w:style w:type="numbering" w:styleId="WW8Num151" w:customStyle="1">
    <w:name w:val="WW8Num151"/>
    <w:qFormat/>
    <w:rsid w:val="006a1eff"/>
  </w:style>
  <w:style w:type="numbering" w:styleId="WW8Num1651" w:customStyle="1">
    <w:name w:val="WW8Num1651"/>
    <w:qFormat/>
    <w:rsid w:val="006a1eff"/>
  </w:style>
  <w:style w:type="numbering" w:styleId="WW8Num171" w:customStyle="1">
    <w:name w:val="WW8Num171"/>
    <w:qFormat/>
    <w:rsid w:val="006a1eff"/>
  </w:style>
  <w:style w:type="numbering" w:styleId="WW8Num1661" w:customStyle="1">
    <w:name w:val="WW8Num1661"/>
    <w:qFormat/>
    <w:rsid w:val="006a1eff"/>
  </w:style>
  <w:style w:type="numbering" w:styleId="WW8Num1671" w:customStyle="1">
    <w:name w:val="WW8Num1671"/>
    <w:qFormat/>
    <w:rsid w:val="006a1eff"/>
  </w:style>
  <w:style w:type="numbering" w:styleId="WW8Num16412" w:customStyle="1">
    <w:name w:val="WW8Num16412"/>
    <w:qFormat/>
    <w:rsid w:val="006a1eff"/>
  </w:style>
  <w:style w:type="numbering" w:styleId="WW8Num16421" w:customStyle="1">
    <w:name w:val="WW8Num16421"/>
    <w:qFormat/>
    <w:rsid w:val="006a1eff"/>
  </w:style>
  <w:style w:type="numbering" w:styleId="WW8Num164111" w:customStyle="1">
    <w:name w:val="WW8Num164111"/>
    <w:qFormat/>
    <w:rsid w:val="006a1eff"/>
  </w:style>
  <w:style w:type="numbering" w:styleId="WW8Num164112431" w:customStyle="1">
    <w:name w:val="WW8Num164112431"/>
    <w:qFormat/>
    <w:rsid w:val="006a1eff"/>
  </w:style>
  <w:style w:type="numbering" w:styleId="WW8Num16332" w:customStyle="1">
    <w:name w:val="WW8Num16332"/>
    <w:qFormat/>
    <w:rsid w:val="006a1eff"/>
  </w:style>
  <w:style w:type="numbering" w:styleId="WW8Num1641124351" w:customStyle="1">
    <w:name w:val="WW8Num1641124351"/>
    <w:qFormat/>
    <w:rsid w:val="006a1eff"/>
  </w:style>
  <w:style w:type="numbering" w:styleId="WW8Num163311" w:customStyle="1">
    <w:name w:val="WW8Num163311"/>
    <w:qFormat/>
    <w:rsid w:val="006a1eff"/>
  </w:style>
  <w:style w:type="numbering" w:styleId="WW8Num16432" w:customStyle="1">
    <w:name w:val="WW8Num16432"/>
    <w:qFormat/>
    <w:rsid w:val="006a1eff"/>
  </w:style>
  <w:style w:type="numbering" w:styleId="WW8Num164311" w:customStyle="1">
    <w:name w:val="WW8Num164311"/>
    <w:qFormat/>
    <w:rsid w:val="006a1eff"/>
  </w:style>
  <w:style w:type="numbering" w:styleId="WW8Num971" w:customStyle="1">
    <w:name w:val="WW8Num971"/>
    <w:qFormat/>
    <w:rsid w:val="006a1eff"/>
  </w:style>
  <w:style w:type="numbering" w:styleId="WW8Num165111" w:customStyle="1">
    <w:name w:val="WW8Num165111"/>
    <w:qFormat/>
    <w:rsid w:val="006a1eff"/>
  </w:style>
  <w:style w:type="numbering" w:styleId="WW8Num163321" w:customStyle="1">
    <w:name w:val="WW8Num163321"/>
    <w:qFormat/>
    <w:rsid w:val="006a1eff"/>
  </w:style>
  <w:style w:type="numbering" w:styleId="WW8Num1633211" w:customStyle="1">
    <w:name w:val="WW8Num1633211"/>
    <w:qFormat/>
    <w:rsid w:val="006a1eff"/>
  </w:style>
  <w:style w:type="numbering" w:styleId="WW8Num1641111" w:customStyle="1">
    <w:name w:val="WW8Num1641111"/>
    <w:qFormat/>
    <w:rsid w:val="006a1eff"/>
  </w:style>
  <w:style w:type="numbering" w:styleId="Bezlisty8" w:customStyle="1">
    <w:name w:val="Bez listy8"/>
    <w:uiPriority w:val="99"/>
    <w:semiHidden/>
    <w:unhideWhenUsed/>
    <w:qFormat/>
    <w:rsid w:val="006a1eff"/>
  </w:style>
  <w:style w:type="numbering" w:styleId="WW8Num1612" w:customStyle="1">
    <w:name w:val="WW8Num1612"/>
    <w:qFormat/>
    <w:rsid w:val="006a1eff"/>
  </w:style>
  <w:style w:type="numbering" w:styleId="111111122" w:customStyle="1">
    <w:name w:val="1 / 1.1 / 1.1.1122"/>
    <w:qFormat/>
    <w:rsid w:val="006a1eff"/>
  </w:style>
  <w:style w:type="numbering" w:styleId="WW8Num602" w:customStyle="1">
    <w:name w:val="WW8Num602"/>
    <w:qFormat/>
    <w:rsid w:val="006a1eff"/>
  </w:style>
  <w:style w:type="numbering" w:styleId="WW8Num622" w:customStyle="1">
    <w:name w:val="WW8Num622"/>
    <w:qFormat/>
    <w:rsid w:val="006a1eff"/>
  </w:style>
  <w:style w:type="numbering" w:styleId="WW8Num1102" w:customStyle="1">
    <w:name w:val="WW8Num1102"/>
    <w:qFormat/>
    <w:rsid w:val="006a1eff"/>
  </w:style>
  <w:style w:type="numbering" w:styleId="WW8Num9112" w:customStyle="1">
    <w:name w:val="WW8Num9112"/>
    <w:qFormat/>
    <w:rsid w:val="006a1eff"/>
  </w:style>
  <w:style w:type="numbering" w:styleId="WW8Num982" w:customStyle="1">
    <w:name w:val="WW8Num982"/>
    <w:qFormat/>
    <w:rsid w:val="006a1eff"/>
  </w:style>
  <w:style w:type="numbering" w:styleId="WW8Num362" w:customStyle="1">
    <w:name w:val="WW8Num362"/>
    <w:qFormat/>
    <w:rsid w:val="006a1eff"/>
  </w:style>
  <w:style w:type="numbering" w:styleId="WW8Num222" w:customStyle="1">
    <w:name w:val="WW8Num222"/>
    <w:qFormat/>
    <w:rsid w:val="006a1eff"/>
  </w:style>
  <w:style w:type="numbering" w:styleId="WW8Num822" w:customStyle="1">
    <w:name w:val="WW8Num822"/>
    <w:qFormat/>
    <w:rsid w:val="006a1eff"/>
  </w:style>
  <w:style w:type="numbering" w:styleId="WW8Num913" w:customStyle="1">
    <w:name w:val="WW8Num913"/>
    <w:qFormat/>
    <w:rsid w:val="006a1eff"/>
  </w:style>
  <w:style w:type="numbering" w:styleId="WW8Num53" w:customStyle="1">
    <w:name w:val="WW8Num53"/>
    <w:qFormat/>
    <w:rsid w:val="006a1eff"/>
  </w:style>
  <w:style w:type="numbering" w:styleId="WW8Num19" w:customStyle="1">
    <w:name w:val="WW8Num19"/>
    <w:qFormat/>
    <w:rsid w:val="006a1eff"/>
  </w:style>
  <w:style w:type="numbering" w:styleId="WW8Num23" w:customStyle="1">
    <w:name w:val="WW8Num23"/>
    <w:qFormat/>
    <w:rsid w:val="006a1eff"/>
  </w:style>
  <w:style w:type="numbering" w:styleId="WW8Num32" w:customStyle="1">
    <w:name w:val="WW8Num32"/>
    <w:qFormat/>
    <w:rsid w:val="006a1eff"/>
  </w:style>
  <w:style w:type="numbering" w:styleId="WW8Num42" w:customStyle="1">
    <w:name w:val="WW8Num42"/>
    <w:qFormat/>
    <w:rsid w:val="006a1eff"/>
  </w:style>
  <w:style w:type="numbering" w:styleId="WW8Num512" w:customStyle="1">
    <w:name w:val="WW8Num512"/>
    <w:qFormat/>
    <w:rsid w:val="006a1eff"/>
  </w:style>
  <w:style w:type="numbering" w:styleId="WW8Num63" w:customStyle="1">
    <w:name w:val="WW8Num63"/>
    <w:qFormat/>
    <w:rsid w:val="006a1eff"/>
  </w:style>
  <w:style w:type="numbering" w:styleId="WW8Num72" w:customStyle="1">
    <w:name w:val="WW8Num72"/>
    <w:qFormat/>
    <w:rsid w:val="006a1eff"/>
  </w:style>
  <w:style w:type="numbering" w:styleId="WW8Num83" w:customStyle="1">
    <w:name w:val="WW8Num83"/>
    <w:qFormat/>
    <w:rsid w:val="006a1eff"/>
  </w:style>
  <w:style w:type="numbering" w:styleId="WW8Num93" w:customStyle="1">
    <w:name w:val="WW8Num93"/>
    <w:qFormat/>
    <w:rsid w:val="006a1eff"/>
  </w:style>
  <w:style w:type="numbering" w:styleId="WW8Num102" w:customStyle="1">
    <w:name w:val="WW8Num102"/>
    <w:qFormat/>
    <w:rsid w:val="006a1eff"/>
  </w:style>
  <w:style w:type="numbering" w:styleId="WW8Num112" w:customStyle="1">
    <w:name w:val="WW8Num112"/>
    <w:qFormat/>
    <w:rsid w:val="006a1eff"/>
  </w:style>
  <w:style w:type="numbering" w:styleId="WW8Num122" w:customStyle="1">
    <w:name w:val="WW8Num122"/>
    <w:qFormat/>
    <w:rsid w:val="006a1eff"/>
  </w:style>
  <w:style w:type="numbering" w:styleId="WW8Num132" w:customStyle="1">
    <w:name w:val="WW8Num132"/>
    <w:qFormat/>
    <w:rsid w:val="006a1eff"/>
  </w:style>
  <w:style w:type="numbering" w:styleId="WW8Num142" w:customStyle="1">
    <w:name w:val="WW8Num142"/>
    <w:qFormat/>
    <w:rsid w:val="006a1eff"/>
  </w:style>
  <w:style w:type="numbering" w:styleId="WW8Num152" w:customStyle="1">
    <w:name w:val="WW8Num152"/>
    <w:qFormat/>
    <w:rsid w:val="006a1eff"/>
  </w:style>
  <w:style w:type="numbering" w:styleId="WW8Num172" w:customStyle="1">
    <w:name w:val="WW8Num172"/>
    <w:qFormat/>
    <w:rsid w:val="006a1eff"/>
  </w:style>
  <w:style w:type="numbering" w:styleId="WW8Num211" w:customStyle="1">
    <w:name w:val="WW8Num211"/>
    <w:qFormat/>
    <w:rsid w:val="006a1eff"/>
  </w:style>
  <w:style w:type="numbering" w:styleId="WW8Num1641112" w:customStyle="1">
    <w:name w:val="WW8Num1641112"/>
    <w:qFormat/>
    <w:rsid w:val="006a1eff"/>
  </w:style>
  <w:style w:type="numbering" w:styleId="LFO3" w:customStyle="1">
    <w:name w:val="LFO3"/>
    <w:qFormat/>
    <w:rsid w:val="006a1eff"/>
  </w:style>
  <w:style w:type="numbering" w:styleId="LFO4" w:customStyle="1">
    <w:name w:val="LFO4"/>
    <w:qFormat/>
    <w:rsid w:val="006a1eff"/>
  </w:style>
  <w:style w:type="numbering" w:styleId="LFO5" w:customStyle="1">
    <w:name w:val="LFO5"/>
    <w:qFormat/>
    <w:rsid w:val="006a1eff"/>
  </w:style>
  <w:style w:type="numbering" w:styleId="LFO44" w:customStyle="1">
    <w:name w:val="LFO44"/>
    <w:qFormat/>
    <w:rsid w:val="006a1eff"/>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39"/>
    <w:rsid w:val="00680add"/>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1">
    <w:name w:val="Tabela - Siatka1"/>
    <w:basedOn w:val="Standardowy"/>
    <w:uiPriority w:val="59"/>
    <w:rsid w:val="006a1eff"/>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2">
    <w:name w:val="Tabela - Siatka2"/>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3">
    <w:name w:val="Tabela - Siatka3"/>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4">
    <w:name w:val="Tabela - Siatka4"/>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5">
    <w:name w:val="Tabela - Siatka5"/>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6">
    <w:name w:val="Tabela - Siatka6"/>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7">
    <w:name w:val="Tabela - Siatka7"/>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8">
    <w:name w:val="Tabela - Siatka8"/>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9">
    <w:name w:val="Tabela - Siatka9"/>
    <w:basedOn w:val="Standardowy"/>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rsid w:val="006a1eff"/>
    <w:tblPr>
      <w:tblCellMar>
        <w:top w:w="0" w:type="dxa"/>
        <w:left w:w="0" w:type="dxa"/>
        <w:bottom w:w="0" w:type="dxa"/>
        <w:right w:w="0" w:type="dxa"/>
      </w:tblCellMar>
    </w:tblPr>
  </w:style>
  <w:style w:type="table" w:customStyle="1" w:styleId="Tabela-Siatka10">
    <w:name w:val="Tabela - Siatka10"/>
    <w:basedOn w:val="Standardowy"/>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11">
    <w:name w:val="Tabela - Siatka11"/>
    <w:basedOn w:val="Standardowy"/>
    <w:uiPriority w:val="59"/>
    <w:rsid w:val="006a1e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Siatka12">
    <w:name w:val="Tabela - Siatka12"/>
    <w:basedOn w:val="Standardowy"/>
    <w:uiPriority w:val="39"/>
    <w:rsid w:val="006a1eff"/>
    <w:rPr>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584</TotalTime>
  <Application>LibreOffice/26.2.6.3$Windows_X86_64 LibreOffice_project/8221e31b3ac356a1623c672912a3d2b492f7e3d1</Application>
  <AppVersion>15.0000</AppVersion>
  <Pages>23</Pages>
  <Words>5433</Words>
  <Characters>34354</Characters>
  <CharactersWithSpaces>39180</CharactersWithSpaces>
  <Paragraphs>784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2026-07-08T18:23:00Z</dcterms:created>
  <dc:creator/>
  <dc:description/>
  <dc:language>pl-PL</dc:language>
  <cp:lastModifiedBy/>
  <cp:lastPrinted>2026-10-19T11:18:32Z</cp:lastPrinted>
  <dcterms:modified xsi:type="dcterms:W3CDTF">2026-10-20T08:49:44Z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