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ED121" w14:textId="77777777" w:rsidR="00F37CA8" w:rsidRDefault="007B7B2A">
      <w:pPr>
        <w:pStyle w:val="Standard"/>
        <w:spacing w:line="300" w:lineRule="auto"/>
      </w:pPr>
      <w:r>
        <w:rPr>
          <w:noProof/>
        </w:rPr>
        <w:drawing>
          <wp:inline distT="0" distB="0" distL="0" distR="0" wp14:anchorId="49E24833" wp14:editId="5C343BA9">
            <wp:extent cx="5731510" cy="620601"/>
            <wp:effectExtent l="0" t="0" r="2540" b="8255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0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9CD0F" w14:textId="3EA89A76" w:rsidR="007B7B2A" w:rsidRPr="00E334C5" w:rsidRDefault="007B7B2A" w:rsidP="007B7B2A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E334C5">
        <w:rPr>
          <w:rFonts w:asciiTheme="minorHAnsi" w:hAnsiTheme="minorHAnsi" w:cstheme="minorHAnsi"/>
          <w:sz w:val="22"/>
          <w:szCs w:val="22"/>
        </w:rPr>
        <w:t>Załącznik nr 2</w:t>
      </w:r>
      <w:r w:rsidR="009D1059">
        <w:rPr>
          <w:rFonts w:asciiTheme="minorHAnsi" w:hAnsiTheme="minorHAnsi" w:cstheme="minorHAnsi"/>
          <w:sz w:val="22"/>
          <w:szCs w:val="22"/>
        </w:rPr>
        <w:t>.2</w:t>
      </w:r>
      <w:r w:rsidRPr="00BC04C2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  <w:r w:rsidRPr="00E334C5">
        <w:rPr>
          <w:rFonts w:asciiTheme="minorHAnsi" w:hAnsiTheme="minorHAnsi" w:cstheme="minorHAnsi"/>
          <w:sz w:val="22"/>
          <w:szCs w:val="22"/>
        </w:rPr>
        <w:t>do SWZ</w:t>
      </w:r>
    </w:p>
    <w:p w14:paraId="103C8BC6" w14:textId="77777777" w:rsidR="007B7B2A" w:rsidRDefault="007B7B2A" w:rsidP="007B7B2A">
      <w:pPr>
        <w:pStyle w:val="Standard"/>
        <w:spacing w:before="60" w:after="60" w:line="24" w:lineRule="atLeast"/>
      </w:pPr>
    </w:p>
    <w:p w14:paraId="7DCADDCD" w14:textId="77777777" w:rsidR="00F37CA8" w:rsidRDefault="00625512" w:rsidP="007B7B2A">
      <w:pPr>
        <w:pStyle w:val="Standard"/>
        <w:spacing w:before="60" w:after="60" w:line="24" w:lineRule="atLeast"/>
        <w:jc w:val="center"/>
        <w:rPr>
          <w:b/>
        </w:rPr>
      </w:pPr>
      <w:r>
        <w:rPr>
          <w:b/>
        </w:rPr>
        <w:t>ZESTAWIENIE WYMAGANYCH FUNKCJI I PARAMETRÓW TECHNICZNYCH</w:t>
      </w:r>
    </w:p>
    <w:p w14:paraId="6AAC0E7C" w14:textId="77777777" w:rsidR="00F37CA8" w:rsidRDefault="00F37CA8">
      <w:pPr>
        <w:pStyle w:val="Standard"/>
        <w:spacing w:before="60" w:after="60" w:line="360" w:lineRule="auto"/>
        <w:rPr>
          <w:b/>
        </w:rPr>
      </w:pPr>
    </w:p>
    <w:p w14:paraId="65B4A58D" w14:textId="77777777" w:rsidR="00F0704E" w:rsidRPr="00F0704E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 xml:space="preserve">Nazwa oferowanego urządzenia: </w:t>
      </w:r>
    </w:p>
    <w:p w14:paraId="5E4011C0" w14:textId="77777777" w:rsidR="00F0704E" w:rsidRPr="00F0704E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>......................................................................................................</w:t>
      </w:r>
    </w:p>
    <w:p w14:paraId="5AF5D26F" w14:textId="77777777" w:rsidR="00F0704E" w:rsidRPr="00F0704E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>Model / typ oferowanego urządzenia:</w:t>
      </w:r>
    </w:p>
    <w:p w14:paraId="2396C471" w14:textId="77777777" w:rsidR="00F0704E" w:rsidRPr="00F0704E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>......................................................................................................</w:t>
      </w:r>
    </w:p>
    <w:p w14:paraId="69FAEDE7" w14:textId="77777777" w:rsidR="00F0704E" w:rsidRPr="00F0704E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>Producent / Firma:</w:t>
      </w:r>
    </w:p>
    <w:p w14:paraId="5A85A25D" w14:textId="77777777" w:rsidR="00F0704E" w:rsidRPr="00F0704E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>......................................................................................................</w:t>
      </w:r>
    </w:p>
    <w:p w14:paraId="53B2B5C2" w14:textId="77777777" w:rsidR="00F0704E" w:rsidRPr="00F0704E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>Nazwa, która zostanie użyta przez wykonawcę na fakturze:</w:t>
      </w:r>
    </w:p>
    <w:p w14:paraId="09F3A381" w14:textId="77777777" w:rsidR="00F37CA8" w:rsidRDefault="00F0704E" w:rsidP="00F0704E">
      <w:pPr>
        <w:pStyle w:val="Standard"/>
        <w:spacing w:before="60" w:after="60" w:line="360" w:lineRule="auto"/>
        <w:rPr>
          <w:b/>
        </w:rPr>
      </w:pPr>
      <w:r w:rsidRPr="00F0704E">
        <w:rPr>
          <w:b/>
        </w:rPr>
        <w:t>......................................................................................................</w:t>
      </w:r>
    </w:p>
    <w:p w14:paraId="62D43F0A" w14:textId="77777777" w:rsidR="00F37CA8" w:rsidRDefault="00F37CA8">
      <w:pPr>
        <w:pStyle w:val="Standard"/>
        <w:spacing w:before="60" w:after="60" w:line="360" w:lineRule="auto"/>
        <w:rPr>
          <w:b/>
        </w:rPr>
      </w:pPr>
    </w:p>
    <w:p w14:paraId="03833ECC" w14:textId="77777777" w:rsidR="00A90785" w:rsidRPr="00505C9D" w:rsidRDefault="00625512">
      <w:pPr>
        <w:pStyle w:val="Standard"/>
        <w:spacing w:before="60" w:after="60" w:line="360" w:lineRule="auto"/>
        <w:jc w:val="center"/>
        <w:rPr>
          <w:b/>
        </w:rPr>
      </w:pPr>
      <w:r w:rsidRPr="00505C9D">
        <w:rPr>
          <w:b/>
        </w:rPr>
        <w:t>Urzą</w:t>
      </w:r>
      <w:r w:rsidR="00A90785" w:rsidRPr="00505C9D">
        <w:rPr>
          <w:b/>
        </w:rPr>
        <w:t xml:space="preserve">dzenie </w:t>
      </w:r>
    </w:p>
    <w:p w14:paraId="5D0CDB9E" w14:textId="57DFA4BD" w:rsidR="00770E40" w:rsidRPr="00505C9D" w:rsidRDefault="005B358F">
      <w:pPr>
        <w:pStyle w:val="Standard"/>
        <w:spacing w:before="60" w:after="60" w:line="360" w:lineRule="auto"/>
        <w:jc w:val="center"/>
        <w:rPr>
          <w:b/>
        </w:rPr>
      </w:pPr>
      <w:r w:rsidRPr="00505C9D">
        <w:rPr>
          <w:b/>
        </w:rPr>
        <w:t>Stetoskop lekarski (internistyczny, do stosowania u dorosłych i dzieci)</w:t>
      </w:r>
    </w:p>
    <w:p w14:paraId="51522F7D" w14:textId="77777777" w:rsidR="00F37CA8" w:rsidRDefault="00F37CA8">
      <w:pPr>
        <w:pStyle w:val="Standard"/>
        <w:spacing w:before="60" w:after="60" w:line="360" w:lineRule="auto"/>
        <w:jc w:val="center"/>
        <w:rPr>
          <w:b/>
          <w:bCs/>
          <w:color w:val="EE0000"/>
        </w:rPr>
      </w:pPr>
    </w:p>
    <w:p w14:paraId="58F4A83F" w14:textId="29DB0051" w:rsidR="00EE1CEB" w:rsidRDefault="00EE1CEB">
      <w:pPr>
        <w:pStyle w:val="Standard"/>
        <w:spacing w:before="60" w:after="60" w:line="360" w:lineRule="auto"/>
        <w:jc w:val="center"/>
        <w:rPr>
          <w:b/>
        </w:rPr>
      </w:pPr>
      <w:r>
        <w:rPr>
          <w:b/>
        </w:rPr>
        <w:t xml:space="preserve">CPV: 33190000-8 </w:t>
      </w:r>
    </w:p>
    <w:p w14:paraId="3CE770EC" w14:textId="77777777" w:rsidR="00F37CA8" w:rsidRDefault="00625512">
      <w:pPr>
        <w:pStyle w:val="Standard"/>
        <w:spacing w:before="60" w:after="60" w:line="360" w:lineRule="auto"/>
        <w:rPr>
          <w:b/>
        </w:rPr>
      </w:pPr>
      <w:r>
        <w:rPr>
          <w:b/>
        </w:rPr>
        <w:t xml:space="preserve">Jednostka miary: </w:t>
      </w:r>
      <w:r w:rsidR="00D71E91">
        <w:rPr>
          <w:b/>
        </w:rPr>
        <w:t>szt.</w:t>
      </w:r>
    </w:p>
    <w:p w14:paraId="15E3E720" w14:textId="77777777" w:rsidR="00F37CA8" w:rsidRDefault="00625512">
      <w:pPr>
        <w:pStyle w:val="Standard"/>
        <w:spacing w:before="60" w:after="60" w:line="360" w:lineRule="auto"/>
        <w:rPr>
          <w:b/>
        </w:rPr>
      </w:pPr>
      <w:r>
        <w:rPr>
          <w:b/>
        </w:rPr>
        <w:t xml:space="preserve">Liczba jednostek do dostarczenia: </w:t>
      </w:r>
      <w:r w:rsidR="005B358F">
        <w:rPr>
          <w:b/>
        </w:rPr>
        <w:t>10</w:t>
      </w:r>
    </w:p>
    <w:tbl>
      <w:tblPr>
        <w:tblW w:w="9135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"/>
        <w:gridCol w:w="5537"/>
        <w:gridCol w:w="1447"/>
        <w:gridCol w:w="1596"/>
      </w:tblGrid>
      <w:tr w:rsidR="00B76191" w14:paraId="41D0BA31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757BA4" w14:textId="77777777" w:rsidR="00B76191" w:rsidRPr="0031059A" w:rsidRDefault="00B76191" w:rsidP="00644970">
            <w:pPr>
              <w:pStyle w:val="Bezodstpw1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14FE9A" w14:textId="77777777" w:rsidR="00B76191" w:rsidRPr="0031059A" w:rsidRDefault="00B76191" w:rsidP="00644970">
            <w:pPr>
              <w:pStyle w:val="Standard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Warunki i parametry techniczne – opis</w:t>
            </w:r>
          </w:p>
          <w:p w14:paraId="1177FA05" w14:textId="77777777" w:rsidR="00B76191" w:rsidRPr="0031059A" w:rsidRDefault="00B76191" w:rsidP="00644970">
            <w:pPr>
              <w:pStyle w:val="Bezodstpw1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BF3B67" w14:textId="77777777" w:rsidR="00B76191" w:rsidRPr="0031059A" w:rsidRDefault="00B76191" w:rsidP="00644970">
            <w:pPr>
              <w:pStyle w:val="Bezodstpw1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Warunki wymagane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56B0FD" w14:textId="77777777" w:rsidR="00B76191" w:rsidRPr="0031059A" w:rsidRDefault="00B76191" w:rsidP="00644970">
            <w:pPr>
              <w:pStyle w:val="Standard"/>
              <w:widowControl w:val="0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eastAsia="Lucida Sans Unicode" w:hAnsiTheme="minorHAnsi" w:cstheme="minorHAnsi"/>
                <w:color w:val="000000"/>
                <w:sz w:val="24"/>
                <w:szCs w:val="24"/>
                <w:lang w:eastAsia="pl-PL"/>
              </w:rPr>
              <w:t>Odpowiedź Wykonawcy /parametry oferowane - należy</w:t>
            </w:r>
            <w:r w:rsidRPr="0031059A">
              <w:rPr>
                <w:rFonts w:asciiTheme="minorHAnsi" w:eastAsia="Lucida Sans Unicode" w:hAnsiTheme="minorHAnsi" w:cstheme="minorHAnsi"/>
                <w:color w:val="000000"/>
                <w:sz w:val="24"/>
                <w:szCs w:val="24"/>
                <w:lang w:eastAsia="pl-PL"/>
              </w:rPr>
              <w:br/>
              <w:t>podać zakresy lub opisać</w:t>
            </w:r>
          </w:p>
        </w:tc>
      </w:tr>
      <w:tr w:rsidR="00B76191" w14:paraId="3CB7218C" w14:textId="77777777" w:rsidTr="00644970">
        <w:trPr>
          <w:cantSplit/>
          <w:trHeight w:val="390"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83D34C" w14:textId="77777777" w:rsidR="00B76191" w:rsidRPr="0031059A" w:rsidRDefault="00B76191" w:rsidP="00644970">
            <w:pPr>
              <w:pStyle w:val="Bezodstpw1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4E0138" w14:textId="77777777" w:rsidR="00B76191" w:rsidRPr="0031059A" w:rsidRDefault="00B76191" w:rsidP="00644970">
            <w:pPr>
              <w:pStyle w:val="Standard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91AFDC" w14:textId="77777777" w:rsidR="00B76191" w:rsidRPr="0031059A" w:rsidRDefault="00B76191" w:rsidP="00644970">
            <w:pPr>
              <w:pStyle w:val="Bezodstpw1"/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6148820" w14:textId="77777777" w:rsidR="00B76191" w:rsidRPr="0031059A" w:rsidRDefault="00B76191" w:rsidP="00644970">
            <w:pPr>
              <w:pStyle w:val="Bezodstpw1"/>
              <w:spacing w:after="0"/>
              <w:jc w:val="center"/>
              <w:rPr>
                <w:rFonts w:asciiTheme="minorHAnsi" w:eastAsia="GulimChe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eastAsia="GulimChe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B76191" w14:paraId="29A6DB1A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8EBD3E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FED501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 xml:space="preserve">Stetoskop lekarski akustyczny, </w:t>
            </w:r>
            <w:r w:rsidRPr="00FB1097">
              <w:rPr>
                <w:rFonts w:asciiTheme="minorHAnsi" w:hAnsiTheme="minorHAnsi" w:cstheme="minorHAnsi"/>
                <w:sz w:val="24"/>
                <w:szCs w:val="24"/>
              </w:rPr>
              <w:t>jedno- lub wielokanałowy</w:t>
            </w: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, przeznaczony do profesjonalnej diagnostyki osłuchowej u dorosłych i dzieci oraz do pomocniczego pomiaru ciśnienia tętniczego.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93E6D44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F2A4BD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0A22F71" w14:textId="77777777" w:rsidTr="00644970">
        <w:trPr>
          <w:cantSplit/>
          <w:tblHeader/>
        </w:trPr>
        <w:tc>
          <w:tcPr>
            <w:tcW w:w="555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303244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53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05088F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Urządzenie fabrycznie nowe, nieużywane, kompletne, wyprodukowane nie wcześniej niż 12 miesięcy przed datą dostawy.</w:t>
            </w:r>
          </w:p>
        </w:tc>
        <w:tc>
          <w:tcPr>
            <w:tcW w:w="144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9263616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15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F5AAB2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3337CFE9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902C9D6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05CAAB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Głowica dwustronna, wykonana ze stali nierdzewnej, mosiądzu chromowanego lub innego materiału o porównywalnej trwałości, odporności korozyjnej i właściwościach akustycznych.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3CD73E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1A2631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6F6744D" w14:textId="77777777" w:rsidTr="00644970">
        <w:trPr>
          <w:cantSplit/>
          <w:trHeight w:val="211"/>
          <w:tblHeader/>
        </w:trPr>
        <w:tc>
          <w:tcPr>
            <w:tcW w:w="555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F2FFAA1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53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AEDC49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Konstrukcja głowicy umożliwiająca osłuchiwanie szerokiego zakresu częstotliwości: strona przeznaczona do badania dorosłych oraz mniejsza strona przeznaczona do badania dzieci i/lub tonów o niższej częstotliwości, albo rozwiązanie funkcjonalnie równoważne.</w:t>
            </w:r>
          </w:p>
        </w:tc>
        <w:tc>
          <w:tcPr>
            <w:tcW w:w="144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545C8A4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2F199E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7BF41857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D886C3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B6CA0C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Membrana / membrany zapewniające wyraźną transmisję dźwięków osłuchowych. Membrany wymienne przez użytkownika; jeżeli stetoskop posiada więcej niż jedną membranę, każda z nich musi być wymienna. Wymiana bez konieczności używania specjalistycznych narzędzi lub zgodnie z instrukcją producenta.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771F4B9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C5FFD3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F66F6A9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56C7E0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3EC965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Wyposażenie każdego stetoskopu w minimum 1 kompletny zapasowy zestaw wymiennych membran odpowiedni do zaoferowanej konfiguracji głowicy.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DC10C8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0B1D11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BE9B23E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117103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293BBB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bCs/>
                <w:sz w:val="24"/>
                <w:szCs w:val="24"/>
              </w:rPr>
              <w:t>Łączna liczba zapasowych kompletów membran dostarczonych z każdym stetoskopem, ponad membrany zamontowane w urządzeniu:</w:t>
            </w:r>
          </w:p>
          <w:p w14:paraId="1CE56541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bCs/>
                <w:sz w:val="24"/>
                <w:szCs w:val="24"/>
              </w:rPr>
              <w:t>1 komplet – 0 pkt.</w:t>
            </w:r>
          </w:p>
          <w:p w14:paraId="276A2CCE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bCs/>
                <w:sz w:val="24"/>
                <w:szCs w:val="24"/>
              </w:rPr>
              <w:t>2 komplety – 5 pkt.</w:t>
            </w:r>
          </w:p>
          <w:p w14:paraId="2F45AB89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bCs/>
                <w:sz w:val="24"/>
                <w:szCs w:val="24"/>
              </w:rPr>
              <w:t>3 lub więcej kompletów – 10 pkt.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ED2724D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77AB0C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032DA0B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67C7E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6D6295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Elementy głowicy stykające się ze skórą wyposażone w pierścień / obrzeże ograniczające odczucie chłodu (non-</w:t>
            </w:r>
            <w:proofErr w:type="spellStart"/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chill</w:t>
            </w:r>
            <w:proofErr w:type="spellEnd"/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) lub rozwiązanie równoważne.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E6BAA4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70F9FC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40A2517" w14:textId="77777777" w:rsidTr="00644970">
        <w:trPr>
          <w:cantSplit/>
          <w:tblHeader/>
        </w:trPr>
        <w:tc>
          <w:tcPr>
            <w:tcW w:w="555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E392E3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3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8705D4" w14:textId="77777777" w:rsidR="00B76191" w:rsidRPr="0027704D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Przewód akustyczny jedno- lub wielokanałowy, w tym dwukanałowy/</w:t>
            </w:r>
            <w:proofErr w:type="spellStart"/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dwuświatłowy</w:t>
            </w:r>
            <w:proofErr w:type="spellEnd"/>
            <w:r w:rsidRPr="0027704D">
              <w:rPr>
                <w:rFonts w:asciiTheme="minorHAnsi" w:hAnsiTheme="minorHAnsi" w:cstheme="minorHAnsi"/>
                <w:sz w:val="24"/>
                <w:szCs w:val="24"/>
              </w:rPr>
              <w:t>, albo rozwiązanie równoważne, zapewniające dobrą transmisję dźwięku oraz ograniczenie zakłóceń powstających podczas użytkowania.</w:t>
            </w:r>
          </w:p>
        </w:tc>
        <w:tc>
          <w:tcPr>
            <w:tcW w:w="144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8F7570D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Podać</w:t>
            </w:r>
          </w:p>
        </w:tc>
        <w:tc>
          <w:tcPr>
            <w:tcW w:w="15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3810A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5D629CBA" w14:textId="77777777" w:rsidTr="00644970">
        <w:trPr>
          <w:cantSplit/>
          <w:tblHeader/>
        </w:trPr>
        <w:tc>
          <w:tcPr>
            <w:tcW w:w="555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3DAFA2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53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87B03F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Przewód elastyczny i trwały, odporny na typowe środki do dezynfekcji stosowane w podmiotach leczniczych; bez dodatku naturalnego lateksu lub rozwiązanie równoważne bezpieczne dla użytkownika i pacjenta.</w:t>
            </w:r>
          </w:p>
        </w:tc>
        <w:tc>
          <w:tcPr>
            <w:tcW w:w="144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98124ED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7248E1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6D7D40B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23863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E1462D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Oliwki miękkie, ergonomiczne, wymienne, zapewniające szczelne i komfortowe dopasowanie do przewodu słuchowego oraz stabilne osadzenie na lirze.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4DDD6D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347776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6E90E08B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0EE6C4F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BDE306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W zestawie minimum 1 dodatkowa para wymiennych oliwek kompatybilnych ze stetoskopem.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BB2C3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79C9F1D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35F4F6E4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031980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F617A5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Lira / pałąk z możliwością regulacji siły docisku i dopasowania do użytkownika, wykonany z materiału zapewniającego trwałość i komfort wielogodzinnej pracy.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F5EE1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BC617E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0E3F6782" w14:textId="77777777" w:rsidTr="00644970">
        <w:trPr>
          <w:cantSplit/>
          <w:tblHeader/>
        </w:trPr>
        <w:tc>
          <w:tcPr>
            <w:tcW w:w="555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B053AF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553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8725A9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Długość całkowita stetoskopu w zakresie 65–80 cm lub inna długość zapewniająca równoważną ergonomię i swobodę badania pacjenta.</w:t>
            </w:r>
          </w:p>
        </w:tc>
        <w:tc>
          <w:tcPr>
            <w:tcW w:w="144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BC8A01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15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071863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58B54B17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729C07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D87C0E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t>Masa kompletnego stetoskopu nie większa niż 250 g – parametr jakościowy:</w:t>
            </w: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powyżej 200 g do 250 g – 0 pkt.</w:t>
            </w: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powyżej 160 g do 200 g – 5 pkt.</w:t>
            </w: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160 g i mniej – 10 pkt.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1BF1D0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189266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BB0044E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E0E8ABF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ED8F9C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Jakość akustyczna umożliwiająca wyraźny i czytelny odsłuch tonów serca, szmerów oddechowych oraz innych podstawowych dźwięków osłuchowych w zakresie niskich i wysokich częstotliwości.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AB45C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A1225C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495D313D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A1F8DC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D4BF33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Przeznaczenie do osłuchiwania serca, płuc i innych narządów oraz do zastosowania podczas manualnego pomiaru ciśnienia tętniczego.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B7F8F8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D71C16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7EDB72E4" w14:textId="77777777" w:rsidTr="00644970">
        <w:trPr>
          <w:cantSplit/>
          <w:tblHeader/>
        </w:trPr>
        <w:tc>
          <w:tcPr>
            <w:tcW w:w="555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736C24F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553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C91FAD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Powierzchnie zewnętrzne możliwe do czyszczenia i dezynfekcji zgodnie z instrukcją producenta przy użyciu standardowych środków stosowanych w placówkach medycznych.</w:t>
            </w:r>
          </w:p>
        </w:tc>
        <w:tc>
          <w:tcPr>
            <w:tcW w:w="1447" w:type="dxa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D0F490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B42DB14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4C7D8300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39E79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73555C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Dostępność części eksploatacyjnych i zamiennych, w szczególności membran, oliwek i pierścieni ochronnych, przez minimum 8 lat od daty dostawy lub przez dłuższy okres wynikający z polityki producenta.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B9E763F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2B4832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2CF56B4E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1772DE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C9E5649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t>Pełna gwarancja wykonawcy lub producenta liczona od dnia podpisania protokołu odbioru, gwarancja minimum 12 miesięcy:</w:t>
            </w: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12 miesięcy – 0 pkt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71610BBA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t>24 miesięcy – 10 pkt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330BDD46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36 lub więcej miesięcy –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20</w:t>
            </w:r>
            <w:r w:rsidRPr="00310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pkt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934A643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Podać (w miesiącach)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3DB3E65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5D1CA7FD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22552B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21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2A378C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Wyrób przeznaczony do profesjonalnego zastosowania w podmiotach leczniczych.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A1E965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83CB57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6135679E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F657784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A6DE4A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Wyrób medyczny spełniający wymagania rozporządzenia Parlamentu Europejskiego i Rady (UE) 2017/745 (MDR), oznakowany znakiem CE. Wykonawca przedłoży deklarację zgodności UE, a jeżeli zgodnie z MDR wymagany jest udział jednostki notyfikowanej – również właściwy certyfikat tej jednostki.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6AAA6D5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CF0D13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021BE798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D510CF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F2AB12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Instrukcja użytkowania w języku polskim, w formie papierowej lub elektronicznej, o ile jest wymagana dla danego wyrobu.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8998B28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57C7186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76191" w14:paraId="0DC51145" w14:textId="77777777" w:rsidTr="00644970">
        <w:trPr>
          <w:cantSplit/>
          <w:tblHeader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905165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5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8F3262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Stetoskop kompletny, gotowy do użytkowania, wraz z wymaganymi elementami wyposażenia i zapasowymi częściami wskazanymi w niniejszej specyfikacji.</w:t>
            </w:r>
          </w:p>
        </w:tc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8CCE41" w14:textId="77777777" w:rsidR="00B76191" w:rsidRPr="0031059A" w:rsidRDefault="00B76191" w:rsidP="006449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059A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D17D69" w14:textId="77777777" w:rsidR="00B76191" w:rsidRPr="0031059A" w:rsidRDefault="00B76191" w:rsidP="0064497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1A4D469" w14:textId="77777777" w:rsidR="00B76191" w:rsidRDefault="00B76191">
      <w:pPr>
        <w:pStyle w:val="Standard"/>
        <w:spacing w:before="60" w:after="60" w:line="360" w:lineRule="auto"/>
        <w:rPr>
          <w:b/>
        </w:rPr>
      </w:pPr>
    </w:p>
    <w:p w14:paraId="145E3416" w14:textId="77777777" w:rsidR="00625512" w:rsidRDefault="00625512" w:rsidP="00625512">
      <w:pPr>
        <w:pStyle w:val="Akapitzlist"/>
        <w:suppressAutoHyphens w:val="0"/>
        <w:autoSpaceDN/>
        <w:spacing w:after="0" w:line="240" w:lineRule="auto"/>
        <w:contextualSpacing/>
        <w:jc w:val="both"/>
        <w:textAlignment w:val="auto"/>
        <w:rPr>
          <w:rFonts w:asciiTheme="minorHAnsi" w:hAnsiTheme="minorHAnsi" w:cstheme="minorHAnsi"/>
        </w:rPr>
      </w:pPr>
    </w:p>
    <w:p w14:paraId="7D00E20A" w14:textId="77777777" w:rsidR="00625512" w:rsidRDefault="00625512" w:rsidP="00625512">
      <w:pPr>
        <w:pStyle w:val="Akapitzlist"/>
        <w:suppressAutoHyphens w:val="0"/>
        <w:autoSpaceDN/>
        <w:spacing w:after="0" w:line="240" w:lineRule="auto"/>
        <w:contextualSpacing/>
        <w:jc w:val="both"/>
        <w:textAlignment w:val="auto"/>
        <w:rPr>
          <w:rFonts w:asciiTheme="minorHAnsi" w:hAnsiTheme="minorHAnsi" w:cstheme="minorHAnsi"/>
        </w:rPr>
      </w:pPr>
    </w:p>
    <w:p w14:paraId="25ECA6BA" w14:textId="77777777" w:rsidR="005F0CDF" w:rsidRPr="00E334C5" w:rsidRDefault="005F0CDF" w:rsidP="005F0CDF">
      <w:pPr>
        <w:pStyle w:val="Akapitzlist"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Theme="minorHAnsi" w:hAnsiTheme="minorHAnsi" w:cstheme="minorHAnsi"/>
        </w:rPr>
      </w:pPr>
      <w:r w:rsidRPr="00E334C5">
        <w:rPr>
          <w:rFonts w:asciiTheme="minorHAnsi" w:hAnsiTheme="minorHAnsi" w:cstheme="minorHAnsi"/>
        </w:rPr>
        <w:t>Wykonawca wypełnia w całości kolumnę 4 oraz miejsca wykropkowane powyżej tabeli.</w:t>
      </w:r>
    </w:p>
    <w:p w14:paraId="02C4E240" w14:textId="77777777" w:rsidR="005F0CDF" w:rsidRPr="00E334C5" w:rsidRDefault="005F0CDF" w:rsidP="005F0CDF">
      <w:pPr>
        <w:pStyle w:val="Akapitzlist"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Theme="minorHAnsi" w:hAnsiTheme="minorHAnsi" w:cstheme="minorHAnsi"/>
        </w:rPr>
      </w:pPr>
      <w:r w:rsidRPr="00E334C5">
        <w:rPr>
          <w:rFonts w:asciiTheme="minorHAnsi" w:hAnsiTheme="minorHAnsi" w:cstheme="minorHAnsi"/>
        </w:rPr>
        <w:t xml:space="preserve">Wykonawca gwarantuje, że oferowane urządzenie jest fabrycznie nowe, nieużywane, kompletne i do jego uruchomienia oraz użytkowania nie jest konieczny zakup dodatkowych elementów i akcesoriów. Żadna część składowa, ani kompletne urządzenie nie jest </w:t>
      </w:r>
      <w:proofErr w:type="spellStart"/>
      <w:r w:rsidRPr="00E334C5">
        <w:rPr>
          <w:rFonts w:asciiTheme="minorHAnsi" w:hAnsiTheme="minorHAnsi" w:cstheme="minorHAnsi"/>
        </w:rPr>
        <w:t>rekondycjonowane</w:t>
      </w:r>
      <w:proofErr w:type="spellEnd"/>
      <w:r w:rsidRPr="00E334C5">
        <w:rPr>
          <w:rFonts w:asciiTheme="minorHAnsi" w:hAnsiTheme="minorHAnsi" w:cstheme="minorHAnsi"/>
        </w:rPr>
        <w:t>, powystawowe i nie było wcześniej wykorzystywane przez innego użytkownika.</w:t>
      </w:r>
    </w:p>
    <w:p w14:paraId="562858F6" w14:textId="77777777" w:rsidR="005F0CDF" w:rsidRPr="00E334C5" w:rsidRDefault="005F0CDF" w:rsidP="005F0CDF">
      <w:pPr>
        <w:spacing w:after="120" w:line="300" w:lineRule="auto"/>
        <w:rPr>
          <w:b/>
          <w:lang w:eastAsia="pl-PL"/>
        </w:rPr>
      </w:pPr>
    </w:p>
    <w:p w14:paraId="64E9B98C" w14:textId="34556030" w:rsidR="005F0CDF" w:rsidRPr="00E334C5" w:rsidRDefault="005F0CDF" w:rsidP="005F0CDF">
      <w:pPr>
        <w:spacing w:line="300" w:lineRule="auto"/>
        <w:rPr>
          <w:lang w:eastAsia="pl-PL"/>
        </w:rPr>
      </w:pPr>
      <w:r w:rsidRPr="00E334C5">
        <w:rPr>
          <w:rFonts w:ascii="Times New Roman" w:eastAsiaTheme="minorHAnsi" w:hAnsi="Times New Roman" w:cs="Times New Roman"/>
          <w:kern w:val="0"/>
          <w:sz w:val="20"/>
          <w:szCs w:val="20"/>
          <w:lang w:val="en-US"/>
        </w:rPr>
        <w:object w:dxaOrig="1440" w:dyaOrig="1440" w14:anchorId="47F340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Tu się podpisz,   kwalifikowanym podpisem elektronicznym lub podpisem osobistym lub podpisem zaufanym podpis musi być  złożony zgodnie z pkt 4.3.2. SWZ przez osobę(osoby) uprawnioną(-e)." style="width:249.75pt;height:63pt" o:ole="">
            <v:imagedata r:id="rId8" o:title=""/>
          </v:shape>
          <w:control r:id="rId9" w:name="TextBox151" w:shapeid="_x0000_i1027"/>
        </w:object>
      </w:r>
    </w:p>
    <w:p w14:paraId="75801B14" w14:textId="77777777" w:rsidR="005F0CDF" w:rsidRPr="00E334C5" w:rsidRDefault="005F0CDF" w:rsidP="005F0CDF">
      <w:pPr>
        <w:spacing w:line="300" w:lineRule="auto"/>
        <w:rPr>
          <w:rFonts w:asciiTheme="minorHAnsi" w:hAnsiTheme="minorHAnsi" w:cstheme="minorHAnsi"/>
          <w:lang w:eastAsia="pl-PL"/>
        </w:rPr>
      </w:pPr>
      <w:r w:rsidRPr="00E334C5">
        <w:rPr>
          <w:rFonts w:asciiTheme="minorHAnsi" w:hAnsiTheme="minorHAnsi" w:cstheme="minorHAnsi"/>
        </w:rPr>
        <w:t xml:space="preserve">Kwalifikowany podpis elektroniczny/podpis osobisty/podpis zaufany </w:t>
      </w:r>
      <w:r w:rsidRPr="00E334C5">
        <w:rPr>
          <w:rFonts w:asciiTheme="minorHAnsi" w:hAnsiTheme="minorHAnsi" w:cstheme="minorHAnsi"/>
        </w:rPr>
        <w:br/>
        <w:t xml:space="preserve">złożony przez osobę(osoby) uprawnioną(-e) </w:t>
      </w:r>
    </w:p>
    <w:sectPr w:rsidR="005F0CDF" w:rsidRPr="00E334C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0FDEE" w14:textId="77777777" w:rsidR="0054662D" w:rsidRDefault="0054662D">
      <w:pPr>
        <w:spacing w:after="0" w:line="240" w:lineRule="auto"/>
      </w:pPr>
      <w:r>
        <w:separator/>
      </w:r>
    </w:p>
  </w:endnote>
  <w:endnote w:type="continuationSeparator" w:id="0">
    <w:p w14:paraId="343EF7A4" w14:textId="77777777" w:rsidR="0054662D" w:rsidRDefault="0054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font1273">
    <w:altName w:val="Times New Roman"/>
    <w:charset w:val="EE"/>
    <w:family w:val="auto"/>
    <w:pitch w:val="variable"/>
  </w:font>
  <w:font w:name="OpenSymbol">
    <w:panose1 w:val="05010000000000000000"/>
    <w:charset w:val="00"/>
    <w:family w:val="auto"/>
    <w:pitch w:val="default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07211" w14:textId="77777777" w:rsidR="0054662D" w:rsidRDefault="0054662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ACC0F6" w14:textId="77777777" w:rsidR="0054662D" w:rsidRDefault="00546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450B"/>
    <w:multiLevelType w:val="multilevel"/>
    <w:tmpl w:val="1310A9F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A9924D2"/>
    <w:multiLevelType w:val="multilevel"/>
    <w:tmpl w:val="9A762FD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2AF24B64"/>
    <w:multiLevelType w:val="multilevel"/>
    <w:tmpl w:val="F89861C8"/>
    <w:styleLink w:val="WWNum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2D5B40AE"/>
    <w:multiLevelType w:val="multilevel"/>
    <w:tmpl w:val="3BAA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3A17EA"/>
    <w:multiLevelType w:val="multilevel"/>
    <w:tmpl w:val="4F748C4A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59974E2B"/>
    <w:multiLevelType w:val="multilevel"/>
    <w:tmpl w:val="3EE8C11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5EFA75D9"/>
    <w:multiLevelType w:val="multilevel"/>
    <w:tmpl w:val="B07CFCC4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59D0465"/>
    <w:multiLevelType w:val="hybridMultilevel"/>
    <w:tmpl w:val="D7EE8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A39A8"/>
    <w:multiLevelType w:val="multilevel"/>
    <w:tmpl w:val="52A61070"/>
    <w:styleLink w:val="WWNum4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7EBA77B2"/>
    <w:multiLevelType w:val="multilevel"/>
    <w:tmpl w:val="8D1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6704398">
    <w:abstractNumId w:val="5"/>
  </w:num>
  <w:num w:numId="2" w16cid:durableId="599262531">
    <w:abstractNumId w:val="1"/>
  </w:num>
  <w:num w:numId="3" w16cid:durableId="1805194650">
    <w:abstractNumId w:val="0"/>
  </w:num>
  <w:num w:numId="4" w16cid:durableId="172452454">
    <w:abstractNumId w:val="8"/>
  </w:num>
  <w:num w:numId="5" w16cid:durableId="1487093232">
    <w:abstractNumId w:val="2"/>
  </w:num>
  <w:num w:numId="6" w16cid:durableId="1457942520">
    <w:abstractNumId w:val="6"/>
  </w:num>
  <w:num w:numId="7" w16cid:durableId="1164711362">
    <w:abstractNumId w:val="4"/>
  </w:num>
  <w:num w:numId="8" w16cid:durableId="706494380">
    <w:abstractNumId w:val="7"/>
  </w:num>
  <w:num w:numId="9" w16cid:durableId="441268625">
    <w:abstractNumId w:val="9"/>
  </w:num>
  <w:num w:numId="10" w16cid:durableId="2004432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CA8"/>
    <w:rsid w:val="00051FF5"/>
    <w:rsid w:val="00055280"/>
    <w:rsid w:val="000F576A"/>
    <w:rsid w:val="001001AC"/>
    <w:rsid w:val="001111DA"/>
    <w:rsid w:val="001561EA"/>
    <w:rsid w:val="001575D7"/>
    <w:rsid w:val="001B2319"/>
    <w:rsid w:val="001F237F"/>
    <w:rsid w:val="002465E5"/>
    <w:rsid w:val="0027704D"/>
    <w:rsid w:val="00282407"/>
    <w:rsid w:val="002A6428"/>
    <w:rsid w:val="002C6AAD"/>
    <w:rsid w:val="002D70CC"/>
    <w:rsid w:val="002F677F"/>
    <w:rsid w:val="0031059A"/>
    <w:rsid w:val="00316161"/>
    <w:rsid w:val="00396962"/>
    <w:rsid w:val="003E6056"/>
    <w:rsid w:val="0046607D"/>
    <w:rsid w:val="004829D2"/>
    <w:rsid w:val="00483852"/>
    <w:rsid w:val="004E1E3B"/>
    <w:rsid w:val="00505C9D"/>
    <w:rsid w:val="0053643A"/>
    <w:rsid w:val="0054662D"/>
    <w:rsid w:val="005566DC"/>
    <w:rsid w:val="005622E3"/>
    <w:rsid w:val="005806E6"/>
    <w:rsid w:val="00585029"/>
    <w:rsid w:val="005B358F"/>
    <w:rsid w:val="005E298E"/>
    <w:rsid w:val="005E7E52"/>
    <w:rsid w:val="005F0CDF"/>
    <w:rsid w:val="005F1236"/>
    <w:rsid w:val="005F365C"/>
    <w:rsid w:val="00625512"/>
    <w:rsid w:val="006618AD"/>
    <w:rsid w:val="006E0C61"/>
    <w:rsid w:val="00770E40"/>
    <w:rsid w:val="007B7B2A"/>
    <w:rsid w:val="007C3210"/>
    <w:rsid w:val="008653D2"/>
    <w:rsid w:val="008E7D9D"/>
    <w:rsid w:val="008F2A95"/>
    <w:rsid w:val="0093094C"/>
    <w:rsid w:val="00946CF2"/>
    <w:rsid w:val="00955317"/>
    <w:rsid w:val="009A4E47"/>
    <w:rsid w:val="009D1059"/>
    <w:rsid w:val="00A21A0F"/>
    <w:rsid w:val="00A82C9E"/>
    <w:rsid w:val="00A90785"/>
    <w:rsid w:val="00A90E24"/>
    <w:rsid w:val="00AF6FF2"/>
    <w:rsid w:val="00B510C5"/>
    <w:rsid w:val="00B76191"/>
    <w:rsid w:val="00BA013E"/>
    <w:rsid w:val="00C11969"/>
    <w:rsid w:val="00C1489D"/>
    <w:rsid w:val="00C46C6A"/>
    <w:rsid w:val="00C7395B"/>
    <w:rsid w:val="00CB1D10"/>
    <w:rsid w:val="00CE48A0"/>
    <w:rsid w:val="00D33315"/>
    <w:rsid w:val="00D67963"/>
    <w:rsid w:val="00D71E91"/>
    <w:rsid w:val="00D8280D"/>
    <w:rsid w:val="00DB3B3C"/>
    <w:rsid w:val="00EE1CEB"/>
    <w:rsid w:val="00EE3542"/>
    <w:rsid w:val="00F0704E"/>
    <w:rsid w:val="00F37CA8"/>
    <w:rsid w:val="00F57FB1"/>
    <w:rsid w:val="00FB1097"/>
    <w:rsid w:val="00FD7141"/>
    <w:rsid w:val="00FF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3CA509"/>
  <w15:docId w15:val="{B5B01336-EE26-40B0-80DD-C1D5158B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Times New Roman" w:eastAsia="Lucida Sans Unicode" w:hAnsi="Times New Roman" w:cs="Tahoma"/>
      <w:b/>
      <w:bCs/>
      <w:sz w:val="48"/>
      <w:szCs w:val="48"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outlineLvl w:val="1"/>
    </w:pPr>
    <w:rPr>
      <w:rFonts w:ascii="Times New Roman" w:eastAsia="Lucida Sans Unicode" w:hAnsi="Times New Roman" w:cs="Tahoma"/>
      <w:b/>
      <w:bCs/>
      <w:sz w:val="36"/>
      <w:szCs w:val="36"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kapitzlist">
    <w:name w:val="List Paragraph"/>
    <w:aliases w:val="Normal,Akapit z listą3,Akapit z listą31,Wypunktowanie,List Paragraph,Normal2,L1,Numerowanie,sw tekst,Adresat stanowisko,Akapit z listą BS,Kolorowa lista — akcent 11,Bulleted list,lp1,Preambuła,Colorful Shading - Accent 31,Akapit z listą5"/>
    <w:basedOn w:val="Standard"/>
    <w:link w:val="AkapitzlistZnak"/>
    <w:uiPriority w:val="34"/>
    <w:qFormat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zodstpw1">
    <w:name w:val="Bez odstępów1"/>
    <w:pPr>
      <w:widowControl/>
    </w:pPr>
    <w:rPr>
      <w:rFonts w:eastAsia="Calibri" w:cs="font1273"/>
      <w:lang w:eastAsia="zh-CN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customStyle="1" w:styleId="ListLabel1">
    <w:name w:val="ListLabel 1"/>
    <w:rPr>
      <w:rFonts w:cs="Courier New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22">
    <w:name w:val="WWNum22"/>
    <w:basedOn w:val="Bezlisty"/>
    <w:pPr>
      <w:numPr>
        <w:numId w:val="7"/>
      </w:numPr>
    </w:pPr>
  </w:style>
  <w:style w:type="character" w:customStyle="1" w:styleId="AkapitzlistZnak">
    <w:name w:val="Akapit z listą Znak"/>
    <w:aliases w:val="Normal Znak,Akapit z listą3 Znak,Akapit z listą31 Znak,Wypunktowanie Znak,List Paragraph Znak,Normal2 Znak,L1 Znak,Numerowanie Znak,sw tekst Znak,Adresat stanowisko Znak,Akapit z listą BS Znak,Kolorowa lista — akcent 11 Znak,lp1 Znak"/>
    <w:link w:val="Akapitzlist"/>
    <w:uiPriority w:val="34"/>
    <w:qFormat/>
    <w:locked/>
    <w:rsid w:val="005F0CD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4E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4E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4E4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8502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50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F12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832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Polac</dc:creator>
  <cp:lastModifiedBy>Tomasz Stawski</cp:lastModifiedBy>
  <cp:revision>5</cp:revision>
  <cp:lastPrinted>2026-10-06T08:49:00Z</cp:lastPrinted>
  <dcterms:created xsi:type="dcterms:W3CDTF">2026-10-19T11:24:00Z</dcterms:created>
  <dcterms:modified xsi:type="dcterms:W3CDTF">2026-10-21T11:14:00Z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