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41F50" w14:textId="3B077FA6" w:rsidR="00506EE2" w:rsidRDefault="00506EE2" w:rsidP="00506EE2">
      <w:pPr>
        <w:keepNext/>
        <w:jc w:val="center"/>
        <w:divId w:val="115218999"/>
        <w:rPr>
          <w:rFonts w:ascii="Arial" w:hAnsi="Arial" w:cs="Arial"/>
        </w:rPr>
      </w:pPr>
      <w:r>
        <w:rPr>
          <w:rFonts w:ascii="Arial" w:eastAsia="Arial" w:hAnsi="Arial" w:cs="Arial"/>
          <w:b/>
          <w:bCs/>
          <w:caps/>
          <w:color w:val="000000"/>
          <w:sz w:val="28"/>
          <w:szCs w:val="28"/>
        </w:rPr>
        <w:t xml:space="preserve">ZAŁĄCZNIK NR 7.2 DO SWZ - WZÓR UMOWY - CZĘŚĆ II SYSTEMY CYBERBEZPIECZEŃSTWA I INFRASTRUKTURA SERWEROWA</w:t>
      </w:r>
    </w:p>
    <w:p w14:paraId="12321449" w14:textId="34F45B82" w:rsidR="00506EE2" w:rsidRDefault="00506EE2" w:rsidP="00506EE2">
      <w:pPr>
        <w:keepNext/>
        <w:jc w:val="center"/>
        <w:divId w:val="115218999"/>
        <w:rPr>
          <w:rFonts w:ascii="Arial" w:hAnsi="Arial" w:cs="Arial"/>
          <w:b/>
        </w:rPr>
      </w:pPr>
      <w:r>
        <w:rPr>
          <w:rFonts w:ascii="Arial" w:eastAsia="Arial" w:hAnsi="Arial" w:cs="Arial"/>
          <w:b/>
          <w:bCs/>
          <w:caps/>
          <w:color w:val="000000"/>
          <w:sz w:val="28"/>
          <w:szCs w:val="28"/>
        </w:rPr>
        <w:t xml:space="preserve">UMOWA NR ………………………………… - CZĘŚĆ II</w:t>
      </w:r>
    </w:p>
    <w:p w14:paraId="2640EE4B" w14:textId="77777777" w:rsidR="00506EE2" w:rsidRPr="00CB0E60" w:rsidRDefault="00506EE2" w:rsidP="00506EE2">
      <w:pPr>
        <w:keepNext/>
        <w:jc w:val="center"/>
        <w:divId w:val="115218999"/>
        <w:rPr>
          <w:bCs/>
        </w:rPr>
      </w:pPr>
      <w:r>
        <w:rPr>
          <w:rFonts w:ascii="Arial" w:eastAsia="Arial" w:hAnsi="Arial" w:cs="Arial"/>
          <w:color w:val="000000"/>
          <w:sz w:val="20"/>
          <w:szCs w:val="20"/>
        </w:rPr>
        <w:t>zawarta w dniu ……………… r. / w dniu złożenia podpisu elektronicznego przez ostatnią ze Stron, pomiędzy:</w:t>
      </w:r>
    </w:p>
    <w:p w14:paraId="24026872" w14:textId="77777777" w:rsidR="00506EE2" w:rsidRPr="00545C78" w:rsidRDefault="00506EE2" w:rsidP="00506EE2">
      <w:pPr>
        <w:spacing w:before="0" w:after="0"/>
        <w:divId w:val="115218999"/>
        <w:rPr>
          <w:rFonts w:ascii="Arial" w:hAnsi="Arial" w:cs="Arial"/>
        </w:rPr>
      </w:pPr>
      <w:r>
        <w:rPr>
          <w:rFonts w:ascii="Arial" w:hAnsi="Arial" w:cs="Arial"/>
        </w:rPr>
        <w:t>ZAKŁADEM WODOCIĄGÓW I KANALIZACJI SPÓŁKĄ Z OGRANICZONĄ ODPOWIEDZIALNOŚCIĄ z siedzibą w Tczewie,</w:t>
      </w:r>
    </w:p>
    <w:p w14:paraId="0B6DB5E8" w14:textId="77777777" w:rsidR="00506EE2" w:rsidRPr="00545C78" w:rsidRDefault="00506EE2" w:rsidP="00506EE2">
      <w:pPr>
        <w:spacing w:before="0" w:after="0"/>
        <w:divId w:val="115218999"/>
        <w:rPr>
          <w:rFonts w:ascii="Arial" w:hAnsi="Arial" w:cs="Arial"/>
        </w:rPr>
      </w:pPr>
      <w:r>
        <w:rPr>
          <w:rFonts w:ascii="Arial" w:hAnsi="Arial" w:cs="Arial"/>
        </w:rPr>
        <w:t xml:space="preserve">ul. Czatkowska 8, 83-110 Tczew, NIP 5930103234, REGON 191927763, KRS 0000022543, zwanym dalej „Zamawiającym”,</w:t>
      </w:r>
    </w:p>
    <w:p w14:paraId="0AE84C9E" w14:textId="0677D4D8" w:rsidR="00506EE2" w:rsidRPr="00545C78" w:rsidRDefault="00506EE2" w:rsidP="00506EE2">
      <w:pPr>
        <w:spacing w:before="0" w:after="0"/>
        <w:divId w:val="115218999"/>
        <w:rPr>
          <w:rFonts w:ascii="Arial" w:hAnsi="Arial" w:cs="Arial"/>
        </w:rPr>
      </w:pPr>
      <w:r>
        <w:rPr>
          <w:rFonts w:ascii="Arial" w:hAnsi="Arial" w:cs="Arial"/>
          <w:highlight w:val="yellow"/>
        </w:rPr>
        <w:t xml:space="preserve">reprezentowanym przez: [DO UZUPEŁNIENIA - IMIĘ, NAZWISKO, FUNKCJA I PODSTAWA REPREZENTACJI],</w:t>
      </w:r>
    </w:p>
    <w:p w14:paraId="0CCFF9E1" w14:textId="77777777" w:rsidR="00506EE2" w:rsidRPr="0052287C" w:rsidRDefault="00506EE2" w:rsidP="00506EE2">
      <w:pPr>
        <w:jc w:val="both"/>
        <w:divId w:val="115218999"/>
      </w:pPr>
      <w:r>
        <w:rPr>
          <w:rFonts w:ascii="Arial" w:eastAsia="Arial" w:hAnsi="Arial" w:cs="Arial"/>
          <w:color w:val="000000"/>
        </w:rPr>
        <w:t>a</w:t>
      </w:r>
    </w:p>
    <w:p w14:paraId="21B1F439" w14:textId="77777777" w:rsidR="00506EE2" w:rsidRPr="00545C78" w:rsidRDefault="00506EE2" w:rsidP="00506EE2">
      <w:pPr>
        <w:spacing w:before="0" w:after="0"/>
        <w:divId w:val="115218999"/>
        <w:rPr>
          <w:rFonts w:ascii="Arial" w:hAnsi="Arial" w:cs="Arial"/>
        </w:rPr>
      </w:pPr>
      <w:r>
        <w:rPr>
          <w:rFonts w:ascii="Arial" w:hAnsi="Arial" w:cs="Arial"/>
          <w:highlight w:val="yellow"/>
        </w:rPr>
        <w:t>[PEŁNA FIRMA WYKONAWCY], z siedzibą w [ADRES], wpisaną do [KRS/CEIDG/INNEGO REJESTRU] pod numerem [NUMER], NIP [NUMER], REGON [NUMER],</w:t>
      </w:r>
    </w:p>
    <w:p w14:paraId="42F2ED1F" w14:textId="627BF8E9" w:rsidR="00506EE2" w:rsidRPr="00545C78" w:rsidRDefault="00506EE2" w:rsidP="00506EE2">
      <w:pPr>
        <w:spacing w:before="0" w:after="0"/>
        <w:divId w:val="115218999"/>
        <w:rPr>
          <w:rFonts w:ascii="Arial" w:hAnsi="Arial" w:cs="Arial"/>
        </w:rPr>
      </w:pPr>
      <w:r>
        <w:rPr>
          <w:rFonts w:ascii="Arial" w:hAnsi="Arial" w:cs="Arial"/>
          <w:highlight w:val="yellow"/>
        </w:rPr>
        <w:t xml:space="preserve">reprezentowaną przez: [DO UZUPEŁNIENIA - IMIĘ, NAZWISKO I PODSTAWA REPREZENTACJI],</w:t>
      </w:r>
    </w:p>
    <w:p w14:paraId="7C7FA3DC" w14:textId="77777777" w:rsidR="00506EE2" w:rsidRPr="00545C78" w:rsidRDefault="00506EE2" w:rsidP="00506EE2">
      <w:pPr>
        <w:spacing w:before="0" w:after="0"/>
        <w:divId w:val="115218999"/>
        <w:rPr>
          <w:rFonts w:ascii="Arial" w:hAnsi="Arial" w:cs="Arial"/>
        </w:rPr>
      </w:pPr>
      <w:r>
        <w:rPr>
          <w:rFonts w:ascii="Arial" w:hAnsi="Arial" w:cs="Arial"/>
        </w:rPr>
        <w:t>zwaną dalej „Wykonawcą”, a łącznie z Zamawiającym „Stronami”, zaś każda z osobna „Stroną”.</w:t>
      </w:r>
    </w:p>
    <w:p w14:paraId="47BE3AD0" w14:textId="794C15AC" w:rsidR="00506EE2" w:rsidRDefault="00506EE2" w:rsidP="00506EE2">
      <w:pPr>
        <w:jc w:val="both"/>
        <w:divId w:val="115218999"/>
        <w:rPr>
          <w:bCs/>
        </w:rPr>
      </w:pPr>
      <w:r>
        <w:rPr>
          <w:rFonts w:ascii="Arial" w:eastAsia="Arial" w:hAnsi="Arial" w:cs="Arial"/>
          <w:color w:val="000000"/>
        </w:rPr>
        <w:t xml:space="preserve">Umowę zawarto w wyniku postępowania o udzielenie zamówienia publicznego nr [DO UZUPEŁNIENIA], prowadzonego w trybie podstawowym bez negocjacji na podstawie art. 275 pkt 1 ustawy z 11 września 2019 r. - Prawo zamówień publicznych </w:t>
      </w:r>
      <w:r>
        <w:rPr>
          <w:rFonts w:ascii="Arial" w:eastAsia="Arial" w:hAnsi="Arial" w:cs="Arial"/>
          <w:color w:val="000000"/>
          <w:highlight w:val="cyan"/>
        </w:rPr>
        <w:t>(t.j. Dz.U. z 2026 r. poz. 793 ze zm.), dalej „Pzp”.</w:t>
      </w:r>
    </w:p>
    <w:p w14:paraId="67E31C32" w14:textId="77777777" w:rsidR="00506EE2" w:rsidRDefault="00506EE2" w:rsidP="00506EE2">
      <w:pPr>
        <w:keepNext/>
        <w:spacing w:before="180" w:after="0"/>
        <w:jc w:val="center"/>
        <w:divId w:val="115218999"/>
        <w:rPr>
          <w:b/>
          <w:bCs/>
        </w:rPr>
      </w:pPr>
      <w:r>
        <w:rPr>
          <w:rFonts w:ascii="Arial" w:eastAsia="Arial" w:hAnsi="Arial" w:cs="Arial"/>
          <w:b/>
          <w:bCs/>
          <w:color w:val="000000"/>
        </w:rPr>
        <w:lastRenderedPageBreak/>
        <w:t>§ 1</w:t>
      </w:r>
    </w:p>
    <w:p w14:paraId="0EBD93D1" w14:textId="77777777" w:rsidR="00506EE2" w:rsidRDefault="00506EE2" w:rsidP="00506EE2">
      <w:pPr>
        <w:keepNext/>
        <w:spacing w:before="180" w:after="0"/>
        <w:jc w:val="center"/>
        <w:divId w:val="115218999"/>
        <w:rPr>
          <w:rFonts w:ascii="Arial" w:hAnsi="Arial" w:cs="Arial"/>
          <w:b/>
        </w:rPr>
      </w:pPr>
      <w:r>
        <w:rPr>
          <w:rFonts w:ascii="Arial" w:hAnsi="Arial" w:cs="Arial"/>
          <w:b/>
        </w:rPr>
        <w:t>Przedmiot Umowy, definicje i dokumenty kontraktowe</w:t>
      </w:r>
    </w:p>
    <w:p w14:paraId="2D96E672" w14:textId="77777777" w:rsidR="005A2FF3" w:rsidRPr="00B33636" w:rsidRDefault="00506EE2" w:rsidP="005A2FF3">
      <w:pPr>
        <w:spacing w:before="0" w:after="0"/>
        <w:jc w:val="both"/>
        <w:divId w:val="115218999"/>
        <w:rPr>
          <w:rFonts w:ascii="Arial" w:eastAsia="Arial" w:hAnsi="Arial" w:cs="Arial"/>
          <w:color w:val="000000"/>
        </w:rPr>
      </w:pPr>
      <w:r>
        <w:rPr>
          <w:rFonts w:ascii="Arial" w:eastAsia="Arial" w:hAnsi="Arial" w:cs="Arial"/>
          <w:color w:val="000000"/>
        </w:rPr>
        <w:t xml:space="preserve">1. Zamawiający zleca, a Wykonawca przyjmuje do wykonania Część II zamówienia pn. „Podniesienie odporności cybernetycznej Zakładu Wodociągów i</w:t>
      </w:r>
    </w:p>
    <w:p w14:paraId="19DC70C0" w14:textId="1113765D" w:rsidR="00506EE2" w:rsidRDefault="005A2FF3" w:rsidP="005A2FF3">
      <w:pPr>
        <w:spacing w:before="0" w:after="0"/>
        <w:jc w:val="both"/>
        <w:divId w:val="115218999"/>
        <w:rPr>
          <w:b/>
        </w:rPr>
      </w:pPr>
      <w:r>
        <w:rPr>
          <w:rFonts w:ascii="Arial" w:eastAsia="Arial" w:hAnsi="Arial" w:cs="Arial"/>
          <w:color w:val="000000"/>
        </w:rPr>
        <w:t xml:space="preserve">Kanalizacji Sp. z o.o. w Tczewie w ramach projektu Cyberbezpieczne Wodociągi”, pod nazwą „SYSTEMY CYBERBEZPIECZEŃSTWA I INFRASTRUKTURA SERWEROWA”.</w:t>
      </w:r>
    </w:p>
    <w:p w14:paraId="38DE3597" w14:textId="77777777" w:rsidR="00506EE2" w:rsidRDefault="00506EE2" w:rsidP="00506EE2">
      <w:pPr>
        <w:jc w:val="both"/>
        <w:divId w:val="115218999"/>
        <w:rPr>
          <w:rFonts w:ascii="Arial" w:eastAsia="Arial" w:hAnsi="Arial" w:cs="Arial"/>
          <w:color w:val="000000"/>
        </w:rPr>
      </w:pPr>
      <w:r>
        <w:rPr>
          <w:rFonts w:ascii="Arial" w:eastAsia="Arial" w:hAnsi="Arial" w:cs="Arial"/>
          <w:color w:val="000000"/>
        </w:rPr>
        <w:t>2. Przedmiot Umowy obejmuje kompleksową dostawę, udzielenie lub zapewnienie licencji i subskrypcji, wdrożenie, konfigurację, integrację, migrację, uruchomienie, testy, szkolenia, dokumentację, gwarancję, wsparcie oraz świadczenie usług utrzymaniowych i bezpieczeństwa dla wszystkich pozycji Formularza Cenowego Części II, w szczególności:</w:t>
      </w:r>
    </w:p>
    <w:p w14:paraId="4931415B" w14:textId="77777777" w:rsidR="00495872" w:rsidRDefault="00495872" w:rsidP="00506EE2">
      <w:pPr>
        <w:jc w:val="both"/>
        <w:divId w:val="115218999"/>
        <w:rPr>
          <w:rFonts w:ascii="Arial" w:eastAsia="Arial" w:hAnsi="Arial" w:cs="Arial"/>
          <w:color w:val="000000"/>
        </w:rPr>
      </w:pPr>
    </w:p>
    <w:p>
      <w:pPr>
        <w:ind w:left="567"/>
        <w:jc w:val="both"/>
        <w:divId w:val="115218999"/>
        <w:rPr>
          <w:rFonts w:ascii="Arial" w:eastAsia="Arial" w:hAnsi="Arial" w:cs="Arial"/>
          <w:color w:val="000000"/>
        </w:rPr>
      </w:pPr>
      <w:r>
        <w:rPr>
          <w:rFonts w:ascii="Arial" w:eastAsia="Arial" w:hAnsi="Arial" w:cs="Arial"/>
          <w:color w:val="000000"/>
        </w:rPr>
        <w:t xml:space="preserve">1) S13. Serwer fizyczny niezbędny do zainstalowania produktu lub wdrożenia rozwiązania z zakresu bezpieczeństwa – typ I – 2 szt.;</w:t>
      </w:r>
    </w:p>
    <w:p>
      <w:pPr>
        <w:ind w:left="567"/>
        <w:jc w:val="both"/>
        <w:divId w:val="115218999"/>
        <w:rPr>
          <w:rFonts w:ascii="Arial" w:eastAsia="Arial" w:hAnsi="Arial" w:cs="Arial"/>
          <w:color w:val="000000"/>
        </w:rPr>
      </w:pPr>
      <w:r>
        <w:rPr>
          <w:rFonts w:ascii="Arial" w:eastAsia="Arial" w:hAnsi="Arial" w:cs="Arial"/>
          <w:color w:val="000000"/>
        </w:rPr>
        <w:t xml:space="preserve">2) S13. Serwer fizyczny niezbędny do zainstalowania produktu lub wdrożenia rozwiązania z zakresu bezpieczeństwa – typ II – 1 szt.;</w:t>
      </w:r>
    </w:p>
    <w:p>
      <w:pPr>
        <w:ind w:left="567"/>
        <w:jc w:val="both"/>
        <w:divId w:val="115218999"/>
        <w:rPr>
          <w:rFonts w:ascii="Arial" w:eastAsia="Arial" w:hAnsi="Arial" w:cs="Arial"/>
          <w:color w:val="000000"/>
        </w:rPr>
      </w:pPr>
      <w:r>
        <w:rPr>
          <w:rFonts w:ascii="Arial" w:eastAsia="Arial" w:hAnsi="Arial" w:cs="Arial"/>
          <w:color w:val="000000"/>
        </w:rPr>
        <w:t xml:space="preserve">3) Licencje systemu operacyjnego – 8 szt.;</w:t>
      </w:r>
    </w:p>
    <w:p>
      <w:pPr>
        <w:ind w:left="567"/>
        <w:jc w:val="both"/>
        <w:divId w:val="115218999"/>
        <w:rPr>
          <w:rFonts w:ascii="Arial" w:eastAsia="Arial" w:hAnsi="Arial" w:cs="Arial"/>
          <w:color w:val="000000"/>
        </w:rPr>
      </w:pPr>
      <w:r>
        <w:rPr>
          <w:rFonts w:ascii="Arial" w:eastAsia="Arial" w:hAnsi="Arial" w:cs="Arial"/>
          <w:color w:val="000000"/>
        </w:rPr>
        <w:t xml:space="preserve">4) O47. Licencje dostępowe (również rozbudowa licencji do już istniejącego systemu), na których zainstalowany będzie system lub wdrożone rozwiązanie z zakresu cyberbezpieczeństwa – 30 szt.;</w:t>
      </w:r>
    </w:p>
    <w:p>
      <w:pPr>
        <w:ind w:left="567"/>
        <w:jc w:val="both"/>
        <w:divId w:val="115218999"/>
        <w:rPr>
          <w:rFonts w:ascii="Arial" w:eastAsia="Arial" w:hAnsi="Arial" w:cs="Arial"/>
          <w:color w:val="000000"/>
        </w:rPr>
      </w:pPr>
      <w:r>
        <w:rPr>
          <w:rFonts w:ascii="Arial" w:eastAsia="Arial" w:hAnsi="Arial" w:cs="Arial"/>
          <w:color w:val="000000"/>
        </w:rPr>
        <w:t xml:space="preserve">5) O47. Licencje dostępowe (również rozbudowa licencji do już istniejącego systemu), na których zainstalowany będzie system lub wdrożone rozwiązanie z zakresu cyberbezpieczeństwa – 20 szt.;</w:t>
      </w:r>
    </w:p>
    <w:p>
      <w:pPr>
        <w:ind w:left="567"/>
        <w:jc w:val="both"/>
        <w:divId w:val="115218999"/>
        <w:rPr>
          <w:rFonts w:ascii="Arial" w:eastAsia="Arial" w:hAnsi="Arial" w:cs="Arial"/>
          <w:color w:val="000000"/>
        </w:rPr>
      </w:pPr>
      <w:r>
        <w:rPr>
          <w:rFonts w:ascii="Arial" w:eastAsia="Arial" w:hAnsi="Arial" w:cs="Arial"/>
          <w:color w:val="000000"/>
        </w:rPr>
        <w:t xml:space="preserve">6) S13. Serwer fizyczny niezbędny do zainstalowania produktu lub wdrożenia rozwiązania z zakresu bezpieczeństwa – serwer typu NAS – 1 szt.;</w:t>
      </w:r>
    </w:p>
    <w:p>
      <w:pPr>
        <w:ind w:left="567"/>
        <w:jc w:val="both"/>
        <w:divId w:val="115218999"/>
        <w:rPr>
          <w:rFonts w:ascii="Arial" w:eastAsia="Arial" w:hAnsi="Arial" w:cs="Arial"/>
          <w:color w:val="000000"/>
        </w:rPr>
      </w:pPr>
      <w:r>
        <w:rPr>
          <w:rFonts w:ascii="Arial" w:eastAsia="Arial" w:hAnsi="Arial" w:cs="Arial"/>
          <w:color w:val="000000"/>
        </w:rPr>
        <w:t xml:space="preserve">7) S14. Serwer do wykonywania kopii zapasowych (w tym z usługą/licencją deduplikacji) wraz z O16. Oprogramowanie do wykonywania kopii zapasowych (w tym deduplikacji) – serwer typu NAS – 1 szt.;</w:t>
      </w:r>
    </w:p>
    <w:p>
      <w:pPr>
        <w:ind w:left="567"/>
        <w:jc w:val="both"/>
        <w:divId w:val="115218999"/>
        <w:rPr>
          <w:rFonts w:ascii="Arial" w:eastAsia="Arial" w:hAnsi="Arial" w:cs="Arial"/>
          <w:color w:val="000000"/>
        </w:rPr>
      </w:pPr>
      <w:r>
        <w:rPr>
          <w:rFonts w:ascii="Arial" w:eastAsia="Arial" w:hAnsi="Arial" w:cs="Arial"/>
          <w:color w:val="000000"/>
        </w:rPr>
        <w:t xml:space="preserve">8) S21. Network Attached Storage (NAS) – jednostka rozszerzająca – 2 szt.;</w:t>
      </w:r>
    </w:p>
    <w:p>
      <w:pPr>
        <w:ind w:left="567"/>
        <w:jc w:val="both"/>
        <w:divId w:val="115218999"/>
        <w:rPr>
          <w:rFonts w:ascii="Arial" w:eastAsia="Arial" w:hAnsi="Arial" w:cs="Arial"/>
          <w:color w:val="000000"/>
        </w:rPr>
      </w:pPr>
      <w:r>
        <w:rPr>
          <w:rFonts w:ascii="Arial" w:eastAsia="Arial" w:hAnsi="Arial" w:cs="Arial"/>
          <w:color w:val="000000"/>
        </w:rPr>
        <w:t xml:space="preserve">9) S16. Macierz dyskowa – 1 szt.;</w:t>
      </w:r>
    </w:p>
    <w:p>
      <w:pPr>
        <w:ind w:left="567"/>
        <w:jc w:val="both"/>
        <w:divId w:val="115218999"/>
        <w:rPr>
          <w:rFonts w:ascii="Arial" w:eastAsia="Arial" w:hAnsi="Arial" w:cs="Arial"/>
          <w:color w:val="000000"/>
        </w:rPr>
      </w:pPr>
      <w:r>
        <w:rPr>
          <w:rFonts w:ascii="Arial" w:eastAsia="Arial" w:hAnsi="Arial" w:cs="Arial"/>
          <w:color w:val="000000"/>
        </w:rPr>
        <w:t xml:space="preserve">10) S27. Zarządzalne urządzenia sieciowe z obsługą VLAN, MACsec, standardu 802.1X (switch) – typ I – 2 szt.;</w:t>
      </w:r>
    </w:p>
    <w:p>
      <w:pPr>
        <w:ind w:left="567"/>
        <w:jc w:val="both"/>
        <w:divId w:val="115218999"/>
        <w:rPr>
          <w:rFonts w:ascii="Arial" w:eastAsia="Arial" w:hAnsi="Arial" w:cs="Arial"/>
          <w:color w:val="000000"/>
        </w:rPr>
      </w:pPr>
      <w:r>
        <w:rPr>
          <w:rFonts w:ascii="Arial" w:eastAsia="Arial" w:hAnsi="Arial" w:cs="Arial"/>
          <w:color w:val="000000"/>
        </w:rPr>
        <w:t xml:space="preserve">11) S27. Zarządzalne urządzenia sieciowe z obsługą VLAN, MACsec, standardu 802.1X (switch) – typ II – POE – 2 szt.;</w:t>
      </w:r>
    </w:p>
    <w:p>
      <w:pPr>
        <w:ind w:left="567"/>
        <w:jc w:val="both"/>
        <w:divId w:val="115218999"/>
        <w:rPr>
          <w:rFonts w:ascii="Arial" w:eastAsia="Arial" w:hAnsi="Arial" w:cs="Arial"/>
          <w:color w:val="000000"/>
        </w:rPr>
      </w:pPr>
      <w:r>
        <w:rPr>
          <w:rFonts w:ascii="Arial" w:eastAsia="Arial" w:hAnsi="Arial" w:cs="Arial"/>
          <w:color w:val="000000"/>
        </w:rPr>
        <w:t xml:space="preserve">12) S27. Zarządzalne urządzenia sieciowe z obsługą VLAN, MACsec, standardu 802.1X (switch) – typ III – 5 szt.;</w:t>
      </w:r>
    </w:p>
    <w:p>
      <w:pPr>
        <w:ind w:left="567"/>
        <w:jc w:val="both"/>
        <w:divId w:val="115218999"/>
        <w:rPr>
          <w:rFonts w:ascii="Arial" w:eastAsia="Arial" w:hAnsi="Arial" w:cs="Arial"/>
          <w:color w:val="000000"/>
        </w:rPr>
      </w:pPr>
      <w:r>
        <w:rPr>
          <w:rFonts w:ascii="Arial" w:eastAsia="Arial" w:hAnsi="Arial" w:cs="Arial"/>
          <w:color w:val="000000"/>
        </w:rPr>
        <w:t xml:space="preserve">13) S27. Zarządzalne urządzenia sieciowe z obsługą VLAN, MACsec, standardu 802.1X (switch) – typ IV – 1 szt.;</w:t>
      </w:r>
    </w:p>
    <w:p>
      <w:pPr>
        <w:ind w:left="567"/>
        <w:jc w:val="both"/>
        <w:divId w:val="115218999"/>
        <w:rPr>
          <w:rFonts w:ascii="Arial" w:eastAsia="Arial" w:hAnsi="Arial" w:cs="Arial"/>
          <w:color w:val="000000"/>
        </w:rPr>
      </w:pPr>
      <w:r>
        <w:rPr>
          <w:rFonts w:ascii="Arial" w:eastAsia="Arial" w:hAnsi="Arial" w:cs="Arial"/>
          <w:color w:val="000000"/>
        </w:rPr>
        <w:t xml:space="preserve">14) S34. Access Point WiFi z obsługą standardu 802.1x oraz WPA3-Enterprise – 15 szt.;</w:t>
      </w:r>
    </w:p>
    <w:p>
      <w:pPr>
        <w:ind w:left="567"/>
        <w:jc w:val="both"/>
        <w:divId w:val="115218999"/>
        <w:rPr>
          <w:rFonts w:ascii="Arial" w:eastAsia="Arial" w:hAnsi="Arial" w:cs="Arial"/>
          <w:color w:val="000000"/>
        </w:rPr>
      </w:pPr>
      <w:r>
        <w:rPr>
          <w:rFonts w:ascii="Arial" w:eastAsia="Arial" w:hAnsi="Arial" w:cs="Arial"/>
          <w:color w:val="000000"/>
        </w:rPr>
        <w:t xml:space="preserve">15) S02. NGFW (Next Gen FireWall) – licencje – typ I – 50 szt.;</w:t>
      </w:r>
    </w:p>
    <w:p>
      <w:pPr>
        <w:ind w:left="567"/>
        <w:jc w:val="both"/>
        <w:divId w:val="115218999"/>
        <w:rPr>
          <w:rFonts w:ascii="Arial" w:eastAsia="Arial" w:hAnsi="Arial" w:cs="Arial"/>
          <w:color w:val="000000"/>
        </w:rPr>
      </w:pPr>
      <w:r>
        <w:rPr>
          <w:rFonts w:ascii="Arial" w:eastAsia="Arial" w:hAnsi="Arial" w:cs="Arial"/>
          <w:color w:val="000000"/>
        </w:rPr>
        <w:t xml:space="preserve">16) S02. NGFW (Next Gen FireWall) wraz z integralnym O18. Oprogramowanie WAF (Web Application Firewall) – typ II – 3 szt.;</w:t>
      </w:r>
    </w:p>
    <w:p>
      <w:pPr>
        <w:ind w:left="567"/>
        <w:jc w:val="both"/>
        <w:divId w:val="115218999"/>
        <w:rPr>
          <w:rFonts w:ascii="Arial" w:eastAsia="Arial" w:hAnsi="Arial" w:cs="Arial"/>
          <w:color w:val="000000"/>
        </w:rPr>
      </w:pPr>
      <w:r>
        <w:rPr>
          <w:rFonts w:ascii="Arial" w:eastAsia="Arial" w:hAnsi="Arial" w:cs="Arial"/>
          <w:color w:val="000000"/>
        </w:rPr>
        <w:t xml:space="preserve">17) S02. NGFW (Next Gen FireWall) wraz z integralnym O18. Oprogramowanie WAF (Web Application Firewall) – typ III – 2 szt.;</w:t>
      </w:r>
    </w:p>
    <w:p>
      <w:pPr>
        <w:ind w:left="567"/>
        <w:jc w:val="both"/>
        <w:divId w:val="115218999"/>
        <w:rPr>
          <w:rFonts w:ascii="Arial" w:eastAsia="Arial" w:hAnsi="Arial" w:cs="Arial"/>
          <w:color w:val="000000"/>
        </w:rPr>
      </w:pPr>
      <w:r>
        <w:rPr>
          <w:rFonts w:ascii="Arial" w:eastAsia="Arial" w:hAnsi="Arial" w:cs="Arial"/>
          <w:color w:val="000000"/>
        </w:rPr>
        <w:t xml:space="preserve">18) S02. NGFW (Next Gen FireWall) uwzględniające integralnie O18. Oprogramowanie WAF w ramach pełnionej funkcji – licencje – typ IV – 2 szt.;</w:t>
      </w:r>
    </w:p>
    <w:p>
      <w:pPr>
        <w:ind w:left="567"/>
        <w:jc w:val="both"/>
        <w:divId w:val="115218999"/>
        <w:rPr>
          <w:rFonts w:ascii="Arial" w:eastAsia="Arial" w:hAnsi="Arial" w:cs="Arial"/>
          <w:color w:val="000000"/>
        </w:rPr>
      </w:pPr>
      <w:r>
        <w:rPr>
          <w:rFonts w:ascii="Arial" w:eastAsia="Arial" w:hAnsi="Arial" w:cs="Arial"/>
          <w:color w:val="000000"/>
        </w:rPr>
        <w:t xml:space="preserve">19) U09. Wdrożenie urządzeń oraz oprogramowania – z pozycji 1–18 – oprogramowania/rozwiązania z zakresu bezpieczeństwa – 1 usługa;</w:t>
      </w:r>
    </w:p>
    <w:p>
      <w:pPr>
        <w:ind w:left="567"/>
        <w:jc w:val="both"/>
        <w:divId w:val="115218999"/>
        <w:rPr>
          <w:rFonts w:ascii="Arial" w:eastAsia="Arial" w:hAnsi="Arial" w:cs="Arial"/>
          <w:color w:val="000000"/>
        </w:rPr>
      </w:pPr>
      <w:r>
        <w:rPr>
          <w:rFonts w:ascii="Arial" w:eastAsia="Arial" w:hAnsi="Arial" w:cs="Arial"/>
          <w:color w:val="000000"/>
        </w:rPr>
        <w:t xml:space="preserve">20) Dostawa i wdrożenie platformy XDR oraz świadczenie usługi zarządzania cyberbezpieczeństwem SOC/MDR z wykorzystaniem wdrożonego rozwiązania XDR – 1 komplet;</w:t>
      </w:r>
    </w:p>
    <w:p>
      <w:pPr>
        <w:ind w:left="567"/>
        <w:jc w:val="both"/>
        <w:divId w:val="115218999"/>
        <w:rPr>
          <w:rFonts w:ascii="Arial" w:eastAsia="Arial" w:hAnsi="Arial" w:cs="Arial"/>
          <w:color w:val="000000"/>
        </w:rPr>
      </w:pPr>
      <w:r>
        <w:rPr>
          <w:rFonts w:ascii="Arial" w:eastAsia="Arial" w:hAnsi="Arial" w:cs="Arial"/>
          <w:color w:val="000000"/>
        </w:rPr>
        <w:t xml:space="preserve">21) Dostawa i wdrożenie oprogramowania klasy SIEM wraz z gwarancją i wsparciem technicznym – 1 komplet;</w:t>
      </w:r>
    </w:p>
    <w:p>
      <w:pPr>
        <w:ind w:left="567"/>
        <w:jc w:val="both"/>
        <w:divId w:val="115218999"/>
        <w:rPr>
          <w:rFonts w:ascii="Arial" w:eastAsia="Arial" w:hAnsi="Arial" w:cs="Arial"/>
          <w:color w:val="000000"/>
        </w:rPr>
      </w:pPr>
      <w:r>
        <w:rPr>
          <w:rFonts w:ascii="Arial" w:eastAsia="Arial" w:hAnsi="Arial" w:cs="Arial"/>
          <w:color w:val="000000"/>
        </w:rPr>
        <w:t xml:space="preserve">22) Kompleksowe rozwiązanie klasy Privileged Access Management w modelu licencji wieczystej oraz wsparciem technicznym na 12 miesięcy – 1 komplet;</w:t>
      </w:r>
    </w:p>
    <w:p>
      <w:pPr>
        <w:ind w:left="567"/>
        <w:jc w:val="both"/>
        <w:divId w:val="115218999"/>
        <w:rPr>
          <w:rFonts w:ascii="Arial" w:eastAsia="Arial" w:hAnsi="Arial" w:cs="Arial"/>
          <w:color w:val="000000"/>
        </w:rPr>
      </w:pPr>
      <w:r>
        <w:rPr>
          <w:rFonts w:ascii="Arial" w:eastAsia="Arial" w:hAnsi="Arial" w:cs="Arial"/>
          <w:color w:val="000000"/>
        </w:rPr>
        <w:t xml:space="preserve">23) Dostawa i wdrożenie kompleksowego rozwiązania składającego się z oprogramowania do zarządzania urządzeniami końcowymi i mobilnymi z funkcjonalnością ochrony danych wrażliwych w modelu licencji wieczystej i wsparciem technicznym producenta na 12 miesięcy oraz technologii autentykacji wieloskładnikowej dla użytkowników – 1 komplet;</w:t>
      </w:r>
    </w:p>
    <w:p>
      <w:pPr>
        <w:ind w:left="567"/>
        <w:jc w:val="both"/>
        <w:divId w:val="115218999"/>
        <w:rPr>
          <w:rFonts w:ascii="Arial" w:eastAsia="Arial" w:hAnsi="Arial" w:cs="Arial"/>
          <w:color w:val="000000"/>
        </w:rPr>
      </w:pPr>
      <w:r>
        <w:rPr>
          <w:rFonts w:ascii="Arial" w:eastAsia="Arial" w:hAnsi="Arial" w:cs="Arial"/>
          <w:color w:val="000000"/>
        </w:rPr>
        <w:t xml:space="preserve">24) Usługa kopii zapasowych w chmurze obliczeniowej IT/OT/ICS – 1 usługa.</w:t>
      </w:r>
    </w:p>
    <w:p w14:paraId="5145BF38" w14:textId="77777777" w:rsidR="00495872" w:rsidRDefault="00495872" w:rsidP="00506EE2">
      <w:pPr>
        <w:jc w:val="both"/>
        <w:divId w:val="115218999"/>
        <w:rPr>
          <w:b/>
        </w:rPr>
      </w:pPr>
    </w:p>
    <w:p w14:paraId="02113033" w14:textId="77777777" w:rsidR="00506EE2" w:rsidRDefault="00506EE2" w:rsidP="00506EE2">
      <w:pPr>
        <w:jc w:val="both"/>
        <w:divId w:val="115218999"/>
        <w:rPr>
          <w:b/>
        </w:rPr>
      </w:pPr>
      <w:r>
        <w:rPr>
          <w:rFonts w:ascii="Arial" w:eastAsia="Arial" w:hAnsi="Arial" w:cs="Arial"/>
          <w:color w:val="000000"/>
        </w:rPr>
        <w:t>3. W ramach wynagrodzenia Wykonawca zapewni także wszystkie prace, urządzenia, moduły, okablowanie, nośniki, licencje, konta, certyfikaty, subskrypcje, zasoby chmurowe, transfer danych, integracje, narzędzia, materiały i czynności konieczne do uzyskania kompletnego, bezpiecznego i produkcyjnego rozwiązania, nawet jeżeli nie zostały odrębnie wycenione, o ile wynikają z OPZ, SWZ, oferty, dokumentacji producenta lub profesjonalnego charakteru świadczenia.</w:t>
      </w:r>
    </w:p>
    <w:p w14:paraId="6872D27E" w14:textId="1C8882DB" w:rsidR="00506EE2" w:rsidRDefault="00506EE2" w:rsidP="00506EE2">
      <w:pPr>
        <w:jc w:val="both"/>
        <w:divId w:val="115218999"/>
        <w:rPr>
          <w:b/>
        </w:rPr>
      </w:pPr>
      <w:r>
        <w:rPr>
          <w:rFonts w:ascii="Arial" w:eastAsia="Arial" w:hAnsi="Arial" w:cs="Arial"/>
          <w:color w:val="000000"/>
        </w:rPr>
        <w:t xml:space="preserve">4. Przez „Fazę Wdrożeniową” rozumie się okres od zawarcia Umowy do podpisania Protokołu Odbioru Wdrożenia; przez „Usługi Ciągłe” - usługę kopii zapasowych w chmurze, MDR, SOC oraz inne świadczenia subskrypcyjne lub utrzymaniowe wykonywane po uruchomieniu produkcyjnym; przez „Incydent” - zdarzenie wpływające albo mogące wpłynąć na poufność, integralność, dostępność lub autentyczność informacji, systemu, usługi lub procesu Zamawiającego.</w:t>
      </w:r>
    </w:p>
    <w:p w14:paraId="18020DEF" w14:textId="6D6BA0AD" w:rsidR="00506EE2" w:rsidRDefault="00506EE2" w:rsidP="00506EE2">
      <w:pPr>
        <w:jc w:val="both"/>
        <w:divId w:val="115218999"/>
        <w:rPr>
          <w:b/>
        </w:rPr>
      </w:pPr>
      <w:r>
        <w:rPr>
          <w:rFonts w:ascii="Arial" w:eastAsia="Arial" w:hAnsi="Arial" w:cs="Arial"/>
          <w:color w:val="000000"/>
        </w:rPr>
        <w:lastRenderedPageBreak/>
        <w:t xml:space="preserve">5. Wykonawca dostarczy wyłącznie rozwiązania jednoznacznie wskazane w ofercie przez producenta, model, typ, numer katalogowy, nazwę handlową, wersję, edycję, SKU i model licencjonowania - odpowiednio do przedmiotu. Zmiana zaoferowanego rozwiązania jest dopuszczalna wyłącznie na zasadach § 12.</w:t>
      </w:r>
    </w:p>
    <w:p w14:paraId="21DD525B" w14:textId="77777777" w:rsidR="00506EE2" w:rsidRDefault="00506EE2" w:rsidP="00506EE2">
      <w:pPr>
        <w:jc w:val="both"/>
        <w:divId w:val="115218999"/>
        <w:rPr>
          <w:b/>
        </w:rPr>
      </w:pPr>
      <w:r>
        <w:rPr>
          <w:rFonts w:ascii="Arial" w:eastAsia="Arial" w:hAnsi="Arial" w:cs="Arial"/>
          <w:color w:val="000000"/>
        </w:rPr>
        <w:t xml:space="preserve">6. Sprzęt będzie fabrycznie nowy, nieużywany, kompletny, wolny od wad fizycznych i prawnych, pochodzący z legalnego i autoryzowanego kanału dystrybucji, dopuszczony do obrotu i użytkowania w Polsce oraz bez statusu End of Sale, End of Support lub End of Life, który uniemożliwiałby wymagane wsparcie w okresie Umowy.</w:t>
      </w:r>
    </w:p>
    <w:p w14:paraId="42AD404E" w14:textId="77777777" w:rsidR="00506EE2" w:rsidRDefault="00506EE2" w:rsidP="00506EE2">
      <w:pPr>
        <w:jc w:val="both"/>
        <w:divId w:val="115218999"/>
        <w:rPr>
          <w:b/>
        </w:rPr>
      </w:pPr>
      <w:r>
        <w:rPr>
          <w:rFonts w:ascii="Arial" w:eastAsia="Arial" w:hAnsi="Arial" w:cs="Arial"/>
          <w:color w:val="000000"/>
        </w:rPr>
        <w:t>7. Oprogramowanie, licencje, subskrypcje i usługi będą legalne, aktywne, zarejestrowane na Zamawiającego albo udostępnione mu w sposób zapewniający samodzielne wykonywanie praw administracyjnych, a ich zakres nie może być węższy od OPZ i oferty.</w:t>
      </w:r>
    </w:p>
    <w:p w14:paraId="0B88C29C" w14:textId="77777777" w:rsidR="00506EE2" w:rsidRDefault="00506EE2" w:rsidP="00506EE2">
      <w:pPr>
        <w:jc w:val="both"/>
        <w:divId w:val="115218999"/>
        <w:rPr>
          <w:b/>
        </w:rPr>
      </w:pPr>
      <w:r>
        <w:rPr>
          <w:rFonts w:ascii="Arial" w:eastAsia="Arial" w:hAnsi="Arial" w:cs="Arial"/>
          <w:color w:val="000000"/>
        </w:rPr>
        <w:t>8. Szczegółowy zakres, parametry, standardy, poziomy usług, rezultaty, dokumenty i kryteria odbioru określają, w kolejności pierwszeństwa:</w:t>
      </w:r>
    </w:p>
    <w:p w14:paraId="189E9F16" w14:textId="77777777" w:rsidR="00506EE2" w:rsidRPr="004351FC"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1) Umowa;</w:t>
      </w:r>
    </w:p>
    <w:p w14:paraId="1849BC40" w14:textId="77777777" w:rsidR="00506EE2" w:rsidRPr="004351FC"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2) wyjaśnienia i zmiany SWZ późniejsze od jej pierwotnej treści;</w:t>
      </w:r>
    </w:p>
    <w:p w14:paraId="5FC7B1FF" w14:textId="77777777" w:rsidR="00506EE2" w:rsidRPr="004351FC"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3) SWZ;</w:t>
      </w:r>
    </w:p>
    <w:p w14:paraId="0B04802C" w14:textId="77777777" w:rsidR="00506EE2" w:rsidRPr="004351FC"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4) OPZ dla Części II;</w:t>
      </w:r>
    </w:p>
    <w:p w14:paraId="46B5C71D" w14:textId="77777777" w:rsidR="00506EE2" w:rsidRPr="004351FC"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5) oferta Wykonawcy wraz z Formularzem Oferty i Formularzem Cenowym;</w:t>
      </w:r>
    </w:p>
    <w:p w14:paraId="46A4870A" w14:textId="77777777" w:rsidR="00506EE2" w:rsidRPr="004351FC"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6) zatwierdzony harmonogram, projekt techniczny, matryce integracji, testów i SLA oraz uzgodnienia wykonawcze niewprowadzające zmiany Umowy.</w:t>
      </w:r>
    </w:p>
    <w:p w14:paraId="30DD6CDD" w14:textId="77777777" w:rsidR="00506EE2" w:rsidRDefault="00506EE2" w:rsidP="00506EE2">
      <w:pPr>
        <w:jc w:val="both"/>
        <w:divId w:val="115218999"/>
        <w:rPr>
          <w:b/>
        </w:rPr>
      </w:pPr>
      <w:r>
        <w:rPr>
          <w:rFonts w:ascii="Arial" w:eastAsia="Arial" w:hAnsi="Arial" w:cs="Arial"/>
          <w:color w:val="000000"/>
        </w:rPr>
        <w:t>9. Postanowienia oferty korzystniejsze dla Zamawiającego pozostają wiążące, o ile nie stanowią niedopuszczalnej zmiany zamówienia. W przypadku rozbieżności Wykonawca niezwłocznie wystąpi o interpretację i do czasu jej otrzymania zastosuje rozwiązanie bezpieczniejsze, nieprowadzące do obniżenia wymagań ani zwiększenia wynagrodzenia.</w:t>
      </w:r>
    </w:p>
    <w:p w14:paraId="39A63925" w14:textId="77777777" w:rsidR="00506EE2" w:rsidRDefault="00506EE2" w:rsidP="00506EE2">
      <w:pPr>
        <w:jc w:val="both"/>
        <w:divId w:val="115218999"/>
        <w:rPr>
          <w:b/>
        </w:rPr>
      </w:pPr>
      <w:r>
        <w:rPr>
          <w:rFonts w:ascii="Arial" w:eastAsia="Arial" w:hAnsi="Arial" w:cs="Arial"/>
          <w:color w:val="000000"/>
        </w:rPr>
        <w:t xml:space="preserve">10. Wykonawca odpowiada za dobór, wzajemną kompatybilność, interoperacyjność, wydajność, skalowalność i integrację wszystkich komponentów oraz za zgodność z </w:t>
        <w:lastRenderedPageBreak/>
        <w:t xml:space="preserve">istniejącym środowiskiem Zamawiającego, w tym z systemami IT, OT, ICS, SCADA, siecią, katalogami tożsamości, infrastrukturą wirtualizacyjną i kopiami zapasowymi.</w:t>
      </w:r>
    </w:p>
    <w:p w14:paraId="38EB18A2" w14:textId="77777777" w:rsidR="00506EE2" w:rsidRDefault="00506EE2" w:rsidP="00506EE2">
      <w:pPr>
        <w:jc w:val="both"/>
        <w:divId w:val="115218999"/>
        <w:rPr>
          <w:b/>
        </w:rPr>
      </w:pPr>
      <w:r>
        <w:rPr>
          <w:rFonts w:ascii="Arial" w:eastAsia="Arial" w:hAnsi="Arial" w:cs="Arial"/>
          <w:color w:val="000000"/>
        </w:rPr>
        <w:t>11. Realizacja nie może powodować nieuzgodnionego ograniczenia ciągłości usług wodociągowo-kanalizacyjnych. Każda czynność mogąca wpłynąć na środowisko produkcyjne, OT/ICS/SCADA, segmentację, uwierzytelnianie, łączność, kopie zapasowe lub dostęp uprzywilejowany wymaga zatwierdzonego okna prac, planu wdrożenia i wycofania oraz możliwości niezwłocznego przywrócenia stanu bezpiecznego.</w:t>
      </w:r>
    </w:p>
    <w:p w14:paraId="2E1CD0AD" w14:textId="7A80A5D1" w:rsidR="00506EE2" w:rsidRDefault="00506EE2" w:rsidP="00506EE2">
      <w:pPr>
        <w:jc w:val="both"/>
        <w:divId w:val="115218999"/>
        <w:rPr>
          <w:b/>
        </w:rPr>
      </w:pPr>
      <w:r>
        <w:rPr>
          <w:rFonts w:ascii="Arial" w:eastAsia="Arial" w:hAnsi="Arial" w:cs="Arial"/>
          <w:color w:val="000000"/>
        </w:rPr>
        <w:t xml:space="preserve">12. Umowa jest realizowana w ramach KPO, Priorytet C3 „Cyberbezpieczeństwo”, Inwestycja C3.1.1 „Cyberbezpieczeństwo - CyberPL”, konkurs grantowy „Cyberbezpieczne Wodociągi”, na podstawie umowy o powierzenie grantu nr KPOD.05.10-CW.01-001/25/0505/KPOD.05.10-CW.01-001/25/2026.</w:t>
      </w:r>
    </w:p>
    <w:p w14:paraId="227E3DD0" w14:textId="77777777" w:rsidR="00506EE2" w:rsidRDefault="00506EE2" w:rsidP="00506EE2">
      <w:pPr>
        <w:keepNext/>
        <w:spacing w:before="180" w:after="0"/>
        <w:jc w:val="center"/>
        <w:divId w:val="115218999"/>
        <w:rPr>
          <w:b/>
          <w:bCs/>
        </w:rPr>
      </w:pPr>
      <w:r>
        <w:rPr>
          <w:rFonts w:ascii="Arial" w:eastAsia="Arial" w:hAnsi="Arial" w:cs="Arial"/>
          <w:b/>
          <w:bCs/>
          <w:color w:val="000000"/>
        </w:rPr>
        <w:t>§ 2</w:t>
      </w:r>
    </w:p>
    <w:p w14:paraId="60161A8B" w14:textId="77777777" w:rsidR="00506EE2" w:rsidRDefault="00506EE2" w:rsidP="00506EE2">
      <w:pPr>
        <w:keepNext/>
        <w:spacing w:before="180" w:after="0"/>
        <w:jc w:val="center"/>
        <w:divId w:val="115218999"/>
        <w:rPr>
          <w:rFonts w:ascii="Arial" w:hAnsi="Arial" w:cs="Arial"/>
          <w:b/>
        </w:rPr>
      </w:pPr>
      <w:r>
        <w:rPr>
          <w:rFonts w:ascii="Arial" w:hAnsi="Arial" w:cs="Arial"/>
          <w:b/>
        </w:rPr>
        <w:t>Gwarancja jakości, rękojmia, wsparcie producenta i utrzymanie</w:t>
      </w:r>
    </w:p>
    <w:p w14:paraId="4B05395C" w14:textId="77777777" w:rsidR="00506EE2" w:rsidRDefault="00506EE2" w:rsidP="00506EE2">
      <w:pPr>
        <w:jc w:val="both"/>
        <w:divId w:val="115218999"/>
        <w:rPr>
          <w:b/>
        </w:rPr>
      </w:pPr>
      <w:r>
        <w:rPr>
          <w:rFonts w:ascii="Arial" w:eastAsia="Arial" w:hAnsi="Arial" w:cs="Arial"/>
          <w:color w:val="000000"/>
        </w:rPr>
        <w:t>1. Okresy gwarancji, wsparcia, aktualizacji, subskrypcji i usług liczy się od daty wskazanej w odpowiednim Protokole Odbioru Technicznego albo Protokole Uruchomienia Usługi, chyba że OPZ wyraźnie przewiduje inny moment. Okres nie rozpoczyna biegu przed produkcyjnym uruchomieniem i przekazaniem Zamawiającemu pełnych uprawnień administracyjnych.</w:t>
      </w:r>
    </w:p>
    <w:p w14:paraId="227669B9" w14:textId="573602FD" w:rsidR="00506EE2" w:rsidRDefault="00506EE2" w:rsidP="00506EE2">
      <w:pPr>
        <w:jc w:val="both"/>
        <w:divId w:val="115218999"/>
        <w:rPr>
          <w:rFonts w:ascii="Arial" w:eastAsia="Arial" w:hAnsi="Arial" w:cs="Arial"/>
          <w:color w:val="000000"/>
        </w:rPr>
      </w:pPr>
      <w:r>
        <w:rPr>
          <w:rFonts w:ascii="Arial" w:eastAsia="Arial" w:hAnsi="Arial" w:cs="Arial"/>
          <w:color w:val="000000"/>
        </w:rPr>
        <w:t xml:space="preserve">2. Wykonawca zapewnia gwarancję, wsparcie techniczne oraz świadczenia serwisowe na zasadach, w zakresie i przez okresy określone w OPZ, z zastrzeżeniem zastosowania warunków dłuższych lub korzystniejszych dla Zamawiającego, jeżeli wynikają one z oferty Wykonawcy lub warunków producenta.</w:t>
      </w:r>
    </w:p>
    <w:p w14:paraId="23124A90" w14:textId="77777777" w:rsidR="00BA606E" w:rsidRPr="000F5BA0" w:rsidRDefault="00BA606E" w:rsidP="000F5BA0">
      <w:pPr>
        <w:divId w:val="115218999"/>
        <w:rPr>
          <w:rFonts w:ascii="Arial" w:eastAsia="Arial" w:hAnsi="Arial" w:cs="Arial"/>
          <w:color w:val="000000"/>
        </w:rPr>
      </w:pPr>
      <w:r>
        <w:rPr>
          <w:rFonts w:ascii="Arial" w:eastAsia="Arial" w:hAnsi="Arial" w:cs="Arial"/>
          <w:color w:val="000000"/>
        </w:rPr>
        <w:t>Wymagania, o których mowa powyżej, dotyczą w szczególności:</w:t>
      </w:r>
    </w:p>
    <w:p w14:paraId="14E11EBB"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t>serwerów przeznaczonych do obsługi rozwiązań bezpieczeństwa, systemu wirtualizacji oraz systemu kopii zapasowych;</w:t>
      </w:r>
    </w:p>
    <w:p w14:paraId="1B64BA03"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t>urządzeń NAS oraz macierzy dyskowych;</w:t>
      </w:r>
    </w:p>
    <w:p w14:paraId="0240C2E9"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lastRenderedPageBreak/>
        <w:t>sprzętowych rozwiązań NGFW oraz pozostałych urządzeń bezpieczeństwa;</w:t>
      </w:r>
    </w:p>
    <w:p w14:paraId="09821281"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t xml:space="preserve">zarządzalnych przełączników sieciowych, przełączników PoE oraz punktów dostępowych;</w:t>
      </w:r>
    </w:p>
    <w:p w14:paraId="5E0C98A2"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t xml:space="preserve">systemu wirtualizacyjnego, oprogramowania do wykonywania kopii zapasowych i deduplikacji, systemu SIEM, logowania i monitoringu oraz systemu zarządzania podatnościami;</w:t>
      </w:r>
    </w:p>
    <w:p w14:paraId="24487169"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t>usługi wykonywania kopii zapasowych w chmurze, usługi MDR oraz usługi SOC obejmującej obsługę incydentów i informatykę śledczą;</w:t>
      </w:r>
    </w:p>
    <w:p w14:paraId="0A338949" w14:textId="77777777" w:rsidR="00BA606E" w:rsidRPr="000F5BA0" w:rsidRDefault="00BA606E" w:rsidP="000F5BA0">
      <w:pPr>
        <w:pStyle w:val="Akapitzlist"/>
        <w:numPr>
          <w:ilvl w:val="0"/>
          <w:numId w:val="34"/>
        </w:numPr>
        <w:divId w:val="115218999"/>
        <w:rPr>
          <w:rFonts w:ascii="Arial" w:eastAsia="Arial" w:hAnsi="Arial" w:cs="Arial"/>
          <w:color w:val="000000"/>
        </w:rPr>
      </w:pPr>
      <w:r>
        <w:rPr>
          <w:rFonts w:ascii="Arial" w:eastAsia="Arial" w:hAnsi="Arial" w:cs="Arial"/>
          <w:color w:val="000000"/>
        </w:rPr>
        <w:t xml:space="preserve">prac wdrożeniowych, konfiguracyjnych, integracyjnych i migracyjnych, hardeningu, dokumentacji oraz szkoleń.</w:t>
      </w:r>
    </w:p>
    <w:p w14:paraId="487362D5" w14:textId="77777777" w:rsidR="00AE513F" w:rsidRPr="000F5BA0" w:rsidRDefault="00AE513F" w:rsidP="000F5BA0">
      <w:pPr>
        <w:divId w:val="115218999"/>
        <w:rPr>
          <w:rFonts w:eastAsia="Arial"/>
        </w:rPr>
      </w:pPr>
    </w:p>
    <w:p w14:paraId="1F780BD0" w14:textId="77777777" w:rsidR="00AE513F" w:rsidRPr="000F5BA0" w:rsidRDefault="00AE513F" w:rsidP="000F5BA0">
      <w:pPr>
        <w:divId w:val="115218999"/>
        <w:rPr>
          <w:rFonts w:ascii="Arial" w:eastAsia="Arial" w:hAnsi="Arial" w:cs="Arial"/>
          <w:color w:val="000000"/>
        </w:rPr>
      </w:pPr>
      <w:r>
        <w:rPr>
          <w:rFonts w:ascii="Arial" w:eastAsia="Arial" w:hAnsi="Arial" w:cs="Arial"/>
          <w:color w:val="000000"/>
        </w:rPr>
        <w:t>Szczegółowe warunki gwarancji, wsparcia technicznego, serwisu oraz odpowiedzialności za należyte wykonanie prac określa OPZ. W przypadku rozbieżności zastosowanie mają warunki korzystniejsze dla Zamawiającego.</w:t>
      </w:r>
    </w:p>
    <w:p w14:paraId="1A65907A" w14:textId="77777777" w:rsidR="00AE513F" w:rsidRPr="00BA606E" w:rsidRDefault="00AE513F" w:rsidP="00AE513F">
      <w:pPr>
        <w:pStyle w:val="Default"/>
        <w:divId w:val="115218999"/>
        <w:rPr>
          <w:rFonts w:ascii="Arial" w:eastAsia="Arial" w:hAnsi="Arial" w:cs="Arial"/>
        </w:rPr>
      </w:pPr>
    </w:p>
    <w:p w14:paraId="3DBF83A4" w14:textId="77777777" w:rsidR="00506EE2" w:rsidRPr="000F5BA0" w:rsidRDefault="00506EE2" w:rsidP="00506EE2">
      <w:pPr>
        <w:jc w:val="both"/>
        <w:divId w:val="115218999"/>
        <w:rPr>
          <w:b/>
          <w:highlight w:val="cyan"/>
        </w:rPr>
      </w:pPr>
      <w:r>
        <w:rPr>
          <w:rFonts w:ascii="Arial" w:eastAsia="Arial" w:hAnsi="Arial" w:cs="Arial"/>
          <w:color w:val="000000"/>
          <w:highlight w:val="cyan"/>
        </w:rPr>
        <w:t>3. Wykonawca pozostaje jednym punktem odpowiedzialności wobec Zamawiającego. Odesłanie do producenta, operatora chmury, podwykonawcy lub dystrybutora nie zwalnia z obowiązku przyjęcia zgłoszenia, koordynacji i skutecznego usunięcia wady albo przywrócenia usługi.</w:t>
      </w:r>
    </w:p>
    <w:p w14:paraId="7729F128" w14:textId="77777777" w:rsidR="00506EE2" w:rsidRPr="000F5BA0" w:rsidRDefault="00506EE2" w:rsidP="00506EE2">
      <w:pPr>
        <w:jc w:val="both"/>
        <w:divId w:val="115218999"/>
        <w:rPr>
          <w:b/>
          <w:highlight w:val="cyan"/>
        </w:rPr>
      </w:pPr>
      <w:r>
        <w:rPr>
          <w:rFonts w:ascii="Arial" w:eastAsia="Arial" w:hAnsi="Arial" w:cs="Arial"/>
          <w:color w:val="000000"/>
          <w:highlight w:val="cyan"/>
        </w:rPr>
        <w:t xml:space="preserve">4. W cenie zawarte są wszystkie aktualizacje bezpieczeństwa, sygnatury, bazy reputacyjne, poprawki, nowe wersje objęte wymaganym wsparciem, dostęp do portali producentów, obsługa zgłoszeń oraz czynności konieczne do zachowania gwarancji i zgodności w wymaganych okresach.</w:t>
      </w:r>
    </w:p>
    <w:p w14:paraId="1F158FC8" w14:textId="77777777" w:rsidR="00506EE2" w:rsidRPr="000F5BA0" w:rsidRDefault="00506EE2" w:rsidP="00506EE2">
      <w:pPr>
        <w:jc w:val="both"/>
        <w:divId w:val="115218999"/>
        <w:rPr>
          <w:b/>
          <w:highlight w:val="cyan"/>
        </w:rPr>
      </w:pPr>
      <w:r>
        <w:rPr>
          <w:rFonts w:ascii="Arial" w:eastAsia="Arial" w:hAnsi="Arial" w:cs="Arial"/>
          <w:color w:val="000000"/>
          <w:highlight w:val="cyan"/>
        </w:rPr>
        <w:t>5. Zgłoszenia gwarancyjne i serwisowe są przyjmowane co najmniej drogą elektroniczną i telefonicznie. Dla sprzętu i oprogramowania obowiązują czasy reakcji i naprawy określone w OPZ, warunkach wsparcia producenta i zaakceptowanej matrycy SLA; w razie rozbieżności stosuje się parametr korzystniejszy dla Zamawiającego.</w:t>
      </w:r>
    </w:p>
    <w:p w14:paraId="1939B610" w14:textId="77777777" w:rsidR="00506EE2" w:rsidRDefault="00506EE2" w:rsidP="00506EE2">
      <w:pPr>
        <w:jc w:val="both"/>
        <w:divId w:val="115218999"/>
        <w:rPr>
          <w:b/>
        </w:rPr>
      </w:pPr>
      <w:r>
        <w:rPr>
          <w:rFonts w:ascii="Arial" w:eastAsia="Arial" w:hAnsi="Arial" w:cs="Arial"/>
          <w:color w:val="000000"/>
          <w:highlight w:val="cyan"/>
        </w:rPr>
        <w:lastRenderedPageBreak/>
        <w:t>6. W przypadku awarii krytycznej Wykonawca podejmie działania bez zbędnej zwłoki, zapewni obejście, komponent zastępczy, przywrócenie z kopii albo inną bezpieczną ciągłość funkcji, jeżeli usunięcie przyczyny w czasie SLA nie jest możliwe.</w:t>
      </w:r>
    </w:p>
    <w:p w14:paraId="560A4573" w14:textId="505B4F7B" w:rsidR="00506EE2" w:rsidRDefault="00506EE2" w:rsidP="00506EE2">
      <w:pPr>
        <w:jc w:val="both"/>
        <w:divId w:val="115218999"/>
        <w:rPr>
          <w:b/>
        </w:rPr>
      </w:pPr>
      <w:r>
        <w:rPr>
          <w:rFonts w:ascii="Arial" w:eastAsia="Arial" w:hAnsi="Arial" w:cs="Arial"/>
          <w:color w:val="000000"/>
        </w:rPr>
        <w:t xml:space="preserve">7. Element wymieniony na nowy jest objęty gwarancją od dnia wymiany przez okres nie krótszy niż 12 miesięcy albo pozostały pierwotny okres - zależnie od tego, który jest dłuższy. Okres gwarancji danego elementu przedłuża się o czas jego niesprawności.</w:t>
      </w:r>
    </w:p>
    <w:p w14:paraId="63172B1C" w14:textId="77777777" w:rsidR="00506EE2" w:rsidRDefault="00506EE2" w:rsidP="00506EE2">
      <w:pPr>
        <w:jc w:val="both"/>
        <w:divId w:val="115218999"/>
        <w:rPr>
          <w:b/>
        </w:rPr>
      </w:pPr>
      <w:r>
        <w:rPr>
          <w:rFonts w:ascii="Arial" w:eastAsia="Arial" w:hAnsi="Arial" w:cs="Arial"/>
          <w:color w:val="000000"/>
        </w:rPr>
        <w:t>8. Wykonawca zapewni, że wadliwe nośniki danych pozostają u Zamawiającego, jeżeli wymóg taki wynika z OPZ lub polityki bezpieczeństwa Zamawiającego. W innych przypadkach wywóz nośnika wymaga uprzedniej zgody i bezpiecznego usunięcia danych albo zastosowania procedury zachowania nośnika.</w:t>
      </w:r>
    </w:p>
    <w:p w14:paraId="0ADDC550" w14:textId="77777777" w:rsidR="00506EE2" w:rsidRDefault="00506EE2" w:rsidP="00506EE2">
      <w:pPr>
        <w:jc w:val="both"/>
        <w:divId w:val="115218999"/>
        <w:rPr>
          <w:b/>
        </w:rPr>
      </w:pPr>
      <w:r>
        <w:rPr>
          <w:rFonts w:ascii="Arial" w:eastAsia="Arial" w:hAnsi="Arial" w:cs="Arial"/>
          <w:color w:val="000000"/>
        </w:rPr>
        <w:t>9. Rękojmia nie zostaje wyłączona ani ograniczona. Uprawnienia z gwarancji, rękojmi, SLA, kar umownych i odpowiedzialności odszkodowawczej są od siebie niezależne w granicach prawa, przy czym ta sama szkoda nie podlega podwójnemu naprawieniu.</w:t>
      </w:r>
    </w:p>
    <w:p w14:paraId="78E7565D" w14:textId="77777777" w:rsidR="00506EE2" w:rsidRDefault="00506EE2" w:rsidP="00506EE2">
      <w:pPr>
        <w:keepNext/>
        <w:spacing w:before="180" w:after="0"/>
        <w:jc w:val="center"/>
        <w:divId w:val="115218999"/>
        <w:rPr>
          <w:b/>
          <w:bCs/>
        </w:rPr>
      </w:pPr>
      <w:r>
        <w:rPr>
          <w:rFonts w:ascii="Arial" w:eastAsia="Arial" w:hAnsi="Arial" w:cs="Arial"/>
          <w:b/>
          <w:bCs/>
          <w:color w:val="000000"/>
        </w:rPr>
        <w:t>§ 3</w:t>
      </w:r>
    </w:p>
    <w:p w14:paraId="5DE938DA" w14:textId="77777777" w:rsidR="00506EE2" w:rsidRDefault="00506EE2" w:rsidP="00506EE2">
      <w:pPr>
        <w:keepNext/>
        <w:spacing w:before="180" w:after="0"/>
        <w:jc w:val="center"/>
        <w:divId w:val="115218999"/>
        <w:rPr>
          <w:rFonts w:ascii="Arial" w:hAnsi="Arial" w:cs="Arial"/>
          <w:b/>
        </w:rPr>
      </w:pPr>
      <w:r>
        <w:rPr>
          <w:rFonts w:ascii="Arial" w:hAnsi="Arial" w:cs="Arial"/>
          <w:b/>
        </w:rPr>
        <w:t>Licencje, prawa własności intelektualnej, dane i dokumentacja</w:t>
      </w:r>
    </w:p>
    <w:p w14:paraId="5736E1D4" w14:textId="77777777" w:rsidR="00506EE2" w:rsidRDefault="00506EE2" w:rsidP="00506EE2">
      <w:pPr>
        <w:jc w:val="both"/>
        <w:divId w:val="115218999"/>
        <w:rPr>
          <w:b/>
        </w:rPr>
      </w:pPr>
      <w:r>
        <w:rPr>
          <w:rFonts w:ascii="Arial" w:eastAsia="Arial" w:hAnsi="Arial" w:cs="Arial"/>
          <w:color w:val="000000"/>
        </w:rPr>
        <w:t>1. Wykonawca zapewnia, że korzystanie z całego przedmiotu Umowy zgodnie z przeznaczeniem nie narusza praw osób trzecich i nie wymaga opłat, licencji, urządzeń ani usług innych niż ujęte w wynagrodzeniu.</w:t>
      </w:r>
    </w:p>
    <w:p w14:paraId="6F826BA9" w14:textId="77777777" w:rsidR="00506EE2" w:rsidRDefault="00506EE2" w:rsidP="00506EE2">
      <w:pPr>
        <w:jc w:val="both"/>
        <w:divId w:val="115218999"/>
        <w:rPr>
          <w:b/>
        </w:rPr>
      </w:pPr>
      <w:r>
        <w:rPr>
          <w:rFonts w:ascii="Arial" w:eastAsia="Arial" w:hAnsi="Arial" w:cs="Arial"/>
          <w:color w:val="000000"/>
        </w:rPr>
        <w:t>2. Wykonawca zapewni licencje w modelu i na okres wskazany w OPZ oraz ofercie, obejmujące wszystkie urządzenia, procesory, rdzenie, użytkowników, administratorów, źródła logów, wolumen danych, przepustowość, instancje, środowiska testowe i integracje wymagane do prawidłowego działania. Ograniczenia licencyjne nieujawnione w ofercie nie mogą obciążać Zamawiającego.</w:t>
      </w:r>
    </w:p>
    <w:p w14:paraId="796936F1" w14:textId="77777777" w:rsidR="00506EE2" w:rsidRDefault="00506EE2" w:rsidP="00506EE2">
      <w:pPr>
        <w:jc w:val="both"/>
        <w:divId w:val="115218999"/>
        <w:rPr>
          <w:b/>
        </w:rPr>
      </w:pPr>
      <w:r>
        <w:rPr>
          <w:rFonts w:ascii="Arial" w:eastAsia="Arial" w:hAnsi="Arial" w:cs="Arial"/>
          <w:color w:val="000000"/>
        </w:rPr>
        <w:t xml:space="preserve">3. Licencje bezterminowe pozostają skuteczne po wygaśnięciu wsparcia. Licencje subskrypcyjne obowiązują nieprzerwanie przez pełny okres liczony od produkcyjnej </w:t>
        <w:lastRenderedPageBreak/>
        <w:t>aktywacji, bez skrócenia wskutek wcześniejszej rejestracji przez dystrybutora lub Wykonawcę.</w:t>
      </w:r>
    </w:p>
    <w:p w14:paraId="546DA1D4" w14:textId="77777777" w:rsidR="00506EE2" w:rsidRPr="000F5BA0" w:rsidRDefault="00506EE2" w:rsidP="00506EE2">
      <w:pPr>
        <w:jc w:val="both"/>
        <w:divId w:val="115218999"/>
        <w:rPr>
          <w:rFonts w:ascii="Arial" w:eastAsia="Arial" w:hAnsi="Arial" w:cs="Arial"/>
          <w:color w:val="000000"/>
        </w:rPr>
      </w:pPr>
      <w:r>
        <w:rPr>
          <w:rFonts w:ascii="Arial" w:eastAsia="Arial" w:hAnsi="Arial" w:cs="Arial"/>
          <w:color w:val="000000"/>
        </w:rPr>
        <w:t xml:space="preserve">4. Wykonawca przekaże Zamawiającemu konta właścicielskie, klucze, certyfikaty, tokeny odzyskiwania, pliki instalacyjne, obrazy, konfiguracje, kopie polityk, dane dostępowe do portali producentów i instrukcje umożliwiające samodzielne zarządzanie. Niedopuszczalne jest uzależnienie administracji od konta osobistego pracownika Wykonawcy. Dane uwierzytelniające i kody odzyskiwania zostaną przekazane zaszyfrowanym kanałem odrębnym od dokumentacji oraz potwierdzone protokołem, bez ujawniania ich treści w protokole.</w:t>
      </w:r>
    </w:p>
    <w:p w14:paraId="0CE6199C" w14:textId="77777777" w:rsidR="00506EE2" w:rsidRDefault="00506EE2" w:rsidP="00506EE2">
      <w:pPr>
        <w:jc w:val="both"/>
        <w:divId w:val="115218999"/>
        <w:rPr>
          <w:b/>
        </w:rPr>
      </w:pPr>
      <w:r>
        <w:rPr>
          <w:rFonts w:ascii="Arial" w:eastAsia="Arial" w:hAnsi="Arial" w:cs="Arial"/>
          <w:color w:val="000000"/>
        </w:rPr>
        <w:t>5. Wszelkie dane, logi, alarmy, konfiguracje, raporty, obrazy kopii zapasowych, wyniki skanów, materiał dowodowy i metadane powstałe w toku realizacji stanowią dane Zamawiającego. Wykonawca nie nabywa praw do ich wykorzystywania poza wykonaniem Umowy, w szczególności do profilowania, marketingu, trenowania modeli lub wzbogacania zewnętrznych baz danych.</w:t>
      </w:r>
    </w:p>
    <w:p w14:paraId="7271361C" w14:textId="77777777" w:rsidR="00506EE2" w:rsidRPr="000F5BA0" w:rsidRDefault="00506EE2" w:rsidP="00506EE2">
      <w:pPr>
        <w:jc w:val="both"/>
        <w:divId w:val="115218999"/>
        <w:rPr>
          <w:b/>
          <w:highlight w:val="cyan"/>
        </w:rPr>
      </w:pPr>
      <w:r>
        <w:rPr>
          <w:rFonts w:ascii="Arial" w:eastAsia="Arial" w:hAnsi="Arial" w:cs="Arial"/>
          <w:color w:val="000000"/>
          <w:highlight w:val="cyan"/>
        </w:rPr>
        <w:t>6. Wykonawca zapewni eksport danych i konfiguracji w powszechnie używanych, udokumentowanych formatach, bez opłat wyjścia innych niż jednoznacznie ujęte w Formularzu Cenowym. Eksport obejmuje także mapowanie pól, znaczniki czasu, sumy kontrolne i informacje niezbędne do zachowania użyteczności danych.</w:t>
      </w:r>
    </w:p>
    <w:p w14:paraId="7C35B21A" w14:textId="77777777" w:rsidR="00506EE2" w:rsidRDefault="00506EE2" w:rsidP="00506EE2">
      <w:pPr>
        <w:jc w:val="both"/>
        <w:divId w:val="115218999"/>
        <w:rPr>
          <w:b/>
        </w:rPr>
      </w:pPr>
      <w:r>
        <w:rPr>
          <w:rFonts w:ascii="Arial" w:eastAsia="Arial" w:hAnsi="Arial" w:cs="Arial"/>
          <w:color w:val="000000"/>
          <w:highlight w:val="cyan"/>
        </w:rPr>
        <w:t xml:space="preserve">7. Do dokumentacji, skryptów, reguł korelacyjnych, playbooków, szablonów raportów, schematów, polityk i innych utworów opracowanych specjalnie dla Zamawiającego Wykonawca przenosi, z chwilą odbioru i w ramach wynagrodzenia, autorskie prawa majątkowe bez ograniczeń terytorialnych i czasowych na polach: utrwalanie, zwielokrotnianie, wprowadzanie do pamięci i sieci, modyfikowanie, łączenie, wewnętrzne udostępnianie oraz przekazywanie serwisantom, audytorom, organom i następcom utrzymaniowym z zachowaniem poufności.</w:t>
      </w:r>
    </w:p>
    <w:p w14:paraId="32FE78DF" w14:textId="77777777" w:rsidR="00506EE2" w:rsidRDefault="00506EE2" w:rsidP="00506EE2">
      <w:pPr>
        <w:jc w:val="both"/>
        <w:divId w:val="115218999"/>
        <w:rPr>
          <w:b/>
        </w:rPr>
      </w:pPr>
      <w:r>
        <w:rPr>
          <w:rFonts w:ascii="Arial" w:eastAsia="Arial" w:hAnsi="Arial" w:cs="Arial"/>
          <w:color w:val="000000"/>
        </w:rPr>
        <w:t xml:space="preserve">8. Prawa do standardowego oprogramowania producentów są udzielane na zasadach licencyjnych producenta, które nie mogą być sprzeczne z OPZ, ofertą i Umową. Wykonawca przekaże pełną treść warunków licencyjnych przed aktywacją, a ich </w:t>
        <w:lastRenderedPageBreak/>
        <w:t>jednostronna późniejsza zmiana nie może ograniczyć praw nabytych przez Zamawiającego.</w:t>
      </w:r>
    </w:p>
    <w:p w14:paraId="676FCC5D" w14:textId="77777777" w:rsidR="00506EE2" w:rsidRDefault="00506EE2" w:rsidP="00506EE2">
      <w:pPr>
        <w:jc w:val="both"/>
        <w:divId w:val="115218999"/>
        <w:rPr>
          <w:b/>
        </w:rPr>
      </w:pPr>
      <w:r>
        <w:rPr>
          <w:rFonts w:ascii="Arial" w:eastAsia="Arial" w:hAnsi="Arial" w:cs="Arial"/>
          <w:color w:val="000000"/>
          <w:highlight w:val="cyan"/>
        </w:rPr>
        <w:t>9. Dokumentacja będzie przekazana w języku polskim, w PDF, a dokumenty wytworzone przez Wykonawcę również w formatach edytowalnych. Obejmuje co najmniej: architekturę fizyczną i logiczną, inwentaryzację sprzętu i licencji, adresację i zależności, konfiguracje i polityki, matryce uprawnień i przepływów, procedury operacyjne, kopii i odtwarzania, reagowania i eskalacji, instrukcje, protokoły testów, wykaz kont i integracji, rejestr zmian, procedurę awaryjnego wycofania oraz dokumentację powykonawczą wymaganą OPZ.</w:t>
      </w:r>
    </w:p>
    <w:p w14:paraId="47000552" w14:textId="77777777" w:rsidR="00506EE2" w:rsidRDefault="00506EE2" w:rsidP="00506EE2">
      <w:pPr>
        <w:jc w:val="both"/>
        <w:divId w:val="115218999"/>
        <w:rPr>
          <w:b/>
        </w:rPr>
      </w:pPr>
      <w:r>
        <w:rPr>
          <w:rFonts w:ascii="Arial" w:eastAsia="Arial" w:hAnsi="Arial" w:cs="Arial"/>
          <w:color w:val="000000"/>
        </w:rPr>
        <w:t>10. W razie roszczenia osoby trzeciej albo utraty prawa korzystania Wykonawca, na własny koszt i bez przerwy w świadczeniu, zapewni dalsze legalne korzystanie albo rozwiązanie co najmniej równoważne oraz naprawi szkodę wynikającą z naruszenia swoich zapewnień.</w:t>
      </w:r>
    </w:p>
    <w:p w14:paraId="66D8E617" w14:textId="77777777" w:rsidR="00506EE2" w:rsidRDefault="00506EE2" w:rsidP="00506EE2">
      <w:pPr>
        <w:keepNext/>
        <w:spacing w:before="180" w:after="0"/>
        <w:jc w:val="center"/>
        <w:divId w:val="115218999"/>
        <w:rPr>
          <w:b/>
          <w:bCs/>
        </w:rPr>
      </w:pPr>
      <w:r>
        <w:rPr>
          <w:rFonts w:ascii="Arial" w:eastAsia="Arial" w:hAnsi="Arial" w:cs="Arial"/>
          <w:b/>
          <w:bCs/>
          <w:color w:val="000000"/>
        </w:rPr>
        <w:t>§ 4</w:t>
      </w:r>
    </w:p>
    <w:p w14:paraId="29FFEF40" w14:textId="77777777" w:rsidR="00506EE2" w:rsidRDefault="00506EE2" w:rsidP="00506EE2">
      <w:pPr>
        <w:keepNext/>
        <w:spacing w:before="180" w:after="0"/>
        <w:jc w:val="center"/>
        <w:divId w:val="115218999"/>
        <w:rPr>
          <w:rFonts w:ascii="Arial" w:hAnsi="Arial" w:cs="Arial"/>
          <w:b/>
        </w:rPr>
      </w:pPr>
      <w:r>
        <w:rPr>
          <w:rFonts w:ascii="Arial" w:hAnsi="Arial" w:cs="Arial"/>
          <w:b/>
        </w:rPr>
        <w:t>Termin, harmonogram i okresy świadczenia usług</w:t>
      </w:r>
    </w:p>
    <w:p w14:paraId="5A8A3D7E" w14:textId="3BE649D7" w:rsidR="00506EE2" w:rsidRDefault="00506EE2" w:rsidP="00506EE2">
      <w:pPr>
        <w:jc w:val="both"/>
        <w:divId w:val="115218999"/>
        <w:rPr>
          <w:b/>
        </w:rPr>
      </w:pPr>
      <w:r>
        <w:rPr>
          <w:rFonts w:ascii="Arial" w:eastAsia="Arial" w:hAnsi="Arial" w:cs="Arial"/>
          <w:color w:val="000000"/>
        </w:rPr>
        <w:t>1</w:t>
      </w:r>
      <w:r>
        <w:rPr>
          <w:rFonts w:ascii="Arial" w:eastAsia="Arial" w:hAnsi="Arial" w:cs="Arial"/>
          <w:color w:val="000000"/>
          <w:highlight w:val="yellow"/>
        </w:rPr>
        <w:t>. Wykonawca zakończy Fazę Wdrożeniową i doprowadzi ją do podpisania Protokołu Odbioru Wdrożenia w terminie do 45 dni kalendarzowych od dnia zawarcia Umowy, nie później jednak niż do dnia 30.12.2026 r.</w:t>
      </w:r>
    </w:p>
    <w:p w14:paraId="04660369" w14:textId="77777777" w:rsidR="00506EE2" w:rsidRDefault="00506EE2" w:rsidP="00506EE2">
      <w:pPr>
        <w:jc w:val="both"/>
        <w:divId w:val="115218999"/>
        <w:rPr>
          <w:b/>
        </w:rPr>
      </w:pPr>
      <w:r>
        <w:rPr>
          <w:rFonts w:ascii="Arial" w:eastAsia="Arial" w:hAnsi="Arial" w:cs="Arial"/>
          <w:color w:val="000000"/>
        </w:rPr>
        <w:t xml:space="preserve">2. W terminie 7 dni od zawarcia Umowy Wykonawca przedłoży harmonogram oraz plan projektu obejmujące co najmniej: analizę przedwdrożeniową, dostawy, aktywacje licencji, projekt techniczny, integracje, migracje, hardening, testy, szkolenia, odbiory, uruchomienie Usług Ciągłych oraz terminy przekazywania dokumentacji.</w:t>
      </w:r>
    </w:p>
    <w:p w14:paraId="589D978E" w14:textId="77777777" w:rsidR="00506EE2" w:rsidRDefault="00506EE2" w:rsidP="00506EE2">
      <w:pPr>
        <w:jc w:val="both"/>
        <w:divId w:val="115218999"/>
        <w:rPr>
          <w:b/>
        </w:rPr>
      </w:pPr>
      <w:r>
        <w:rPr>
          <w:rFonts w:ascii="Arial" w:eastAsia="Arial" w:hAnsi="Arial" w:cs="Arial"/>
          <w:color w:val="000000"/>
        </w:rPr>
        <w:t xml:space="preserve">3. W terminie 10 dni od zawarcia Umowy Wykonawca przedłoży do zatwierdzenia projekt architektury i plan bezpieczeństwa wdrożenia, w tym wykaz zależności, portów i protokołów, kont i uprawnień, plan zmian, kopii bezpieczeństwa, rollbacku, testów, komunikacji i eskalacji.</w:t>
      </w:r>
    </w:p>
    <w:p w14:paraId="30CBF635" w14:textId="0DD2E29A" w:rsidR="00506EE2" w:rsidRDefault="00506EE2" w:rsidP="00506EE2">
      <w:pPr>
        <w:jc w:val="both"/>
        <w:divId w:val="115218999"/>
        <w:rPr>
          <w:b/>
        </w:rPr>
      </w:pPr>
      <w:r>
        <w:rPr>
          <w:rFonts w:ascii="Arial" w:eastAsia="Arial" w:hAnsi="Arial" w:cs="Arial"/>
          <w:color w:val="000000"/>
        </w:rPr>
        <w:lastRenderedPageBreak/>
        <w:t xml:space="preserve">4. Wykonawca zawiadomi o dostawie co najmniej 3 dni robocze wcześniej, a o zmianie w środowisku produkcyjnym lub czynności mogącej wpłynąć na dostępność - co najmniej 5 dni roboczych wcześniej, chyba że zatwierdzona procedura awaryjna wymaga działania natychmiastowego.</w:t>
      </w:r>
    </w:p>
    <w:p w14:paraId="1BB11E02" w14:textId="42E3042A" w:rsidR="00506EE2" w:rsidRPr="00F50CF3" w:rsidRDefault="00506EE2" w:rsidP="00506EE2">
      <w:pPr>
        <w:jc w:val="both"/>
        <w:divId w:val="115218999"/>
        <w:rPr>
          <w:b/>
        </w:rPr>
      </w:pPr>
      <w:r>
        <w:rPr>
          <w:rFonts w:ascii="Arial" w:eastAsia="Arial" w:hAnsi="Arial" w:cs="Arial"/>
          <w:color w:val="000000"/>
        </w:rPr>
        <w:t xml:space="preserve">5. Usługi Ciągłe rozpoczynają się w dniu wskazanym w Protokole Uruchomienia Usługi, po pozytywnym zakończeniu testów oraz przekazaniu wymaganej dokumentacji, i są świadczone przez okresy oraz na zasadach określonych w OPZ.</w:t>
      </w:r>
    </w:p>
    <w:p w14:paraId="43B6576B" w14:textId="77777777" w:rsidR="00F50CF3" w:rsidRPr="00F50CF3" w:rsidRDefault="00F50CF3" w:rsidP="00F50CF3">
      <w:pPr>
        <w:jc w:val="both"/>
        <w:divId w:val="115218999"/>
        <w:rPr>
          <w:rFonts w:ascii="Arial" w:eastAsia="Arial" w:hAnsi="Arial" w:cs="Arial"/>
          <w:color w:val="000000"/>
        </w:rPr>
      </w:pPr>
      <w:r>
        <w:rPr>
          <w:rFonts w:ascii="Arial" w:eastAsia="Arial" w:hAnsi="Arial" w:cs="Arial"/>
          <w:color w:val="000000"/>
        </w:rPr>
        <w:t>Szczegółowy zakres, warunki rozpoczęcia, okres świadczenia oraz wymagany poziom poszczególnych Usług Ciągłych określa OPZ, z zastrzeżeniem zastosowania warunków korzystniejszych dla Zamawiającego, jeżeli wynikają one z oferty Wykonawcy.</w:t>
      </w:r>
    </w:p>
    <w:p w14:paraId="1D85E08E" w14:textId="77777777" w:rsidR="00506EE2" w:rsidRDefault="00506EE2" w:rsidP="00506EE2">
      <w:pPr>
        <w:jc w:val="both"/>
        <w:divId w:val="115218999"/>
        <w:rPr>
          <w:b/>
        </w:rPr>
      </w:pPr>
      <w:r>
        <w:rPr>
          <w:rFonts w:ascii="Arial" w:eastAsia="Arial" w:hAnsi="Arial" w:cs="Arial"/>
          <w:color w:val="000000"/>
        </w:rPr>
        <w:t>6. Okresy, o których mowa w ust. 5, muszą obejmować pełne okresy kalendarzowe świadczenia; wcześniejsza aktywacja techniczna, rejestracja u producenta lub okres pilotażowy nie pomniejszają okresu należnego Zamawiającemu.</w:t>
      </w:r>
    </w:p>
    <w:p w14:paraId="34045BF6" w14:textId="77777777" w:rsidR="00506EE2" w:rsidRDefault="00506EE2" w:rsidP="00506EE2">
      <w:pPr>
        <w:jc w:val="both"/>
        <w:divId w:val="115218999"/>
        <w:rPr>
          <w:b/>
        </w:rPr>
      </w:pPr>
      <w:r>
        <w:rPr>
          <w:rFonts w:ascii="Arial" w:eastAsia="Arial" w:hAnsi="Arial" w:cs="Arial"/>
          <w:color w:val="000000"/>
        </w:rPr>
        <w:t>7. Akceptacja harmonogramu, projektu albo okna prac nie zwalnia Wykonawcy z odpowiedzialności za termin, prawidłowość i bezpieczeństwo. Wykonawca niezwłocznie zgłosi ryzyko, określi wpływ i przedstawi plan naprawczy.</w:t>
      </w:r>
    </w:p>
    <w:p w14:paraId="2648C4EF" w14:textId="77777777" w:rsidR="00506EE2" w:rsidRDefault="00506EE2" w:rsidP="00506EE2">
      <w:pPr>
        <w:keepNext/>
        <w:spacing w:before="180" w:after="0"/>
        <w:jc w:val="center"/>
        <w:divId w:val="115218999"/>
        <w:rPr>
          <w:b/>
          <w:bCs/>
        </w:rPr>
      </w:pPr>
      <w:r>
        <w:rPr>
          <w:rFonts w:ascii="Arial" w:eastAsia="Arial" w:hAnsi="Arial" w:cs="Arial"/>
          <w:b/>
          <w:bCs/>
          <w:color w:val="000000"/>
        </w:rPr>
        <w:t>§ 5</w:t>
      </w:r>
    </w:p>
    <w:p w14:paraId="50B7D320" w14:textId="77777777" w:rsidR="00506EE2" w:rsidRDefault="00506EE2" w:rsidP="00506EE2">
      <w:pPr>
        <w:keepNext/>
        <w:spacing w:before="180" w:after="0"/>
        <w:jc w:val="center"/>
        <w:divId w:val="115218999"/>
        <w:rPr>
          <w:rFonts w:ascii="Arial" w:hAnsi="Arial" w:cs="Arial"/>
          <w:b/>
        </w:rPr>
      </w:pPr>
      <w:r>
        <w:rPr>
          <w:rFonts w:ascii="Arial" w:hAnsi="Arial" w:cs="Arial"/>
          <w:b/>
        </w:rPr>
        <w:t>Dostawa, wdrożenie, testy i odbiory</w:t>
      </w:r>
    </w:p>
    <w:p w14:paraId="372B4559" w14:textId="77777777" w:rsidR="00506EE2" w:rsidRDefault="00506EE2" w:rsidP="00506EE2">
      <w:pPr>
        <w:jc w:val="both"/>
        <w:divId w:val="115218999"/>
        <w:rPr>
          <w:b/>
        </w:rPr>
      </w:pPr>
      <w:r>
        <w:rPr>
          <w:rFonts w:ascii="Arial" w:eastAsia="Arial" w:hAnsi="Arial" w:cs="Arial"/>
          <w:color w:val="000000"/>
          <w:highlight w:val="cyan"/>
        </w:rPr>
        <w:t>1. Realizacja podlega, odpowiednio do zakresu:</w:t>
      </w:r>
    </w:p>
    <w:p w14:paraId="12102F31"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1) odbiorowi ilościowemu dostaw;</w:t>
      </w:r>
    </w:p>
    <w:p w14:paraId="11EF25B3"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2) odbiorom technicznym komponentów;</w:t>
      </w:r>
    </w:p>
    <w:p w14:paraId="1E85EEAA"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3) odbiorom częściowym etapów lub grup funkcjonalnych;</w:t>
      </w:r>
    </w:p>
    <w:p w14:paraId="1321B0CC"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4) odbiorowi wdrożenia;</w:t>
      </w:r>
    </w:p>
    <w:p w14:paraId="0E884F10"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5) uruchomieniu i odbiorowi każdej Usługi Ciągłej;</w:t>
      </w:r>
    </w:p>
    <w:p w14:paraId="1E4DE132"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6) okresowym odbiorom należytego świadczenia Usług Ciągłych;</w:t>
      </w:r>
    </w:p>
    <w:p w14:paraId="2CC50079" w14:textId="77777777" w:rsidR="00506EE2" w:rsidRPr="001F550F"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lastRenderedPageBreak/>
        <w:t>7) odbiorowi końcowemu po zakończeniu ostatniej Usługi Ciągłej i wykonaniu obowiązków wyjścia.</w:t>
      </w:r>
    </w:p>
    <w:p w14:paraId="1CAFFC79" w14:textId="77777777" w:rsidR="00506EE2" w:rsidRDefault="00506EE2" w:rsidP="00506EE2">
      <w:pPr>
        <w:jc w:val="both"/>
        <w:divId w:val="115218999"/>
        <w:rPr>
          <w:b/>
        </w:rPr>
      </w:pPr>
      <w:r>
        <w:rPr>
          <w:rFonts w:ascii="Arial" w:eastAsia="Arial" w:hAnsi="Arial" w:cs="Arial"/>
          <w:color w:val="000000"/>
        </w:rPr>
        <w:t>2. Odbiór ilościowy potwierdza wyłącznie liczbę opakowań lub urządzeń i widoczne uszkodzenia transportowe. Nie potwierdza parametrów, kompletności, legalności licencji, bezpieczeństwa ani prawidłowego działania.</w:t>
      </w:r>
    </w:p>
    <w:p w14:paraId="2675719F" w14:textId="59B1FD70" w:rsidR="00506EE2" w:rsidRPr="000F5BA0" w:rsidRDefault="00506EE2" w:rsidP="00506EE2">
      <w:pPr>
        <w:jc w:val="both"/>
        <w:divId w:val="115218999"/>
        <w:rPr>
          <w:b/>
          <w:highlight w:val="cyan"/>
        </w:rPr>
      </w:pPr>
      <w:r>
        <w:rPr>
          <w:rFonts w:ascii="Arial" w:eastAsia="Arial" w:hAnsi="Arial" w:cs="Arial"/>
          <w:color w:val="000000"/>
          <w:highlight w:val="cyan"/>
        </w:rPr>
        <w:t xml:space="preserve">3. Przed rozpoczęciem zmian Wykonawca wykona inwentaryzację, kopię konfiguracji oraz - jeżeli dotyczy - kopię danych umożliwiającą odtworzenie, a następnie uzyska akceptację planu wdrożenia i wycofania. Wykonawca nie będzie testował mechanizmów destrukcyjnych lub zakłócających bez odrębnej zgody.</w:t>
      </w:r>
    </w:p>
    <w:p w14:paraId="02949511" w14:textId="746AD557" w:rsidR="00506EE2" w:rsidRPr="000F5BA0" w:rsidRDefault="00506EE2" w:rsidP="00506EE2">
      <w:pPr>
        <w:jc w:val="both"/>
        <w:divId w:val="115218999"/>
        <w:rPr>
          <w:b/>
          <w:highlight w:val="cyan"/>
        </w:rPr>
      </w:pPr>
      <w:r>
        <w:rPr>
          <w:rFonts w:ascii="Arial" w:eastAsia="Arial" w:hAnsi="Arial" w:cs="Arial"/>
          <w:color w:val="000000"/>
          <w:highlight w:val="cyan"/>
        </w:rPr>
        <w:t xml:space="preserve">4. Odbiór wdrożenia wymaga co najmniej: kompletnej dostawy i aktywacji; konfiguracji i integracji; hardeningu; pozytywnych testów funkcjonalnych, wydajnościowych, bezpieczeństwa, odtwarzania i wysokiej dostępności - w zakresie wymaganym OPZ; przeprowadzenia szkoleń; przekazania dokumentacji; usunięcia wad istotnych oraz uruchomienia Usług Ciągłych wymaganych dla produkcyjnego działania.</w:t>
      </w:r>
    </w:p>
    <w:p w14:paraId="19275869" w14:textId="77777777" w:rsidR="00506EE2" w:rsidRDefault="00506EE2" w:rsidP="00506EE2">
      <w:pPr>
        <w:jc w:val="both"/>
        <w:divId w:val="115218999"/>
        <w:rPr>
          <w:b/>
        </w:rPr>
      </w:pPr>
      <w:r>
        <w:rPr>
          <w:rFonts w:ascii="Arial" w:eastAsia="Arial" w:hAnsi="Arial" w:cs="Arial"/>
          <w:color w:val="000000"/>
          <w:highlight w:val="cyan"/>
        </w:rPr>
        <w:t>5. Testy obejmują w szczególności, odpowiednio do rozwiązania:</w:t>
      </w:r>
    </w:p>
    <w:p w14:paraId="15778692"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1) identyfikację modeli, wersji, licencji, numerów seryjnych i zgodności parametrów;</w:t>
      </w:r>
    </w:p>
    <w:p w14:paraId="25725207"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2) poprawność segmentacji, VLAN, MACsec, 802.1X, RADIUS, polityk dostępu i izolacji ruchu, w tym próbę niedozwolonego ruchu bocznego;</w:t>
      </w:r>
    </w:p>
    <w:p w14:paraId="2DC198DB"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3) działanie EDR/EPP/XDR, WAF, NDR, NGFW/IPS/IDS, SIEM i korelacji zdarzeń z wykorzystaniem bezpiecznych scenariuszy testowych;</w:t>
      </w:r>
    </w:p>
    <w:p w14:paraId="7711D9E1"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4) integrację z katalogami, MFA, PAM/IAM, MDM, DLP, systemami aktualizacji i mechanizmami rozliczalności;</w:t>
      </w:r>
    </w:p>
    <w:p w14:paraId="02E08228"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5) kopie pełne i przyrostowe, retencję, niezmienność, szyfrowanie, test odtworzenia oraz czasy i integralność odtworzenia;</w:t>
      </w:r>
    </w:p>
    <w:p w14:paraId="79EDDDEB"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6) rejestrację logów, synchronizację czasu, integralność i retencję, dashboardy, raporty, alerty, eskalację i przekazanie do MDR/SOC;</w:t>
      </w:r>
    </w:p>
    <w:p w14:paraId="356772B7" w14:textId="7FACA050"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7) wydajność, przepustowość, obciążenie, redundancję, failover i zachowanie w razie awarii - jeżeli wymagane OPZ;</w:t>
      </w:r>
    </w:p>
    <w:p w14:paraId="5CA8A813" w14:textId="77777777" w:rsidR="00506EE2" w:rsidRPr="00FC6422"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highlight w:val="cyan"/>
        </w:rPr>
        <w:lastRenderedPageBreak/>
        <w:t>8) uprawnienia administracyjne, konta właścicielskie, odzyskiwanie dostępu, brak haseł domyślnych, nieudokumentowanych kont i stałych tuneli serwisowych.</w:t>
      </w:r>
    </w:p>
    <w:p w14:paraId="4D44D9B0" w14:textId="77777777" w:rsidR="00506EE2" w:rsidRDefault="00506EE2" w:rsidP="00506EE2">
      <w:pPr>
        <w:jc w:val="both"/>
        <w:divId w:val="115218999"/>
        <w:rPr>
          <w:b/>
        </w:rPr>
      </w:pPr>
      <w:r>
        <w:rPr>
          <w:rFonts w:ascii="Arial" w:eastAsia="Arial" w:hAnsi="Arial" w:cs="Arial"/>
          <w:color w:val="000000"/>
        </w:rPr>
        <w:t>6. Wykonawca zapewni narzędzia, licencje testowe, aparaturę, personel i bezpieczne dane testowe. Próby nie mogą naruszać produkcyjnych danych ani ciągłości działania; wykorzystanie danych rzeczywistych wymaga zgody i minimalizacji.</w:t>
      </w:r>
    </w:p>
    <w:p w14:paraId="65600748" w14:textId="77777777" w:rsidR="00506EE2" w:rsidRPr="000F5BA0" w:rsidRDefault="00506EE2" w:rsidP="00506EE2">
      <w:pPr>
        <w:jc w:val="both"/>
        <w:divId w:val="115218999"/>
        <w:rPr>
          <w:b/>
          <w:highlight w:val="cyan"/>
        </w:rPr>
      </w:pPr>
      <w:r>
        <w:rPr>
          <w:rFonts w:ascii="Arial" w:eastAsia="Arial" w:hAnsi="Arial" w:cs="Arial"/>
          <w:color w:val="000000"/>
          <w:highlight w:val="cyan"/>
        </w:rPr>
        <w:t xml:space="preserve">7. Najpóźniej wraz ze zgłoszeniem odbioru Wykonawca przekaże macierz zgodności OPZ wskazującą dowód spełnienia każdego wymagania, wykaz urządzeń i licencji, protokoły testów, raport hardeningu, raport podatności po wdrożeniu, dokumentację powykonawczą, dokumenty producentów, certyfikaty i deklaracje wymagane OPZ oraz wykaz otwartych ryzyk zaakceptowanych przez Zamawiającego.</w:t>
      </w:r>
    </w:p>
    <w:p w14:paraId="300446E6" w14:textId="77777777" w:rsidR="00506EE2" w:rsidRPr="000F5BA0" w:rsidRDefault="00506EE2" w:rsidP="00506EE2">
      <w:pPr>
        <w:jc w:val="both"/>
        <w:divId w:val="115218999"/>
        <w:rPr>
          <w:b/>
          <w:highlight w:val="cyan"/>
        </w:rPr>
      </w:pPr>
      <w:r>
        <w:rPr>
          <w:rFonts w:ascii="Arial" w:eastAsia="Arial" w:hAnsi="Arial" w:cs="Arial"/>
          <w:color w:val="000000"/>
          <w:highlight w:val="cyan"/>
        </w:rPr>
        <w:t>8. Zamawiający w terminie 7 dni roboczych od kompletnego zgłoszenia podpisze protokół albo przekaże wykaz wad i braków. Zgłoszenie niekompletne nie rozpoczyna terminu. Brak odpowiedzi nie oznacza odbioru milczącego.</w:t>
      </w:r>
    </w:p>
    <w:p w14:paraId="2F20B50E" w14:textId="77777777" w:rsidR="00506EE2" w:rsidRPr="000F5BA0" w:rsidRDefault="00506EE2" w:rsidP="00506EE2">
      <w:pPr>
        <w:jc w:val="both"/>
        <w:divId w:val="115218999"/>
        <w:rPr>
          <w:b/>
          <w:highlight w:val="cyan"/>
        </w:rPr>
      </w:pPr>
      <w:r>
        <w:rPr>
          <w:rFonts w:ascii="Arial" w:eastAsia="Arial" w:hAnsi="Arial" w:cs="Arial"/>
          <w:color w:val="000000"/>
          <w:highlight w:val="cyan"/>
        </w:rPr>
        <w:t>9. Wada istotna, brak wymaganej funkcji, licencji, dokumentu, bezpieczeństwa, integracji lub pozytywnego testu uprawnia do odmowy odbioru. Wady nieistotne mogą zostać ujęte w protokole z terminem usunięcia, o ile nie wpływają na bezpieczeństwo, funkcjonalność, kwalifikowalność wydatku ani możliwość eksploatacji.</w:t>
      </w:r>
    </w:p>
    <w:p w14:paraId="14CEA937" w14:textId="77777777" w:rsidR="00506EE2" w:rsidRDefault="00506EE2" w:rsidP="00506EE2">
      <w:pPr>
        <w:jc w:val="both"/>
        <w:divId w:val="115218999"/>
        <w:rPr>
          <w:b/>
        </w:rPr>
      </w:pPr>
      <w:r>
        <w:rPr>
          <w:rFonts w:ascii="Arial" w:eastAsia="Arial" w:hAnsi="Arial" w:cs="Arial"/>
          <w:color w:val="000000"/>
          <w:highlight w:val="cyan"/>
        </w:rPr>
        <w:t>10. Odbiór nie wyłącza odpowiedzialności za wady ukryte, błędną konfigurację, niezgodność licencyjną, podatności wynikające z nienależytego wdrożenia, brak wymaganych funkcji albo naruszenie praw osób trzecich.</w:t>
      </w:r>
    </w:p>
    <w:p w14:paraId="573E4F43" w14:textId="77777777" w:rsidR="00506EE2" w:rsidRDefault="00506EE2" w:rsidP="00506EE2">
      <w:pPr>
        <w:keepNext/>
        <w:spacing w:before="180" w:after="0"/>
        <w:jc w:val="center"/>
        <w:divId w:val="115218999"/>
        <w:rPr>
          <w:b/>
          <w:bCs/>
        </w:rPr>
      </w:pPr>
      <w:r>
        <w:rPr>
          <w:rFonts w:ascii="Arial" w:eastAsia="Arial" w:hAnsi="Arial" w:cs="Arial"/>
          <w:b/>
          <w:bCs/>
          <w:color w:val="000000"/>
        </w:rPr>
        <w:t>§ 5a</w:t>
      </w:r>
    </w:p>
    <w:p w14:paraId="0C73A498" w14:textId="77777777" w:rsidR="00506EE2" w:rsidRDefault="00506EE2" w:rsidP="00506EE2">
      <w:pPr>
        <w:keepNext/>
        <w:spacing w:before="180" w:after="0"/>
        <w:jc w:val="center"/>
        <w:divId w:val="115218999"/>
        <w:rPr>
          <w:rFonts w:ascii="Arial" w:hAnsi="Arial" w:cs="Arial"/>
          <w:b/>
        </w:rPr>
      </w:pPr>
      <w:r>
        <w:rPr>
          <w:rFonts w:ascii="Arial" w:hAnsi="Arial" w:cs="Arial"/>
          <w:b/>
        </w:rPr>
        <w:t>Usługi chmurowe, MDR, SOC i poziomy świadczenia usług</w:t>
      </w:r>
    </w:p>
    <w:p w14:paraId="4B7E1A3C" w14:textId="77777777" w:rsidR="00506EE2" w:rsidRDefault="00506EE2" w:rsidP="00506EE2">
      <w:pPr>
        <w:jc w:val="both"/>
        <w:divId w:val="115218999"/>
        <w:rPr>
          <w:b/>
        </w:rPr>
      </w:pPr>
      <w:r>
        <w:rPr>
          <w:rFonts w:ascii="Arial" w:eastAsia="Arial" w:hAnsi="Arial" w:cs="Arial"/>
          <w:color w:val="000000"/>
          <w:highlight w:val="cyan"/>
        </w:rPr>
        <w:t>1. Usługi Ciągłe będą świadczone zgodnie z OPZ, przez personel i infrastrukturę zdolne do obsługi środowiska IT/OT/ICS/SCADA Zamawiającego, z zachowaniem separacji klientów, kontroli dostępu, ciągłości i rozliczalności działań.</w:t>
      </w:r>
    </w:p>
    <w:p w14:paraId="3FC1406C" w14:textId="77777777" w:rsidR="00506EE2" w:rsidRDefault="00506EE2" w:rsidP="00506EE2">
      <w:pPr>
        <w:jc w:val="both"/>
        <w:divId w:val="115218999"/>
        <w:rPr>
          <w:b/>
        </w:rPr>
      </w:pPr>
      <w:r>
        <w:rPr>
          <w:rFonts w:ascii="Arial" w:eastAsia="Arial" w:hAnsi="Arial" w:cs="Arial"/>
          <w:color w:val="000000"/>
        </w:rPr>
        <w:lastRenderedPageBreak/>
        <w:t xml:space="preserve">2. Usługa kopii zapasowych w chmurze zapewnia co najmniej parametry pojemności, zmian miesięcznych, klas składowania, szyfrowania, wersjonowania, retencji, lifecycle, niezmienności, ochrony przed usunięciem, interfejsu API, dostępności i trwałości danych określone w OPZ. Czasy obsługi zgłoszeń wynoszą, zgodnie z OPZ: podjęcie zgłoszenia awarii - do 4 godzin, usunięcie awarii - do 24 godzin, podjęcie zgłoszenia zmiany konfiguracji - do 8 godzin, realizacja zgłoszenia zmiany konfiguracji - do 2 dni roboczych; wsparcie techniczne i utrzymanie rozwiązania - przez cały 12-miesięczny okres świadczenia usługi.</w:t>
      </w:r>
    </w:p>
    <w:p w14:paraId="73D133CA" w14:textId="24EEC6C0" w:rsidR="00506EE2" w:rsidRPr="000F5BA0" w:rsidRDefault="00506EE2" w:rsidP="00506EE2">
      <w:pPr>
        <w:jc w:val="both"/>
        <w:divId w:val="115218999"/>
        <w:rPr>
          <w:b/>
          <w:highlight w:val="cyan"/>
        </w:rPr>
      </w:pPr>
      <w:r>
        <w:rPr>
          <w:rFonts w:ascii="Arial" w:eastAsia="Arial" w:hAnsi="Arial" w:cs="Arial"/>
          <w:color w:val="000000"/>
          <w:highlight w:val="cyan"/>
        </w:rPr>
        <w:t xml:space="preserve">3. Usługa zarządzania cyberbezpieczeństwem SOC/MDR z wykorzystaniem wdrożonego rozwiązania XDR jest świadczona w czasie rzeczywistym, w trybie ciągłym 24/7/365, przez okres 12 miesięcy, i obejmuje ciągłe gromadzenie i analizę telemetrii, segregację (triage), korelację, analizę, rekomendacje i eskalację - w zakresie określonym w OPZ. Czasy reakcji (podjęcia incydentu) wynoszą, zgodnie z OPZ: Incydent Krytyczny - do 2 godzin, Incydent Niekrytyczny - do 4 godzin; klasyfikację incydentów określa OPZ.</w:t>
      </w:r>
    </w:p>
    <w:p w14:paraId="3BBCD44E" w14:textId="77777777" w:rsidR="00506EE2" w:rsidRPr="000F5BA0" w:rsidRDefault="00506EE2" w:rsidP="00506EE2">
      <w:pPr>
        <w:jc w:val="both"/>
        <w:divId w:val="115218999"/>
        <w:rPr>
          <w:b/>
          <w:highlight w:val="cyan"/>
        </w:rPr>
      </w:pPr>
      <w:r>
        <w:rPr>
          <w:rFonts w:ascii="Arial" w:eastAsia="Arial" w:hAnsi="Arial" w:cs="Arial"/>
          <w:color w:val="000000"/>
          <w:highlight w:val="cyan"/>
        </w:rPr>
        <w:t>4. W ramach usługi SOC/MDR Wykonawca zapewnia dostępność zespołu serwisowego w trybie 12/5, świadczącego wsparcie przy usuwaniu awarii systemów XDR, SIEM oraz NDR, miesięczne raporty wykrytych zdarzeń bezpieczeństwa i wykonanych działań oraz pozostałe świadczenia określone w OPZ. Umowa nie wprowadza parametrów jakościowych Usług Ciągłych innych ani ostrzejszych niż określone w OPZ; Matryca Reagowania, o której mowa w ust. 5, doprecyzowuje sposób realizacji tych parametrów i nie może ich zaostrzyć bez zgody Wykonawcy.</w:t>
      </w:r>
    </w:p>
    <w:p w14:paraId="56297AFE" w14:textId="77777777" w:rsidR="00506EE2" w:rsidRDefault="00506EE2" w:rsidP="00506EE2">
      <w:pPr>
        <w:jc w:val="both"/>
        <w:divId w:val="115218999"/>
        <w:rPr>
          <w:b/>
        </w:rPr>
      </w:pPr>
      <w:r>
        <w:rPr>
          <w:rFonts w:ascii="Arial" w:eastAsia="Arial" w:hAnsi="Arial" w:cs="Arial"/>
          <w:color w:val="000000"/>
          <w:highlight w:val="cyan"/>
        </w:rPr>
        <w:t xml:space="preserve">5. Klasyfikacja incydentów, kanały, zegary SLA, zasady wstrzymania czasu, eskalacja, playbooki i osoby decyzyjne zostaną określone w Matrycy Reagowania zatwierdzonej przed uruchomieniem usług. Wstrzymanie SLA jest dopuszczalne wyłącznie na czas udokumentowanego oczekiwania na informację lub decyzję Zamawiającego niezbędną do dalszego działania.</w:t>
      </w:r>
    </w:p>
    <w:p w14:paraId="10604721" w14:textId="77777777" w:rsidR="00506EE2" w:rsidRDefault="00506EE2" w:rsidP="00506EE2">
      <w:pPr>
        <w:jc w:val="both"/>
        <w:divId w:val="115218999"/>
        <w:rPr>
          <w:b/>
        </w:rPr>
      </w:pPr>
      <w:r>
        <w:rPr>
          <w:rFonts w:ascii="Arial" w:eastAsia="Arial" w:hAnsi="Arial" w:cs="Arial"/>
          <w:color w:val="000000"/>
        </w:rPr>
        <w:t xml:space="preserve">6. Automatyczne działania blokujące, izolujące, usuwające, zmieniające konfigurację albo wpływające na dostępność mogą być wykonywane wyłącznie w granicach zatwierdzonych playbooków i matrycy uprawnień. Działanie w OT/ICS/SCADA, mogące zatrzymać proces technologiczny, wymaga uprzedniej zgody Zamawiającego, chyba że zatwierdzony scenariusz awaryjny jednoznacznie dopuszcza działanie automatyczne.</w:t>
      </w:r>
    </w:p>
    <w:p w14:paraId="58958332" w14:textId="77777777" w:rsidR="00506EE2" w:rsidRDefault="00506EE2" w:rsidP="00506EE2">
      <w:pPr>
        <w:jc w:val="both"/>
        <w:divId w:val="115218999"/>
        <w:rPr>
          <w:b/>
        </w:rPr>
      </w:pPr>
      <w:r>
        <w:rPr>
          <w:rFonts w:ascii="Arial" w:eastAsia="Arial" w:hAnsi="Arial" w:cs="Arial"/>
          <w:color w:val="000000"/>
          <w:highlight w:val="cyan"/>
        </w:rPr>
        <w:t>7. Wykonawca prowadzi rejestr zgłoszeń, incydentów, działań, czasów SLA, zmian i dostępu personelu. Co miesiąc przekazuje raport operacyjny, a co kwartał raport zarządczy obejmujący trendy, ryzyka, wykorzystanie usługi, rekomendacje i stopień realizacji SLA. Raport incydentu zawiera oś czasu, źródła dowodów, działania, wpływ, przyczynę źródłową i zalecenia.</w:t>
      </w:r>
    </w:p>
    <w:p w14:paraId="7AD6F691" w14:textId="2CE1A2C2" w:rsidR="00506EE2" w:rsidRDefault="00506EE2" w:rsidP="00506EE2">
      <w:pPr>
        <w:jc w:val="both"/>
        <w:divId w:val="115218999"/>
        <w:rPr>
          <w:b/>
        </w:rPr>
      </w:pPr>
      <w:r>
        <w:rPr>
          <w:rFonts w:ascii="Arial" w:eastAsia="Arial" w:hAnsi="Arial" w:cs="Arial"/>
          <w:color w:val="000000"/>
        </w:rPr>
        <w:lastRenderedPageBreak/>
        <w:t xml:space="preserve">8. Wykonawca wspiera Zamawiającego w analizie i przygotowaniu zgłoszeń wymaganych przez ustawę o krajowym systemie cyberbezpieczeństwa, RODO lub inne przepisy, lecz nie dokonuje zgłoszenia w imieniu Zamawiającego bez wyraźnego umocowania. Materiały muszą być przekazane w terminie umożliwiającym Zamawiającemu dochowanie terminów ustawowych, w tym - w sprawach ochrony danych - niezwłocznie i nie później niż w terminach wskazanych w umowie powierzenia.</w:t>
      </w:r>
    </w:p>
    <w:p w14:paraId="23BE1DFA" w14:textId="77777777" w:rsidR="00506EE2" w:rsidRDefault="00506EE2" w:rsidP="00506EE2">
      <w:pPr>
        <w:jc w:val="both"/>
        <w:divId w:val="115218999"/>
        <w:rPr>
          <w:b/>
        </w:rPr>
      </w:pPr>
      <w:r>
        <w:rPr>
          <w:rFonts w:ascii="Arial" w:eastAsia="Arial" w:hAnsi="Arial" w:cs="Arial"/>
          <w:color w:val="000000"/>
        </w:rPr>
        <w:t>9. Materiał dowodowy jest zabezpieczany w sposób zapewniający integralność, identyfikowalność i łańcuch dowodowy, z wykorzystaniem sum kontrolnych, synchronizacji czasu, kontroli dostępu i protokołu przekazania. Czynności informatyki śledczej wymagają pisemnego lub dokumentowego zlecenia osoby uprawnionej.</w:t>
      </w:r>
    </w:p>
    <w:p w14:paraId="4F90B8B1" w14:textId="77777777" w:rsidR="00506EE2" w:rsidRDefault="00506EE2" w:rsidP="00506EE2">
      <w:pPr>
        <w:jc w:val="both"/>
        <w:divId w:val="115218999"/>
        <w:rPr>
          <w:b/>
        </w:rPr>
      </w:pPr>
      <w:r>
        <w:rPr>
          <w:rFonts w:ascii="Arial" w:eastAsia="Arial" w:hAnsi="Arial" w:cs="Arial"/>
          <w:color w:val="000000"/>
          <w:highlight w:val="cyan"/>
        </w:rPr>
        <w:t>10. Planowana niedostępność nie obniża wskaźnika tylko wtedy, gdy została uzgodniona z co najmniej 5-dniowym wyprzedzeniem, mieści się w zatwierdzonym oknie i nie przekracza limitu wskazanego w OPZ lub Matrycy Reagowania. Niedostępność awaryjna po stronie podwykonawcy lub operatora chmury obciąża Wykonawcę jak własna.</w:t>
      </w:r>
    </w:p>
    <w:p w14:paraId="7E0A32F7" w14:textId="77777777" w:rsidR="00506EE2" w:rsidRDefault="00506EE2" w:rsidP="00506EE2">
      <w:pPr>
        <w:keepNext/>
        <w:spacing w:before="180" w:after="0"/>
        <w:jc w:val="center"/>
        <w:divId w:val="115218999"/>
        <w:rPr>
          <w:b/>
          <w:bCs/>
        </w:rPr>
      </w:pPr>
      <w:r>
        <w:rPr>
          <w:rFonts w:ascii="Arial" w:eastAsia="Arial" w:hAnsi="Arial" w:cs="Arial"/>
          <w:b/>
          <w:bCs/>
          <w:color w:val="000000"/>
        </w:rPr>
        <w:t>§ 6</w:t>
      </w:r>
    </w:p>
    <w:p w14:paraId="685237AC" w14:textId="77777777" w:rsidR="00506EE2" w:rsidRDefault="00506EE2" w:rsidP="00506EE2">
      <w:pPr>
        <w:keepNext/>
        <w:spacing w:before="180" w:after="0"/>
        <w:jc w:val="center"/>
        <w:divId w:val="115218999"/>
        <w:rPr>
          <w:rFonts w:ascii="Arial" w:hAnsi="Arial" w:cs="Arial"/>
          <w:b/>
        </w:rPr>
      </w:pPr>
      <w:r>
        <w:rPr>
          <w:rFonts w:ascii="Arial" w:hAnsi="Arial" w:cs="Arial"/>
          <w:b/>
        </w:rPr>
        <w:t>Wynagrodzenie, fakturowanie, płatności i waloryzacja</w:t>
      </w:r>
    </w:p>
    <w:p w14:paraId="352EAAC2" w14:textId="77777777" w:rsidR="00506EE2" w:rsidRDefault="00506EE2" w:rsidP="00506EE2">
      <w:pPr>
        <w:jc w:val="both"/>
        <w:divId w:val="115218999"/>
        <w:rPr>
          <w:b/>
        </w:rPr>
      </w:pPr>
      <w:r>
        <w:rPr>
          <w:rFonts w:ascii="Arial" w:eastAsia="Arial" w:hAnsi="Arial" w:cs="Arial"/>
          <w:color w:val="000000"/>
        </w:rPr>
        <w:t>1. Za należyte wykonanie Umowy Zamawiający zapłaci wynagrodzenie maksymalne i ryczałtowe: …………… zł netto, VAT …………… zł, razem …………… zł brutto (słownie brutto: ………………………………………………………………………………), zgodnie z Formularzem Oferty i Formularzem Cenowym dla Części II.</w:t>
      </w:r>
    </w:p>
    <w:p w14:paraId="5A59B62F" w14:textId="77777777" w:rsidR="00506EE2" w:rsidRDefault="00506EE2" w:rsidP="00506EE2">
      <w:pPr>
        <w:jc w:val="both"/>
        <w:divId w:val="115218999"/>
        <w:rPr>
          <w:b/>
        </w:rPr>
      </w:pPr>
      <w:r>
        <w:rPr>
          <w:rFonts w:ascii="Arial" w:eastAsia="Arial" w:hAnsi="Arial" w:cs="Arial"/>
          <w:color w:val="000000"/>
        </w:rPr>
        <w:t xml:space="preserve">2. Wynagrodzenie obejmuje wszystkie koszty kompletnej realizacji, w tym dostawy, licencje i subskrypcje, opłaty chmurowe, pojemność, transfer i eksport danych, egress, interfejsy API, prace wdrożeniowe, konfigurację, integrację, migrację, hardening, testy, szkolenia, dokumentację, wsparcie, gwarancję, Usługi Ciągłe, obowiązki wyjścia, prawa własności intelektualnej, ubezpieczenie, podatki, opłaty, KPO i DNSH.</w:t>
      </w:r>
    </w:p>
    <w:p w14:paraId="3EAEFD85" w14:textId="77777777" w:rsidR="00506EE2" w:rsidRDefault="00506EE2" w:rsidP="00506EE2">
      <w:pPr>
        <w:jc w:val="both"/>
        <w:divId w:val="115218999"/>
        <w:rPr>
          <w:b/>
        </w:rPr>
      </w:pPr>
      <w:r>
        <w:rPr>
          <w:rFonts w:ascii="Arial" w:eastAsia="Arial" w:hAnsi="Arial" w:cs="Arial"/>
          <w:color w:val="000000"/>
        </w:rPr>
        <w:t>3. Rozliczenie następuje częściami:</w:t>
      </w:r>
    </w:p>
    <w:p w14:paraId="5A40A5FD" w14:textId="60073B27" w:rsidR="00506EE2" w:rsidRPr="00A0533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lastRenderedPageBreak/>
        <w:t xml:space="preserve">1) za sprzęt, licencje, wdrożenie i pozostałe świadczenia Fazy Wdrożeniowej - po podpisaniu właściwego protokołu odbioru częściowego albo Protokołu Odbioru Wdrożenia, do wysokości wartości odpowiednich pozycji Formularza Cenowego;</w:t>
      </w:r>
    </w:p>
    <w:p w14:paraId="7D2CD078" w14:textId="78521D77" w:rsidR="00506EE2" w:rsidRPr="00A0533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2) za usługę kopii zapasowych w chmurze - jednorazowo, w pełnej wartości pozycji Formularza Cenowego, po podpisaniu Protokołu Uruchomienia Usługi;</w:t>
      </w:r>
    </w:p>
    <w:p w14:paraId="3B468B92" w14:textId="42216D78" w:rsidR="00506EE2" w:rsidRPr="00A0533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3) za usługę zarządzania cyberbezpieczeństwem SOC/MDR (wraz z platformą XDR) - jednorazowo, w pełnej wartości pozycji Formularza Cenowego, po podpisaniu Protokołu Odbioru Wdrożenia platformy XDR i Protokołu Uruchomienia Usługi;</w:t>
      </w:r>
    </w:p>
    <w:p w14:paraId="1C65432C" w14:textId="774742B4" w:rsidR="00506EE2" w:rsidRPr="00A0533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4) za inne świadczenia okresowe - zgodnie z zaakceptowanym Planem Rozliczeń, z zachowaniem wartości pozycji Formularza Cenowego i zakazu podwójnego rozliczenia. Wszystkie płatności, o których mowa w pkt 1-4, następują po wykonaniu i odbiorze odpowiednich świadczeń Fazy Wdrożeniowej albo po uruchomieniu danej Usługi Ciągłej, nie później niż w okresie kwalifikowalności wydatków Projektu grantowego.</w:t>
      </w:r>
    </w:p>
    <w:p w14:paraId="73CEAE5F" w14:textId="682FD8A4" w:rsidR="00506EE2" w:rsidRDefault="0050539E" w:rsidP="00506EE2">
      <w:pPr>
        <w:jc w:val="both"/>
        <w:divId w:val="115218999"/>
        <w:rPr>
          <w:b/>
        </w:rPr>
      </w:pPr>
      <w:r>
        <w:rPr>
          <w:rFonts w:ascii="Arial" w:eastAsia="Arial" w:hAnsi="Arial" w:cs="Arial"/>
          <w:color w:val="000000"/>
        </w:rPr>
        <w:t xml:space="preserve">4. W terminie 7 dni od zawarcia Umowy Wykonawca przedłoży Plan Rozliczeń przypisujący do każdej faktury pozycje Formularza Cenowego, okres świadczenia i kwotę. Plan nie zmienia ceny, zakresu ani ryzyk i wymaga akceptacji Zamawiającego. Wartość ostatniej płatności nie może przekroczyć 50% wynagrodzenia należnego Wykonawcy, zgodnie z art. 443 Pzp.</w:t>
      </w:r>
    </w:p>
    <w:p w14:paraId="5B0465FA" w14:textId="52E29261" w:rsidR="00506EE2" w:rsidRDefault="0050539E" w:rsidP="00506EE2">
      <w:pPr>
        <w:jc w:val="both"/>
        <w:divId w:val="115218999"/>
        <w:rPr>
          <w:b/>
        </w:rPr>
      </w:pPr>
      <w:r>
        <w:rPr>
          <w:rFonts w:ascii="Arial" w:eastAsia="Arial" w:hAnsi="Arial" w:cs="Arial"/>
          <w:color w:val="000000"/>
        </w:rPr>
        <w:t xml:space="preserve">5. Podstawą faktury jest podpisany protokół odbioru (częściowego, Odbioru Wdrożenia) albo, dla Usług Ciągłych, Protokół Uruchomienia Usługi; raporty okresowe z Usług Ciągłych służą weryfikacji należytego świadczenia usługi oraz naliczaniu obniżeń i kar, o których mowa w § 10 ust. 3-4. Zamawiający może potrącić z wynagrodzenia kary umowne i wierzytelności wymagalne, po przekazaniu Wykonawcy podstawy i wyliczenia.</w:t>
      </w:r>
    </w:p>
    <w:p w14:paraId="52C8FE36" w14:textId="4F4EC850" w:rsidR="00506EE2" w:rsidRDefault="0050539E" w:rsidP="00506EE2">
      <w:pPr>
        <w:jc w:val="both"/>
        <w:divId w:val="115218999"/>
        <w:rPr>
          <w:b/>
        </w:rPr>
      </w:pPr>
      <w:r>
        <w:rPr>
          <w:rFonts w:ascii="Arial" w:eastAsia="Arial" w:hAnsi="Arial" w:cs="Arial"/>
          <w:color w:val="000000"/>
        </w:rPr>
        <w:t>6. Termin zapłaty wynosi 30 dni od doręczenia prawidłowo wystawionej faktury wraz z wymaganymi dokumentami. Za dzień zapłaty uważa się dzień obciążenia rachunku Zamawiającego.</w:t>
      </w:r>
    </w:p>
    <w:p w14:paraId="03CD4805" w14:textId="49D271B6" w:rsidR="00506EE2" w:rsidRDefault="0050539E" w:rsidP="00506EE2">
      <w:pPr>
        <w:jc w:val="both"/>
        <w:divId w:val="115218999"/>
        <w:rPr>
          <w:b/>
        </w:rPr>
      </w:pPr>
      <w:r>
        <w:rPr>
          <w:rFonts w:ascii="Arial" w:eastAsia="Arial" w:hAnsi="Arial" w:cs="Arial"/>
          <w:color w:val="000000"/>
        </w:rPr>
        <w:t xml:space="preserve">7. Faktura wskazuje numer Umowy, Część II, nazwę postępowania, projekt „Cyberbezpieczne Wodociągi”, numer umowy o powierzenie grantu, pozycje Formularza Cenowego, okres usługi oraz wartości netto, VAT i brutto. Faktury ustrukturyzowane wystawia się z użyciem KSeF w przypadkach i terminach wynikających z prawa.</w:t>
      </w:r>
    </w:p>
    <w:p w14:paraId="75509898" w14:textId="0EAD9433" w:rsidR="00506EE2" w:rsidRDefault="0050539E" w:rsidP="00506EE2">
      <w:pPr>
        <w:jc w:val="both"/>
        <w:divId w:val="115218999"/>
        <w:rPr>
          <w:b/>
        </w:rPr>
      </w:pPr>
      <w:r>
        <w:rPr>
          <w:rFonts w:ascii="Arial" w:eastAsia="Arial" w:hAnsi="Arial" w:cs="Arial"/>
          <w:color w:val="000000"/>
        </w:rPr>
        <w:t>8. Rachunek musi spełniać wymagania prawa, w tym figurować w wykazie podatników VAT, jeżeli ma to zastosowanie. Zamawiający może zastosować mechanizm podzielonej płatności.</w:t>
      </w:r>
    </w:p>
    <w:p w14:paraId="2FFAE293" w14:textId="777BA16F" w:rsidR="00506EE2" w:rsidRDefault="0050539E" w:rsidP="00506EE2">
      <w:pPr>
        <w:jc w:val="both"/>
        <w:divId w:val="115218999"/>
        <w:rPr>
          <w:b/>
        </w:rPr>
      </w:pPr>
      <w:r>
        <w:rPr>
          <w:rFonts w:ascii="Arial" w:eastAsia="Arial" w:hAnsi="Arial" w:cs="Arial"/>
          <w:color w:val="000000"/>
        </w:rPr>
        <w:lastRenderedPageBreak/>
        <w:t>9. Nieprawidłowa faktura albo brak wymaganych załączników wstrzymuje bieg terminu płatności do usunięcia braków, bez odsetek za okres wynikający z przyczyn leżących po stronie Wykonawcy.</w:t>
      </w:r>
    </w:p>
    <w:p w14:paraId="46D2F5D9" w14:textId="106669CA" w:rsidR="00506EE2" w:rsidRDefault="00506EE2" w:rsidP="00506EE2">
      <w:pPr>
        <w:jc w:val="both"/>
        <w:divId w:val="115218999"/>
        <w:rPr>
          <w:b/>
        </w:rPr>
      </w:pPr>
      <w:r>
        <w:rPr>
          <w:rFonts w:ascii="Arial" w:eastAsia="Arial" w:hAnsi="Arial" w:cs="Arial"/>
          <w:color w:val="000000"/>
        </w:rPr>
        <w:t xml:space="preserve">10. W odniesieniu do świadczeń wykonywanych po upływie 6 miesięcy od zawarcia Umowy Strony dopuszczają zmianę wynagrodzenia na podstawie art. 439 Pzp, jeżeli średnioroczny wskaźnik cen towarów i usług konsumpcyjnych ogółem ogłoszony przez Prezesa GUS za poprzedni rok zmieni się o więcej niż 3% względem wskaźnika przyjętego przy zawarciu Umowy.</w:t>
      </w:r>
    </w:p>
    <w:p w14:paraId="262E5482" w14:textId="7E281535" w:rsidR="00506EE2" w:rsidRDefault="00506EE2" w:rsidP="00506EE2">
      <w:pPr>
        <w:jc w:val="both"/>
        <w:divId w:val="115218999"/>
        <w:rPr>
          <w:b/>
        </w:rPr>
      </w:pPr>
      <w:r>
        <w:rPr>
          <w:rFonts w:ascii="Arial" w:eastAsia="Arial" w:hAnsi="Arial" w:cs="Arial"/>
          <w:color w:val="000000"/>
        </w:rPr>
        <w:t>11. Waloryzacja następuje raz w roku, nie wcześniej niż po 6 miesiącach od zawarcia Umowy, na wniosek Strony, wyłącznie dla niewykonanej części Usług Ciągłych. Zmiana ceny tej części odpowiada 50% zmiany wskaźnika przekraczającej próg z ust. 10; łączna zmiana wynagrodzenia na tej podstawie nie może przekroczyć 10% pierwotnej wartości brutto części podlegającej waloryzacji. Waloryzacja może prowadzić do podwyższenia albo obniżenia ceny.</w:t>
      </w:r>
    </w:p>
    <w:p w14:paraId="5A6CCE6D" w14:textId="5E22FCB2" w:rsidR="00506EE2" w:rsidRDefault="00506EE2" w:rsidP="00506EE2">
      <w:pPr>
        <w:jc w:val="both"/>
        <w:divId w:val="115218999"/>
        <w:rPr>
          <w:b/>
        </w:rPr>
      </w:pPr>
      <w:r>
        <w:rPr>
          <w:rFonts w:ascii="Arial" w:eastAsia="Arial" w:hAnsi="Arial" w:cs="Arial"/>
          <w:color w:val="000000"/>
        </w:rPr>
        <w:t>12. Wniosek o waloryzację zawiera wyliczenie, wskazanie okresu i wartości pozostałych świadczeń oraz dowody wpływu zmiany cen na koszt wykonania. Zmiana obowiązuje od pierwszego dnia miesiąca następującego po zawarciu aneksu, bez wyrównania za okres wcześniejszy.</w:t>
      </w:r>
    </w:p>
    <w:p w14:paraId="1B380537" w14:textId="17F7CFA2" w:rsidR="00506EE2" w:rsidRDefault="00506EE2" w:rsidP="00506EE2">
      <w:pPr>
        <w:jc w:val="both"/>
        <w:divId w:val="115218999"/>
        <w:rPr>
          <w:b/>
        </w:rPr>
      </w:pPr>
      <w:r>
        <w:rPr>
          <w:rFonts w:ascii="Arial" w:eastAsia="Arial" w:hAnsi="Arial" w:cs="Arial"/>
          <w:color w:val="000000"/>
        </w:rPr>
        <w:t xml:space="preserve">13. Wynagrodzenie podlega odpowiedniej zmianie, jeżeli zmiana stawki VAT, minimalnego wynagrodzenia lub minimalnej stawki godzinowej, zasad lub stawek ubezpieczeń społecznych lub zdrowotnych albo zasad gromadzenia i wysokości wpłat do PPK wpływa na koszty wykonania przez Wykonawcę, zgodnie z art. 436 pkt 4 lit. b Pzp. Strona żądająca zmiany wykazuje bezpośredni, rzeczywisty i niezrekompensowany wpływ na pozostałe świadczenia.</w:t>
      </w:r>
    </w:p>
    <w:p w14:paraId="4F2CCBBF" w14:textId="2C677169" w:rsidR="00506EE2" w:rsidRDefault="00506EE2" w:rsidP="00506EE2">
      <w:pPr>
        <w:jc w:val="both"/>
        <w:divId w:val="115218999"/>
        <w:rPr>
          <w:b/>
        </w:rPr>
      </w:pPr>
      <w:r>
        <w:rPr>
          <w:rFonts w:ascii="Arial" w:eastAsia="Arial" w:hAnsi="Arial" w:cs="Arial"/>
          <w:color w:val="000000"/>
        </w:rPr>
        <w:t xml:space="preserve">14. Wykonawca, którego wynagrodzenie zostało zmienione na podstawie art. 439 Pzp, odpowiednio zmieni wynagrodzenie podwykonawcy w zakresie odpowiadającym zmianom kosztów i okresowi umowy podwykonawczej przekraczającemu 6 miesięcy oraz przedstawi Zamawiającemu dowód dokonania zmiany w terminie 14 dni.</w:t>
      </w:r>
    </w:p>
    <w:p w14:paraId="04914425" w14:textId="77777777" w:rsidR="00506EE2" w:rsidRDefault="00506EE2" w:rsidP="00506EE2">
      <w:pPr>
        <w:keepNext/>
        <w:spacing w:before="180" w:after="0"/>
        <w:jc w:val="center"/>
        <w:divId w:val="115218999"/>
        <w:rPr>
          <w:b/>
          <w:bCs/>
        </w:rPr>
      </w:pPr>
      <w:r>
        <w:rPr>
          <w:rFonts w:ascii="Arial" w:eastAsia="Arial" w:hAnsi="Arial" w:cs="Arial"/>
          <w:b/>
          <w:bCs/>
          <w:color w:val="000000"/>
        </w:rPr>
        <w:lastRenderedPageBreak/>
        <w:t>§ 7</w:t>
      </w:r>
    </w:p>
    <w:p w14:paraId="53EFE62E" w14:textId="77777777" w:rsidR="00506EE2" w:rsidRDefault="00506EE2" w:rsidP="00506EE2">
      <w:pPr>
        <w:keepNext/>
        <w:spacing w:before="180" w:after="0"/>
        <w:jc w:val="center"/>
        <w:divId w:val="115218999"/>
        <w:rPr>
          <w:rFonts w:ascii="Arial" w:hAnsi="Arial" w:cs="Arial"/>
          <w:b/>
        </w:rPr>
      </w:pPr>
      <w:r>
        <w:rPr>
          <w:rFonts w:ascii="Arial" w:hAnsi="Arial" w:cs="Arial"/>
          <w:b/>
        </w:rPr>
        <w:t>Podwykonawcy, dostawcy usług chmurowych i podmioty udostępniające zasoby</w:t>
      </w:r>
    </w:p>
    <w:p w14:paraId="355E4908" w14:textId="77777777" w:rsidR="00506EE2" w:rsidRDefault="00506EE2" w:rsidP="00506EE2">
      <w:pPr>
        <w:jc w:val="both"/>
        <w:divId w:val="115218999"/>
        <w:rPr>
          <w:b/>
        </w:rPr>
      </w:pPr>
      <w:r>
        <w:rPr>
          <w:rFonts w:ascii="Arial" w:eastAsia="Arial" w:hAnsi="Arial" w:cs="Arial"/>
          <w:color w:val="000000"/>
        </w:rPr>
        <w:t>1. Wykonawca może powierzyć podwykonawcy zakres wskazany w ofercie, pozostając odpowiedzialnym za jego działania i zaniechania jak za własne. Dotyczy to także producentów świadczących wsparcie, operatorów chmury, dostawców SOC/MDR, centrów danych i dalszych podmiotów przetwarzających.</w:t>
      </w:r>
    </w:p>
    <w:p w14:paraId="7D2474F8" w14:textId="77777777" w:rsidR="00506EE2" w:rsidRDefault="00506EE2" w:rsidP="00506EE2">
      <w:pPr>
        <w:jc w:val="both"/>
        <w:divId w:val="115218999"/>
        <w:rPr>
          <w:b/>
        </w:rPr>
      </w:pPr>
      <w:r>
        <w:rPr>
          <w:rFonts w:ascii="Arial" w:eastAsia="Arial" w:hAnsi="Arial" w:cs="Arial"/>
          <w:color w:val="000000"/>
        </w:rPr>
        <w:t>2. Przed dopuszczeniem podwykonawcy do systemów, danych lub obiektów Wykonawca przekaże jego dane, zakres, lokalizację świadczenia, listę personelu, wymagane kwalifikacje, podstawę dostępu oraz informacje niezbędne do oceny ryzyka i obowiązków RODO.</w:t>
      </w:r>
    </w:p>
    <w:p w14:paraId="7AA84FB7" w14:textId="77777777" w:rsidR="00506EE2" w:rsidRDefault="00506EE2" w:rsidP="00506EE2">
      <w:pPr>
        <w:jc w:val="both"/>
        <w:divId w:val="115218999"/>
        <w:rPr>
          <w:b/>
        </w:rPr>
      </w:pPr>
      <w:r>
        <w:rPr>
          <w:rFonts w:ascii="Arial" w:eastAsia="Arial" w:hAnsi="Arial" w:cs="Arial"/>
          <w:color w:val="000000"/>
        </w:rPr>
        <w:t xml:space="preserve">3. Zmiana podwykonawcy przetwarzającego dane, świadczącego MDR/SOC, utrzymującego dane lub posiadającego dostęp uprzywilejowany wymaga uprzedniej zgody Zamawiającego, z zachowaniem zasad Pzp oraz umowy powierzenia. Zamawiający może odmówić z uzasadnionych przyczyn bezpieczeństwa lub zgodności.</w:t>
      </w:r>
    </w:p>
    <w:p w14:paraId="260728FA" w14:textId="77777777" w:rsidR="00506EE2" w:rsidRDefault="00506EE2" w:rsidP="00506EE2">
      <w:pPr>
        <w:jc w:val="both"/>
        <w:divId w:val="115218999"/>
        <w:rPr>
          <w:b/>
        </w:rPr>
      </w:pPr>
      <w:r>
        <w:rPr>
          <w:rFonts w:ascii="Arial" w:eastAsia="Arial" w:hAnsi="Arial" w:cs="Arial"/>
          <w:color w:val="000000"/>
        </w:rPr>
        <w:t xml:space="preserve">4. Jeżeli Wykonawca polegał na zasobach podmiotu trzeciego, zapewnia jego rzeczywisty udział. Zmiana albo rezygnacja wymaga wykazania spełnienia warunków zgodnie z art. 122 Pzp.</w:t>
      </w:r>
    </w:p>
    <w:p w14:paraId="7BBBBE48" w14:textId="77777777" w:rsidR="00506EE2" w:rsidRDefault="00506EE2" w:rsidP="00506EE2">
      <w:pPr>
        <w:jc w:val="both"/>
        <w:divId w:val="115218999"/>
        <w:rPr>
          <w:b/>
        </w:rPr>
      </w:pPr>
      <w:r>
        <w:rPr>
          <w:rFonts w:ascii="Arial" w:eastAsia="Arial" w:hAnsi="Arial" w:cs="Arial"/>
          <w:color w:val="000000"/>
        </w:rPr>
        <w:t xml:space="preserve">5. Wykonawca przeniesie na podwykonawców obowiązki poufności, cyberbezpieczeństwa, ochrony danych, dostawcy wysokiego ryzyka, sankcji, DNSH, kontroli, dokumentacji, retencji i wyjścia w zakresie odpowiadającym ich czynnościom.</w:t>
      </w:r>
    </w:p>
    <w:p w14:paraId="6C7FCA96" w14:textId="77777777" w:rsidR="00506EE2" w:rsidRDefault="00506EE2" w:rsidP="00506EE2">
      <w:pPr>
        <w:jc w:val="both"/>
        <w:divId w:val="115218999"/>
        <w:rPr>
          <w:b/>
        </w:rPr>
      </w:pPr>
      <w:r>
        <w:rPr>
          <w:rFonts w:ascii="Arial" w:eastAsia="Arial" w:hAnsi="Arial" w:cs="Arial"/>
          <w:color w:val="000000"/>
        </w:rPr>
        <w:t>6. Wykonawcy wspólnie ubiegający się o zamówienie odpowiadają solidarnie za wykonanie Umowy.</w:t>
      </w:r>
    </w:p>
    <w:p w14:paraId="7D8BD533" w14:textId="77777777" w:rsidR="00506EE2" w:rsidRDefault="00506EE2" w:rsidP="00506EE2">
      <w:pPr>
        <w:keepNext/>
        <w:spacing w:before="180" w:after="0"/>
        <w:jc w:val="center"/>
        <w:divId w:val="115218999"/>
        <w:rPr>
          <w:b/>
          <w:bCs/>
        </w:rPr>
      </w:pPr>
      <w:r>
        <w:rPr>
          <w:rFonts w:ascii="Arial" w:eastAsia="Arial" w:hAnsi="Arial" w:cs="Arial"/>
          <w:b/>
          <w:bCs/>
          <w:color w:val="000000"/>
        </w:rPr>
        <w:lastRenderedPageBreak/>
        <w:t>§ 8</w:t>
      </w:r>
    </w:p>
    <w:p w14:paraId="787EF757" w14:textId="77777777" w:rsidR="00506EE2" w:rsidRDefault="00506EE2" w:rsidP="00506EE2">
      <w:pPr>
        <w:keepNext/>
        <w:spacing w:before="180" w:after="0"/>
        <w:jc w:val="center"/>
        <w:divId w:val="115218999"/>
        <w:rPr>
          <w:rFonts w:ascii="Arial" w:hAnsi="Arial" w:cs="Arial"/>
          <w:b/>
        </w:rPr>
      </w:pPr>
      <w:r>
        <w:rPr>
          <w:rFonts w:ascii="Arial" w:hAnsi="Arial" w:cs="Arial"/>
          <w:b/>
        </w:rPr>
        <w:t>Obowiązki Wykonawcy i personelu</w:t>
      </w:r>
    </w:p>
    <w:p w14:paraId="45CA2442" w14:textId="77777777" w:rsidR="00AA582E" w:rsidRDefault="00506EE2" w:rsidP="00AA582E">
      <w:pPr>
        <w:pStyle w:val="Default"/>
        <w:spacing w:line="360" w:lineRule="auto"/>
        <w:jc w:val="both"/>
        <w:divId w:val="115218999"/>
        <w:rPr>
          <w:rFonts w:ascii="Arial" w:eastAsia="Arial" w:hAnsi="Arial" w:cs="Arial"/>
        </w:rPr>
      </w:pPr>
      <w:r>
        <w:rPr>
          <w:rFonts w:ascii="Arial" w:eastAsia="Arial" w:hAnsi="Arial" w:cs="Arial"/>
        </w:rPr>
        <w:t xml:space="preserve">1. Wykonawca wykona Umowę z należytą starannością profesjonalisty, zgodnie z prawem, SWZ, OPZ, ofertą, normami, dobrymi praktykami cyberbezpieczeństwa oraz dokumentacją producentów, przyjmując pierwszeństwo bezpieczeństwa życia, procesu technologicznego i ciągłości usług. </w:t>
      </w:r>
    </w:p>
    <w:p w14:paraId="4EEBFF58" w14:textId="07A1F544" w:rsidR="00AA582E" w:rsidRPr="006D5516" w:rsidRDefault="00AA582E" w:rsidP="006D5516">
      <w:pPr>
        <w:pStyle w:val="Default"/>
        <w:spacing w:line="360" w:lineRule="auto"/>
        <w:jc w:val="both"/>
        <w:divId w:val="115218999"/>
        <w:rPr>
          <w:rFonts w:ascii="Arial" w:hAnsi="Arial" w:cs="Arial"/>
        </w:rPr>
      </w:pPr>
      <w:r>
        <w:rPr>
          <w:rFonts w:ascii="Arial" w:eastAsia="Arial" w:hAnsi="Arial" w:cs="Arial"/>
        </w:rPr>
        <w:t>2. Wykonawca skieruje i utrzyma przez cały okres realizacji, w tym przez okres świadczenia Usług Ciągłych, zespół spełniający warunki udziału określone dla Części II w pkt 16.1.3 SWZ, obejmujący osoby wskazane w Wykazie osób (Załącznik nr 9 do SWZ, kody II-1 – II-9, w liczbie osób nie mniejszej niż wskazana dla danego kodu w Załączniku nr 9 do SWZ).</w:t>
      </w:r>
    </w:p>
    <w:p w14:paraId="5F509315" w14:textId="77777777" w:rsidR="00506EE2" w:rsidRDefault="00506EE2" w:rsidP="00506EE2">
      <w:pPr>
        <w:jc w:val="both"/>
        <w:divId w:val="115218999"/>
        <w:rPr>
          <w:b/>
        </w:rPr>
      </w:pPr>
      <w:r>
        <w:rPr>
          <w:rFonts w:ascii="Arial" w:eastAsia="Arial" w:hAnsi="Arial" w:cs="Arial"/>
          <w:color w:val="000000"/>
        </w:rPr>
        <w:t>3. Wykonawca wyznaczy kierownika projektu odpowiedzialnego za harmonogram, ryzyka, bezpieczeństwo, koordynację integracji, dokumentację, komunikację i odbiory oraz koordynatora operacyjnego usług MDR/SOC.</w:t>
      </w:r>
    </w:p>
    <w:p w14:paraId="31276CC3" w14:textId="77777777" w:rsidR="00506EE2" w:rsidRDefault="00506EE2" w:rsidP="00506EE2">
      <w:pPr>
        <w:jc w:val="both"/>
        <w:divId w:val="115218999"/>
        <w:rPr>
          <w:b/>
        </w:rPr>
      </w:pPr>
      <w:r>
        <w:rPr>
          <w:rFonts w:ascii="Arial" w:eastAsia="Arial" w:hAnsi="Arial" w:cs="Arial"/>
          <w:color w:val="000000"/>
        </w:rPr>
        <w:t>4. Zmiana osoby kluczowej wymaga uprzedniej zgody Zamawiającego i wykazania kwalifikacji i doświadczenia nie niższych. W sytuacji nagłej Wykonawca niezwłocznie zapewni zastępstwo bez pogorszenia jakości lub SLA.</w:t>
      </w:r>
    </w:p>
    <w:p w14:paraId="50845067" w14:textId="77777777" w:rsidR="00506EE2" w:rsidRDefault="00506EE2" w:rsidP="00506EE2">
      <w:pPr>
        <w:jc w:val="both"/>
        <w:divId w:val="115218999"/>
        <w:rPr>
          <w:b/>
        </w:rPr>
      </w:pPr>
      <w:r>
        <w:rPr>
          <w:rFonts w:ascii="Arial" w:eastAsia="Arial" w:hAnsi="Arial" w:cs="Arial"/>
          <w:color w:val="000000"/>
        </w:rPr>
        <w:t>5. Personel uzyska wyłącznie uprawnienia konieczne, na czas konieczny, z kont imiennych, MFA i rejestrowaniem działań. Wykonawca prowadzi aktualny wykaz osób uprawnionych i co najmniej kwartalnie potwierdza jego zgodność.</w:t>
      </w:r>
    </w:p>
    <w:p w14:paraId="7F0D57E8" w14:textId="77777777" w:rsidR="00506EE2" w:rsidRDefault="00506EE2" w:rsidP="00506EE2">
      <w:pPr>
        <w:jc w:val="both"/>
        <w:divId w:val="115218999"/>
        <w:rPr>
          <w:b/>
        </w:rPr>
      </w:pPr>
      <w:r>
        <w:rPr>
          <w:rFonts w:ascii="Arial" w:eastAsia="Arial" w:hAnsi="Arial" w:cs="Arial"/>
          <w:color w:val="000000"/>
        </w:rPr>
        <w:t xml:space="preserve">6. Wykonawca prowadzi rejestr prac i zmian, rejestr ryzyk, decyzji i wyjątków, repozytorium dokumentacji oraz przekazuje co najmniej cotygodniowy raport postępu w Fazie Wdrożeniowej.</w:t>
      </w:r>
    </w:p>
    <w:p w14:paraId="3DF24CFA" w14:textId="77777777" w:rsidR="00506EE2" w:rsidRDefault="00506EE2" w:rsidP="00506EE2">
      <w:pPr>
        <w:jc w:val="both"/>
        <w:divId w:val="115218999"/>
        <w:rPr>
          <w:b/>
        </w:rPr>
      </w:pPr>
      <w:r>
        <w:rPr>
          <w:rFonts w:ascii="Arial" w:eastAsia="Arial" w:hAnsi="Arial" w:cs="Arial"/>
          <w:color w:val="000000"/>
        </w:rPr>
        <w:t>7. Wykonawca niezwłocznie zgłasza konflikt interesów, utratę kwalifikacji lub autoryzacji, zagrożenie terminu, istotną podatność, naruszenie danych, incydent, zmianę łańcucha dostaw albo okoliczność wpływającą na kwalifikowalność, wskaźniki lub trwałość projektu.</w:t>
      </w:r>
    </w:p>
    <w:p w14:paraId="137FE9AA" w14:textId="77777777" w:rsidR="00506EE2" w:rsidRDefault="00506EE2" w:rsidP="00506EE2">
      <w:pPr>
        <w:pStyle w:val="Default"/>
        <w:spacing w:line="360" w:lineRule="auto"/>
        <w:jc w:val="both"/>
        <w:divId w:val="115218999"/>
        <w:rPr>
          <w:rFonts w:ascii="Arial" w:hAnsi="Arial" w:cs="Arial"/>
        </w:rPr>
      </w:pPr>
    </w:p>
    <w:p w14:paraId="2D33E63E" w14:textId="77777777" w:rsidR="00506EE2" w:rsidRDefault="00506EE2" w:rsidP="00506EE2">
      <w:pPr>
        <w:keepNext/>
        <w:spacing w:before="180" w:after="0"/>
        <w:jc w:val="center"/>
        <w:divId w:val="115218999"/>
        <w:rPr>
          <w:b/>
          <w:bCs/>
        </w:rPr>
      </w:pPr>
      <w:r>
        <w:rPr>
          <w:rFonts w:ascii="Arial" w:eastAsia="Arial" w:hAnsi="Arial" w:cs="Arial"/>
          <w:b/>
          <w:bCs/>
          <w:color w:val="000000"/>
        </w:rPr>
        <w:t>§ 9</w:t>
      </w:r>
    </w:p>
    <w:p w14:paraId="3B1496F0" w14:textId="77777777" w:rsidR="00506EE2" w:rsidRDefault="00506EE2" w:rsidP="00506EE2">
      <w:pPr>
        <w:keepNext/>
        <w:spacing w:before="180" w:after="0"/>
        <w:jc w:val="center"/>
        <w:divId w:val="115218999"/>
        <w:rPr>
          <w:rFonts w:ascii="Arial" w:hAnsi="Arial" w:cs="Arial"/>
          <w:b/>
        </w:rPr>
      </w:pPr>
      <w:r>
        <w:rPr>
          <w:rFonts w:ascii="Arial" w:hAnsi="Arial" w:cs="Arial"/>
          <w:b/>
        </w:rPr>
        <w:t>Współdziałanie Zamawiającego</w:t>
      </w:r>
    </w:p>
    <w:p w14:paraId="1FEF5ACB" w14:textId="77777777" w:rsidR="00506EE2" w:rsidRDefault="00506EE2" w:rsidP="00506EE2">
      <w:pPr>
        <w:jc w:val="both"/>
        <w:divId w:val="115218999"/>
        <w:rPr>
          <w:b/>
        </w:rPr>
      </w:pPr>
      <w:r>
        <w:rPr>
          <w:rFonts w:ascii="Arial" w:eastAsia="Arial" w:hAnsi="Arial" w:cs="Arial"/>
          <w:color w:val="000000"/>
        </w:rPr>
        <w:t>1. Zamawiający wyznaczy osoby kontaktowe, udostępni w uzgodnionym zakresie informacje i dostęp konieczne do realizacji, zapewni udział personelu w uzgodnieniach i odbiorach oraz będzie podejmował decyzje operacyjne w terminach wynikających z harmonogramu.</w:t>
      </w:r>
    </w:p>
    <w:p w14:paraId="3C7ADCE9" w14:textId="77777777" w:rsidR="00506EE2" w:rsidRDefault="00506EE2" w:rsidP="00506EE2">
      <w:pPr>
        <w:jc w:val="both"/>
        <w:divId w:val="115218999"/>
        <w:rPr>
          <w:b/>
        </w:rPr>
      </w:pPr>
      <w:r>
        <w:rPr>
          <w:rFonts w:ascii="Arial" w:eastAsia="Arial" w:hAnsi="Arial" w:cs="Arial"/>
          <w:color w:val="000000"/>
        </w:rPr>
        <w:t xml:space="preserve">2. Zamawiający zatwierdza harmonogram, projekt, matryce, okna prac, testy i playbooki. Zatwierdzenie nie oznacza przejęcia odpowiedzialności za dobór, kompletność, bezpieczeństwo ani prawidłowość wykonania przez Wykonawcę.</w:t>
      </w:r>
    </w:p>
    <w:p w14:paraId="5079B534" w14:textId="77777777" w:rsidR="00506EE2" w:rsidRDefault="00506EE2" w:rsidP="00506EE2">
      <w:pPr>
        <w:jc w:val="both"/>
        <w:divId w:val="115218999"/>
        <w:rPr>
          <w:b/>
        </w:rPr>
      </w:pPr>
      <w:r>
        <w:rPr>
          <w:rFonts w:ascii="Arial" w:eastAsia="Arial" w:hAnsi="Arial" w:cs="Arial"/>
          <w:color w:val="000000"/>
        </w:rPr>
        <w:t>3. Zamawiający może monitorować prace i usługi, żądać dokumentów, logów, raportów, dowodów licencyjnych i kwalifikacji, przeprowadzać lub zlecać audyty oraz nakazać wstrzymanie czynności zagrażających bezpieczeństwu lub ciągłości.</w:t>
      </w:r>
    </w:p>
    <w:p w14:paraId="68296E92" w14:textId="77777777" w:rsidR="00506EE2" w:rsidRDefault="00506EE2" w:rsidP="00506EE2">
      <w:pPr>
        <w:jc w:val="both"/>
        <w:divId w:val="115218999"/>
        <w:rPr>
          <w:b/>
        </w:rPr>
      </w:pPr>
      <w:r>
        <w:rPr>
          <w:rFonts w:ascii="Arial" w:eastAsia="Arial" w:hAnsi="Arial" w:cs="Arial"/>
          <w:color w:val="000000"/>
        </w:rPr>
        <w:t>4. Opóźnienie współdziałania wpływa na termin tylko w zakresie udokumentowanego, rzeczywistego uniemożliwienia prac, pod warunkiem niezwłocznego zgłoszenia i podjęcia działań minimalizujących przez Wykonawcę.</w:t>
      </w:r>
    </w:p>
    <w:p w14:paraId="106A4ACD" w14:textId="77777777" w:rsidR="00506EE2" w:rsidRDefault="00506EE2" w:rsidP="00506EE2">
      <w:pPr>
        <w:jc w:val="both"/>
        <w:divId w:val="115218999"/>
      </w:pPr>
    </w:p>
    <w:p w14:paraId="58C4482D" w14:textId="77777777" w:rsidR="00506EE2" w:rsidRDefault="00506EE2" w:rsidP="00506EE2">
      <w:pPr>
        <w:keepNext/>
        <w:spacing w:before="180" w:after="0"/>
        <w:jc w:val="center"/>
        <w:divId w:val="115218999"/>
        <w:rPr>
          <w:b/>
          <w:bCs/>
        </w:rPr>
      </w:pPr>
      <w:r>
        <w:rPr>
          <w:rFonts w:ascii="Arial" w:eastAsia="Arial" w:hAnsi="Arial" w:cs="Arial"/>
          <w:b/>
          <w:bCs/>
          <w:color w:val="000000"/>
        </w:rPr>
        <w:t>§ 10</w:t>
      </w:r>
    </w:p>
    <w:p w14:paraId="7D11DEE7" w14:textId="77777777" w:rsidR="00506EE2" w:rsidRDefault="00506EE2" w:rsidP="00506EE2">
      <w:pPr>
        <w:keepNext/>
        <w:spacing w:before="180" w:after="0"/>
        <w:jc w:val="center"/>
        <w:divId w:val="115218999"/>
        <w:rPr>
          <w:rFonts w:ascii="Arial" w:hAnsi="Arial" w:cs="Arial"/>
          <w:b/>
        </w:rPr>
      </w:pPr>
      <w:r>
        <w:rPr>
          <w:rFonts w:ascii="Arial" w:hAnsi="Arial" w:cs="Arial"/>
          <w:b/>
        </w:rPr>
        <w:t>Kary umowne, obniżenia SLA i odpowiedzialność</w:t>
      </w:r>
    </w:p>
    <w:p w14:paraId="31A14E16" w14:textId="77777777" w:rsidR="00506EE2" w:rsidRDefault="00506EE2" w:rsidP="00506EE2">
      <w:pPr>
        <w:jc w:val="both"/>
        <w:divId w:val="115218999"/>
        <w:rPr>
          <w:b/>
        </w:rPr>
      </w:pPr>
      <w:r>
        <w:rPr>
          <w:rFonts w:ascii="Arial" w:eastAsia="Arial" w:hAnsi="Arial" w:cs="Arial"/>
          <w:color w:val="000000"/>
        </w:rPr>
        <w:t>1. Wykonawca zapłaci karę:</w:t>
      </w:r>
    </w:p>
    <w:p w14:paraId="143D79BC" w14:textId="6976D283"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1) za zwłokę w zakończeniu Fazy Wdrożeniowej - 0,2% wynagrodzenia brutto za każdy rozpoczęty dzień zwłoki;</w:t>
      </w:r>
    </w:p>
    <w:p w14:paraId="1573EFAD" w14:textId="033DBC8D"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2) za zwłokę w usunięciu wady, braku dokumentacji albo niezgodności odbiorowej - 0,1% wynagrodzenia brutto za każdy rozpoczęty dzień;</w:t>
      </w:r>
    </w:p>
    <w:p w14:paraId="1BBE732D" w14:textId="20A38955"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lastRenderedPageBreak/>
        <w:t xml:space="preserve">3) za nieuzgodnioną przerwę, zmianę produkcyjną, dostęp zdalny albo działanie na IT/OT/ICS/SCADA - 2% wynagrodzenia brutto za każdy przypadek, a gdy powstała niedostępność procesu krytycznego - 5%;</w:t>
      </w:r>
    </w:p>
    <w:p w14:paraId="74554914" w14:textId="4E69AB62"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4) za dostarczenie rozwiązania innego niż zaoferowane lub niespełniającego OPZ - 2% wynagrodzenia brutto za każdy przypadek, niezależnie od wymiany;</w:t>
      </w:r>
    </w:p>
    <w:p w14:paraId="06E18C44" w14:textId="35EF6E9A"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5) za naruszenie poufności, ochrony danych, obowiązku zgłoszenia incydentu, zasad użycia danych lub bezpieczeństwa dostępu - 5% wynagrodzenia brutto za każdy przypadek;</w:t>
      </w:r>
    </w:p>
    <w:p w14:paraId="15CEB3E5" w14:textId="778316C3"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6) za naruszenie obowiązków dotyczących dostawcy wysokiego ryzyka albo zatajenie okoliczności z § 16 - 5% wynagrodzenia brutto za każdy przypadek;</w:t>
      </w:r>
    </w:p>
    <w:p w14:paraId="35D80B98" w14:textId="4589ACCB"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7) za dopuszczenie niezgłoszonego podwykonawcy lub osoby bez wymaganych kwalifikacji albo uprawnień - 0,5% wynagrodzenia brutto za każdy przypadek;</w:t>
      </w:r>
    </w:p>
    <w:p w14:paraId="3C4190EC" w14:textId="788099E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8) za nieprzekazanie dokumentu lub wyjaśnienia wymaganego do kontroli KPO, DNSH, audytu lub rozliczenia - 0,1% wynagrodzenia brutto za każdy rozpoczęty dzień zwłoki;</w:t>
      </w:r>
    </w:p>
    <w:p w14:paraId="3A618B3F" w14:textId="3DCB2B88"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9) za brak dowodu odpowiedniej zmiany wynagrodzenia podwykonawcy, o której mowa w § 6 ust. 14 - 0,1% wynagrodzenia brutto za każdy rozpoczęty dzień zwłoki;</w:t>
      </w:r>
    </w:p>
    <w:p w14:paraId="4B27BDBD" w14:textId="7D17759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10) za niewykonanie obowiązków wyjścia i przekazania danych - 0,2% wynagrodzenia brutto za każdy rozpoczęty dzień zwłoki.</w:t>
      </w:r>
    </w:p>
    <w:p w14:paraId="4EA6CAEF" w14:textId="77777777" w:rsidR="00506EE2" w:rsidRDefault="00506EE2" w:rsidP="00506EE2">
      <w:pPr>
        <w:jc w:val="both"/>
        <w:divId w:val="115218999"/>
        <w:rPr>
          <w:b/>
        </w:rPr>
      </w:pPr>
      <w:r>
        <w:rPr>
          <w:rFonts w:ascii="Arial" w:eastAsia="Arial" w:hAnsi="Arial" w:cs="Arial"/>
          <w:color w:val="000000"/>
        </w:rPr>
        <w:t>2. Za odstąpienie od Umowy albo rozwiązanie jej z przyczyn leżących po stronie Wykonawcy kara wynosi 10% wynagrodzenia brutto.</w:t>
      </w:r>
    </w:p>
    <w:p w14:paraId="6FC41367" w14:textId="77777777" w:rsidR="00506EE2" w:rsidRDefault="00506EE2" w:rsidP="00506EE2">
      <w:pPr>
        <w:jc w:val="both"/>
        <w:divId w:val="115218999"/>
        <w:rPr>
          <w:b/>
        </w:rPr>
      </w:pPr>
      <w:r>
        <w:rPr>
          <w:rFonts w:ascii="Arial" w:eastAsia="Arial" w:hAnsi="Arial" w:cs="Arial"/>
          <w:color w:val="000000"/>
        </w:rPr>
        <w:t>3. Przez miesięczną wartość danej Usługi Ciągłej rozumie się 1/12 wartości brutto odpowiedniej pozycji Formularza Cenowego. Za niezapewnienie w danym miesiącu świadczenia usługi w trybie wymaganym OPZ (24/7/365 dla SOC/MDR; ciągłość wykonywania kopii wyniesionych dla usługi kopii zapasowych) Zamawiającemu przysługuje kara umowna w wysokości 0,5% miesięcznej wartości usługi za każdą rozpoczętą godzinę nieuzgodnionej niedostępności usługi, nie więcej niż 20% miesięcznej wartości usługi.</w:t>
      </w:r>
    </w:p>
    <w:p w14:paraId="50295BCA" w14:textId="77777777" w:rsidR="00506EE2" w:rsidRDefault="00506EE2" w:rsidP="00506EE2">
      <w:pPr>
        <w:jc w:val="both"/>
        <w:divId w:val="115218999"/>
        <w:rPr>
          <w:b/>
        </w:rPr>
      </w:pPr>
      <w:r>
        <w:rPr>
          <w:rFonts w:ascii="Arial" w:eastAsia="Arial" w:hAnsi="Arial" w:cs="Arial"/>
          <w:color w:val="000000"/>
        </w:rPr>
        <w:t>4. Za przekroczenie czasu reakcji określonego w OPZ Zamawiającemu przysługuje kara w wysokości 0,2% miesięcznej wartości danej usługi za każde przekroczenie dotyczące Incydentu Krytycznego (albo zgłoszenia awarii usługi kopii zapasowych) oraz 0,1% za pozostałe, nie więcej niż 20% miesięcznej wartości usługi w danym miesiącu. Kary, o których mowa w ust. 3-4, Zamawiający może potrącić z wynagrodzenia albo zaspokoić z zabezpieczenia należytego wykonania Umowy.</w:t>
      </w:r>
    </w:p>
    <w:p w14:paraId="5DB33A82" w14:textId="77777777" w:rsidR="00506EE2" w:rsidRDefault="00506EE2" w:rsidP="00506EE2">
      <w:pPr>
        <w:jc w:val="both"/>
        <w:divId w:val="115218999"/>
        <w:rPr>
          <w:b/>
        </w:rPr>
      </w:pPr>
      <w:r>
        <w:rPr>
          <w:rFonts w:ascii="Arial" w:eastAsia="Arial" w:hAnsi="Arial" w:cs="Arial"/>
          <w:color w:val="000000"/>
        </w:rPr>
        <w:lastRenderedPageBreak/>
        <w:t>5. Kara, o której mowa w ust. 3-4, nie wyłącza kary za odrębne naruszenie ani obowiązku wykonania usługi; za to samo zdarzenie Zamawiający nie naliczy dwóch kar opartych na identycznej podstawie faktycznej, chyba że chronią różne obowiązki.</w:t>
      </w:r>
    </w:p>
    <w:p w14:paraId="3FD87D2B" w14:textId="77777777" w:rsidR="00506EE2" w:rsidRDefault="00506EE2" w:rsidP="00506EE2">
      <w:pPr>
        <w:jc w:val="both"/>
        <w:divId w:val="115218999"/>
        <w:rPr>
          <w:b/>
        </w:rPr>
      </w:pPr>
      <w:r>
        <w:rPr>
          <w:rFonts w:ascii="Arial" w:eastAsia="Arial" w:hAnsi="Arial" w:cs="Arial"/>
          <w:color w:val="000000"/>
        </w:rPr>
        <w:t xml:space="preserve">6. Łączna wysokość kar umownych naliczonych przez każdą ze Stron nie przekroczy 30% wynagrodzenia brutto, zgodnie z art. 436 pkt 3 Pzp. Limit nie ogranicza odszkodowania uzupełniającego ani odpowiedzialności, której ograniczenie jest niedopuszczalne, w szczególności za umyślność, poufność, dane osobowe, prawa własności intelektualnej lub szkody na osobie.</w:t>
      </w:r>
    </w:p>
    <w:p w14:paraId="6F46C2B2" w14:textId="13D23549" w:rsidR="00506EE2" w:rsidRDefault="00506EE2" w:rsidP="00506EE2">
      <w:pPr>
        <w:jc w:val="both"/>
        <w:divId w:val="115218999"/>
        <w:rPr>
          <w:b/>
        </w:rPr>
      </w:pPr>
      <w:r>
        <w:rPr>
          <w:rFonts w:ascii="Arial" w:eastAsia="Arial" w:hAnsi="Arial" w:cs="Arial"/>
          <w:color w:val="000000"/>
        </w:rPr>
        <w:t xml:space="preserve">7. Zamawiający może dochodzić odszkodowania uzupełniającego do pełnej szkody, w tym kosztów odtworzenia, obsługi incydentu, ekspertyz, zawiadomień, usług zastępczych, roszczeń osób trzecich, utraty danych, przerwy w działalności i utraty dofinansowania - w adekwatnym związku z okolicznością, za którą odpowiada Wykonawca.</w:t>
      </w:r>
    </w:p>
    <w:p w14:paraId="08A80BF9" w14:textId="77777777" w:rsidR="00506EE2" w:rsidRDefault="00506EE2" w:rsidP="00506EE2">
      <w:pPr>
        <w:jc w:val="both"/>
        <w:divId w:val="115218999"/>
        <w:rPr>
          <w:b/>
        </w:rPr>
      </w:pPr>
      <w:r>
        <w:rPr>
          <w:rFonts w:ascii="Arial" w:eastAsia="Arial" w:hAnsi="Arial" w:cs="Arial"/>
          <w:color w:val="000000"/>
        </w:rPr>
        <w:t>8. Przed naliczeniem kary Zamawiający przekaże podstawę i wyliczenie oraz umożliwi Wykonawcy przedstawienie stanowiska w 3 dni robocze, chyba że natychmiastowe działanie jest konieczne dla bezpieczeństwa lub zachowania terminu ustawowego.</w:t>
      </w:r>
    </w:p>
    <w:p w14:paraId="31DFF2C0" w14:textId="77777777" w:rsidR="00506EE2" w:rsidRDefault="00506EE2" w:rsidP="00506EE2">
      <w:pPr>
        <w:jc w:val="both"/>
        <w:divId w:val="115218999"/>
        <w:rPr>
          <w:b/>
        </w:rPr>
      </w:pPr>
      <w:r>
        <w:rPr>
          <w:rFonts w:ascii="Arial" w:eastAsia="Arial" w:hAnsi="Arial" w:cs="Arial"/>
          <w:color w:val="000000"/>
        </w:rPr>
        <w:t xml:space="preserve">9. Zamawiający zapłaci Wykonawcy karę 10% wartości niewykonanej części Umowy w razie odstąpienia przez Wykonawcę z wyłącznej winy Zamawiającego, z wyłączeniem art. 456 Pzp.</w:t>
      </w:r>
    </w:p>
    <w:p w14:paraId="7770786D" w14:textId="77777777" w:rsidR="00506EE2" w:rsidRDefault="00506EE2" w:rsidP="00506EE2">
      <w:pPr>
        <w:keepNext/>
        <w:spacing w:before="180" w:after="0"/>
        <w:jc w:val="center"/>
        <w:divId w:val="115218999"/>
        <w:rPr>
          <w:b/>
          <w:bCs/>
        </w:rPr>
      </w:pPr>
      <w:r>
        <w:rPr>
          <w:rFonts w:ascii="Arial" w:eastAsia="Arial" w:hAnsi="Arial" w:cs="Arial"/>
          <w:b/>
          <w:bCs/>
          <w:color w:val="000000"/>
        </w:rPr>
        <w:t>§ 11</w:t>
      </w:r>
    </w:p>
    <w:p w14:paraId="30C8F525" w14:textId="77777777" w:rsidR="00506EE2" w:rsidRDefault="00506EE2" w:rsidP="00506EE2">
      <w:pPr>
        <w:keepNext/>
        <w:spacing w:before="180" w:after="0"/>
        <w:jc w:val="center"/>
        <w:divId w:val="115218999"/>
        <w:rPr>
          <w:rFonts w:ascii="Arial" w:hAnsi="Arial" w:cs="Arial"/>
          <w:b/>
        </w:rPr>
      </w:pPr>
      <w:r>
        <w:rPr>
          <w:rFonts w:ascii="Arial" w:hAnsi="Arial" w:cs="Arial"/>
          <w:b/>
        </w:rPr>
        <w:t>Doręczenia i komunikacja</w:t>
      </w:r>
    </w:p>
    <w:p w14:paraId="2871568C" w14:textId="77777777" w:rsidR="00506EE2" w:rsidRDefault="00506EE2" w:rsidP="00506EE2">
      <w:pPr>
        <w:jc w:val="both"/>
        <w:divId w:val="115218999"/>
        <w:rPr>
          <w:b/>
        </w:rPr>
      </w:pPr>
      <w:r>
        <w:rPr>
          <w:rFonts w:ascii="Arial" w:eastAsia="Arial" w:hAnsi="Arial" w:cs="Arial"/>
          <w:color w:val="000000"/>
        </w:rPr>
        <w:t>1. Korespondencję formalną kieruje się na:</w:t>
      </w:r>
    </w:p>
    <w:p w14:paraId="1F1204FD" w14:textId="77777777" w:rsidR="00506EE2" w:rsidRDefault="00506EE2" w:rsidP="00506EE2">
      <w:pPr>
        <w:pStyle w:val="Akapitzlist"/>
        <w:ind w:left="0"/>
        <w:jc w:val="both"/>
        <w:divId w:val="115218999"/>
        <w:rPr>
          <w:rFonts w:ascii="Arial" w:eastAsia="Arial" w:hAnsi="Arial" w:cs="Arial"/>
          <w:color w:val="000000"/>
          <w:highlight w:val="yellow"/>
        </w:rPr>
      </w:pPr>
      <w:r>
        <w:rPr>
          <w:rFonts w:ascii="Arial" w:eastAsia="Arial" w:hAnsi="Arial" w:cs="Arial"/>
          <w:color w:val="000000"/>
          <w:highlight w:val="yellow"/>
        </w:rPr>
        <w:t xml:space="preserve">1) Zamawiający: Zakład Wodociągów i Kanalizacji Sp. z o.o., ul. Czatkowska 8, 83-110 Tczew; e-mail: [DO UZUPEŁNIENIA];</w:t>
      </w:r>
    </w:p>
    <w:p w14:paraId="1156265E" w14:textId="77777777" w:rsidR="00506EE2" w:rsidRDefault="00506EE2" w:rsidP="00506EE2">
      <w:pPr>
        <w:pStyle w:val="Akapitzlist"/>
        <w:ind w:left="0"/>
        <w:jc w:val="both"/>
        <w:divId w:val="115218999"/>
        <w:rPr>
          <w:rFonts w:ascii="Arial" w:eastAsia="Arial" w:hAnsi="Arial" w:cs="Arial"/>
          <w:color w:val="000000"/>
          <w:highlight w:val="yellow"/>
        </w:rPr>
      </w:pPr>
      <w:r>
        <w:rPr>
          <w:rFonts w:ascii="Arial" w:eastAsia="Arial" w:hAnsi="Arial" w:cs="Arial"/>
          <w:color w:val="000000"/>
          <w:highlight w:val="yellow"/>
        </w:rPr>
        <w:t>2) Wykonawca: [ADRES]; e-mail: [DO UZUPEŁNIENIA].</w:t>
      </w:r>
    </w:p>
    <w:p w14:paraId="310AB06D" w14:textId="77777777" w:rsidR="00506EE2" w:rsidRDefault="00506EE2" w:rsidP="00506EE2">
      <w:pPr>
        <w:jc w:val="both"/>
        <w:divId w:val="115218999"/>
        <w:rPr>
          <w:b/>
        </w:rPr>
      </w:pPr>
      <w:r>
        <w:rPr>
          <w:rFonts w:ascii="Arial" w:eastAsia="Arial" w:hAnsi="Arial" w:cs="Arial"/>
          <w:color w:val="000000"/>
        </w:rPr>
        <w:lastRenderedPageBreak/>
        <w:t xml:space="preserve">2. Zgłoszenia serwisowe i incydentowe są kierowane kanałami wskazanymi w dokumentacji operacyjnej i muszą automatycznie otrzymywać identyfikator oraz znacznik czasu. Awaria kanału podstawowego nie zwalnia Wykonawcy; stosuje się kanał zapasowy.</w:t>
      </w:r>
    </w:p>
    <w:p w14:paraId="021F1BFE" w14:textId="77777777" w:rsidR="00506EE2" w:rsidRDefault="00506EE2" w:rsidP="00506EE2">
      <w:pPr>
        <w:jc w:val="both"/>
        <w:divId w:val="115218999"/>
        <w:rPr>
          <w:b/>
        </w:rPr>
      </w:pPr>
      <w:r>
        <w:rPr>
          <w:rFonts w:ascii="Arial" w:eastAsia="Arial" w:hAnsi="Arial" w:cs="Arial"/>
          <w:color w:val="000000"/>
        </w:rPr>
        <w:t>3. Uzgodnienia operacyjne mogą być przekazywane przez osoby wskazane w § 13 w formie dokumentowej, o ile Umowa lub prawo nie wymagają formy pisemnej. Kontakt telefoniczny wpływający na zakres, bezpieczeństwo, termin lub odbiór wymaga niezwłocznego potwierdzenia e-mailem.</w:t>
      </w:r>
    </w:p>
    <w:p w14:paraId="7E81A34E" w14:textId="77777777" w:rsidR="00506EE2" w:rsidRDefault="00506EE2" w:rsidP="00506EE2">
      <w:pPr>
        <w:jc w:val="both"/>
        <w:divId w:val="115218999"/>
        <w:rPr>
          <w:b/>
        </w:rPr>
      </w:pPr>
      <w:r>
        <w:rPr>
          <w:rFonts w:ascii="Arial" w:eastAsia="Arial" w:hAnsi="Arial" w:cs="Arial"/>
          <w:color w:val="000000"/>
        </w:rPr>
        <w:t>4. Strona niezwłocznie informuje o zmianie danych; do czasu zawiadomienia korespondencję skierowaną na ostatni wskazany adres uważa się za prawidłowo skierowaną.</w:t>
      </w:r>
    </w:p>
    <w:p w14:paraId="4E62E4D8" w14:textId="77777777" w:rsidR="00506EE2" w:rsidRDefault="00506EE2" w:rsidP="00506EE2">
      <w:pPr>
        <w:keepNext/>
        <w:spacing w:before="180" w:after="0"/>
        <w:jc w:val="center"/>
        <w:divId w:val="115218999"/>
        <w:rPr>
          <w:b/>
          <w:bCs/>
        </w:rPr>
      </w:pPr>
      <w:r>
        <w:rPr>
          <w:rFonts w:ascii="Arial" w:eastAsia="Arial" w:hAnsi="Arial" w:cs="Arial"/>
          <w:b/>
          <w:bCs/>
          <w:color w:val="000000"/>
        </w:rPr>
        <w:t>§ 11a</w:t>
      </w:r>
    </w:p>
    <w:p w14:paraId="42F20677" w14:textId="77777777" w:rsidR="00506EE2" w:rsidRDefault="00506EE2" w:rsidP="00506EE2">
      <w:pPr>
        <w:keepNext/>
        <w:spacing w:before="180" w:after="0"/>
        <w:jc w:val="center"/>
        <w:divId w:val="115218999"/>
        <w:rPr>
          <w:rFonts w:ascii="Arial" w:hAnsi="Arial" w:cs="Arial"/>
          <w:b/>
        </w:rPr>
      </w:pPr>
      <w:r>
        <w:rPr>
          <w:rFonts w:ascii="Arial" w:hAnsi="Arial" w:cs="Arial"/>
          <w:b/>
        </w:rPr>
        <w:t>Zabezpieczenie należytego wykonania Umowy</w:t>
      </w:r>
    </w:p>
    <w:p w14:paraId="59EECE75" w14:textId="521DC03D" w:rsidR="00506EE2" w:rsidRDefault="00506EE2" w:rsidP="00506EE2">
      <w:pPr>
        <w:jc w:val="both"/>
        <w:divId w:val="115218999"/>
        <w:rPr>
          <w:b/>
        </w:rPr>
      </w:pPr>
      <w:r>
        <w:rPr>
          <w:rFonts w:ascii="Arial" w:eastAsia="Arial" w:hAnsi="Arial" w:cs="Arial"/>
          <w:color w:val="000000"/>
        </w:rPr>
        <w:t xml:space="preserve">1. Wykonawca przed zawarciem Umowy wnosi zabezpieczenie należytego wykonania w wysokości </w:t>
      </w:r>
      <w:r>
        <w:rPr>
          <w:rFonts w:ascii="Arial" w:eastAsia="Arial" w:hAnsi="Arial" w:cs="Arial"/>
          <w:color w:val="000000"/>
          <w:highlight w:val="cyan"/>
        </w:rPr>
        <w:t>2%</w:t>
      </w:r>
      <w:r>
        <w:rPr>
          <w:rFonts w:ascii="Arial" w:eastAsia="Arial" w:hAnsi="Arial" w:cs="Arial"/>
          <w:color w:val="000000"/>
        </w:rPr>
        <w:t xml:space="preserve"> ceny całkowitej brutto, tj. …………… zł, w formie dopuszczonej przez art. 450 Pzp i SWZ.</w:t>
      </w:r>
    </w:p>
    <w:p w14:paraId="3973466E" w14:textId="77777777" w:rsidR="00506EE2" w:rsidRDefault="00506EE2" w:rsidP="00506EE2">
      <w:pPr>
        <w:jc w:val="both"/>
        <w:divId w:val="115218999"/>
        <w:rPr>
          <w:b/>
        </w:rPr>
      </w:pPr>
      <w:r>
        <w:rPr>
          <w:rFonts w:ascii="Arial" w:eastAsia="Arial" w:hAnsi="Arial" w:cs="Arial"/>
          <w:color w:val="000000"/>
        </w:rPr>
        <w:t>2. Zabezpieczenie obejmuje roszczenia z tytułu niewykonania lub nienależytego wykonania całej Umowy, w tym Fazy Wdrożeniowej, Usług Ciągłych, obowiązków wyjścia, kar, kosztów wykonania zastępczego i odpowiedzialności gwarancyjnej.</w:t>
      </w:r>
    </w:p>
    <w:p w14:paraId="1661C155" w14:textId="444F97F8" w:rsidR="00506EE2" w:rsidRDefault="00506EE2" w:rsidP="00506EE2">
      <w:pPr>
        <w:jc w:val="both"/>
        <w:divId w:val="115218999"/>
        <w:rPr>
          <w:b/>
        </w:rPr>
      </w:pPr>
      <w:r>
        <w:rPr>
          <w:rFonts w:ascii="Arial" w:eastAsia="Arial" w:hAnsi="Arial" w:cs="Arial"/>
          <w:color w:val="000000"/>
        </w:rPr>
        <w:t xml:space="preserve">3. W przypadku zabezpieczenia terminowego Wykonawca zapewni jego ciągłość co najmniej do upływu 30 dni od wykonania wszystkich świadczeń podstawowych, a część pozostawioną na rękojmię lub gwarancję - do upływu 15 dni po zakończeniu właściwego okresu. Brak przedłużenia uprawnia Zamawiającego do zatrzymania należnej kwoty albo realizacji zabezpieczenia przed upływem jego ważności.</w:t>
      </w:r>
    </w:p>
    <w:p w14:paraId="3F42856A" w14:textId="75A40C8F" w:rsidR="00506EE2" w:rsidRDefault="00506EE2" w:rsidP="00506EE2">
      <w:pPr>
        <w:jc w:val="both"/>
        <w:divId w:val="115218999"/>
        <w:rPr>
          <w:b/>
        </w:rPr>
      </w:pPr>
      <w:r>
        <w:rPr>
          <w:rFonts w:ascii="Arial" w:eastAsia="Arial" w:hAnsi="Arial" w:cs="Arial"/>
          <w:color w:val="000000"/>
        </w:rPr>
        <w:lastRenderedPageBreak/>
        <w:t xml:space="preserve">4. Zamawiający zwróci 70% zabezpieczenia w terminie 30 dni od należytego wykonania wszystkich świadczeń podstawowych i uznania ich za należycie wykonane, a 30% nie później niż w 15. dniu po upływie okresu rękojmi za wady lub gwarancji - zgodnie z art. 453 Pzp i SWZ.</w:t>
      </w:r>
    </w:p>
    <w:p w14:paraId="7604FB70" w14:textId="77777777" w:rsidR="00506EE2" w:rsidRDefault="00506EE2" w:rsidP="00506EE2">
      <w:pPr>
        <w:keepNext/>
        <w:spacing w:before="180" w:after="0"/>
        <w:jc w:val="center"/>
        <w:divId w:val="115218999"/>
        <w:rPr>
          <w:b/>
          <w:bCs/>
        </w:rPr>
      </w:pPr>
      <w:r>
        <w:rPr>
          <w:rFonts w:ascii="Arial" w:eastAsia="Arial" w:hAnsi="Arial" w:cs="Arial"/>
          <w:b/>
          <w:bCs/>
          <w:color w:val="000000"/>
        </w:rPr>
        <w:t>§ 12</w:t>
      </w:r>
    </w:p>
    <w:p w14:paraId="382EDFEA" w14:textId="77777777" w:rsidR="00506EE2" w:rsidRDefault="00506EE2" w:rsidP="00506EE2">
      <w:pPr>
        <w:keepNext/>
        <w:spacing w:before="180" w:after="0"/>
        <w:jc w:val="center"/>
        <w:divId w:val="115218999"/>
        <w:rPr>
          <w:rFonts w:ascii="Arial" w:hAnsi="Arial" w:cs="Arial"/>
          <w:b/>
        </w:rPr>
      </w:pPr>
      <w:r>
        <w:rPr>
          <w:rFonts w:ascii="Arial" w:hAnsi="Arial" w:cs="Arial"/>
          <w:b/>
        </w:rPr>
        <w:t>Zmiany Umowy i odstąpienie</w:t>
      </w:r>
    </w:p>
    <w:p w14:paraId="7950E0F5" w14:textId="7F47A64B" w:rsidR="00506EE2" w:rsidRDefault="00506EE2" w:rsidP="00506EE2">
      <w:pPr>
        <w:jc w:val="both"/>
        <w:divId w:val="115218999"/>
        <w:rPr>
          <w:b/>
        </w:rPr>
      </w:pPr>
      <w:r>
        <w:rPr>
          <w:rFonts w:ascii="Arial" w:eastAsia="Arial" w:hAnsi="Arial" w:cs="Arial"/>
          <w:color w:val="000000"/>
        </w:rPr>
        <w:t xml:space="preserve">1. Zmiana Umowy wymaga formy pisemnej albo elektronicznej z kwalifikowanymi podpisami pod rygorem nieważności i podstawy zgodnej z art. 454-455 Pzp. Zmiana danych kontaktowych, personelu operacyjnego lub harmonogramu niewpływająca na zakres, termin końcowy ani wynagrodzenie może nastąpić w formie dokumentowej, jeżeli Umowa tak stanowi.</w:t>
      </w:r>
    </w:p>
    <w:p w14:paraId="2ED305C0" w14:textId="77777777" w:rsidR="00506EE2" w:rsidRDefault="00506EE2" w:rsidP="00506EE2">
      <w:pPr>
        <w:jc w:val="both"/>
        <w:divId w:val="115218999"/>
        <w:rPr>
          <w:b/>
        </w:rPr>
      </w:pPr>
      <w:r>
        <w:rPr>
          <w:rFonts w:ascii="Arial" w:eastAsia="Arial" w:hAnsi="Arial" w:cs="Arial"/>
          <w:color w:val="000000"/>
        </w:rPr>
        <w:t xml:space="preserve">2. Na podstawie art. 455 ust. 1 pkt 1 Pzp dopuszcza się zmianę terminu o okres rzeczywistego wpływu:</w:t>
      </w:r>
    </w:p>
    <w:p w14:paraId="70905C35"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1) siły wyższej;</w:t>
      </w:r>
    </w:p>
    <w:p w14:paraId="6D2E45B4"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2) wstrzymania prac ze względów bezpieczeństwa niezawinionego przez Wykonawcę;</w:t>
      </w:r>
    </w:p>
    <w:p w14:paraId="2334EC53"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3) udokumentowanego opóźnienia Zamawiającego w przekazaniu koniecznych informacji, decyzji lub dostępu mimo prawidłowego wezwania;</w:t>
      </w:r>
    </w:p>
    <w:p w14:paraId="405AEF37"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4) awarii albo incydentu uniemożliwiającego bezpieczne wykonanie;</w:t>
      </w:r>
    </w:p>
    <w:p w14:paraId="7B97DA42"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5) zmiany prawa, decyzji organu lub wymagań instytucji finansującej bezpośrednio wpływającej na sposób realizacji;</w:t>
      </w:r>
    </w:p>
    <w:p w14:paraId="0B9D088C"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6) konieczności skoordynowania z innymi zamówieniami, której nie można było przewidzieć, jeżeli nie wynika z zaniedbania Wykonawcy.</w:t>
      </w:r>
    </w:p>
    <w:p w14:paraId="225D8BFF" w14:textId="77777777" w:rsidR="00506EE2" w:rsidRDefault="00506EE2" w:rsidP="00506EE2">
      <w:pPr>
        <w:jc w:val="both"/>
        <w:divId w:val="115218999"/>
        <w:rPr>
          <w:b/>
        </w:rPr>
      </w:pPr>
      <w:r>
        <w:rPr>
          <w:rFonts w:ascii="Arial" w:eastAsia="Arial" w:hAnsi="Arial" w:cs="Arial"/>
          <w:color w:val="000000"/>
        </w:rPr>
        <w:t>3. Siła wyższa nie obejmuje braków personelu, typowych zakłóceń łańcucha dostaw, niedostępności komponentów możliwej do przewidzenia, wzrostu cen, awarii podwykonawcy bez zewnętrznej przyczyny ani niedochowania terminów producenta.</w:t>
      </w:r>
    </w:p>
    <w:p w14:paraId="79D084C2" w14:textId="77777777" w:rsidR="00506EE2" w:rsidRDefault="00506EE2" w:rsidP="00506EE2">
      <w:pPr>
        <w:jc w:val="both"/>
        <w:divId w:val="115218999"/>
        <w:rPr>
          <w:b/>
        </w:rPr>
      </w:pPr>
      <w:r>
        <w:rPr>
          <w:rFonts w:ascii="Arial" w:eastAsia="Arial" w:hAnsi="Arial" w:cs="Arial"/>
          <w:color w:val="000000"/>
        </w:rPr>
        <w:lastRenderedPageBreak/>
        <w:t>4. Zmiana producenta, modelu, wersji, SKU lub usługi jest dopuszczalna wyłącznie, gdy rozwiązanie pierwotne stało się obiektywnie niedostępne z przyczyn niezależnych albo zostało objęte ograniczeniem prawnym, a rozwiązanie zastępcze: spełnia wszystkie wymagania, jest co najmniej równoważne, kompatybilne, wspierane przez nie krótszy okres, nie pogarsza bezpieczeństwa i SLA, nie zwiększa wynagrodzenia oraz nie zmienia charakteru Umowy. Wymaga uprzedniej zgody i dowodów równoważności.</w:t>
      </w:r>
    </w:p>
    <w:p w14:paraId="4F81FF7C" w14:textId="77777777" w:rsidR="00506EE2" w:rsidRDefault="00506EE2" w:rsidP="00506EE2">
      <w:pPr>
        <w:jc w:val="both"/>
        <w:divId w:val="115218999"/>
        <w:rPr>
          <w:b/>
        </w:rPr>
      </w:pPr>
      <w:r>
        <w:rPr>
          <w:rFonts w:ascii="Arial" w:eastAsia="Arial" w:hAnsi="Arial" w:cs="Arial"/>
          <w:color w:val="000000"/>
        </w:rPr>
        <w:t xml:space="preserve">5. Dopuszcza się zmianę sposobu konfiguracji, integracji, migracji, kolejności lub metody testów, jeżeli zwiększa bezpieczeństwo albo jest konieczna wskutek ujawnionych warunków technicznych, nie obniża wymagań i nie zwiększa wynagrodzenia, chyba że zmiana ceny jest dopuszczalna przez Pzp.</w:t>
      </w:r>
    </w:p>
    <w:p w14:paraId="49331F5F" w14:textId="77777777" w:rsidR="00506EE2" w:rsidRDefault="00506EE2" w:rsidP="00506EE2">
      <w:pPr>
        <w:jc w:val="both"/>
        <w:divId w:val="115218999"/>
        <w:rPr>
          <w:b/>
        </w:rPr>
      </w:pPr>
      <w:r>
        <w:rPr>
          <w:rFonts w:ascii="Arial" w:eastAsia="Arial" w:hAnsi="Arial" w:cs="Arial"/>
          <w:color w:val="000000"/>
        </w:rPr>
        <w:t>6. Zmiana lokalizacji przetwarzania danych, operatora chmury, SOC/MDR, dalszego podmiotu przetwarzającego albo modelu dostępu wymaga uprzedniej oceny ryzyka, zgodności z RODO, KSC i OPZ oraz pisemnej zgody Zamawiającego; nie może obniżyć poziomu ochrony ani powodować dodatkowych opłat.</w:t>
      </w:r>
    </w:p>
    <w:p w14:paraId="49476BDC" w14:textId="77777777" w:rsidR="00506EE2" w:rsidRDefault="00506EE2" w:rsidP="00506EE2">
      <w:pPr>
        <w:jc w:val="both"/>
        <w:divId w:val="115218999"/>
        <w:rPr>
          <w:b/>
        </w:rPr>
      </w:pPr>
      <w:r>
        <w:rPr>
          <w:rFonts w:ascii="Arial" w:eastAsia="Arial" w:hAnsi="Arial" w:cs="Arial"/>
          <w:color w:val="000000"/>
        </w:rPr>
        <w:t xml:space="preserve">7. Zmiana osoby kluczowej, podwykonawcy albo podmiotu udostępniającego zasoby wymaga wykazania kwalifikacji, doświadczenia, zasobów i bezpieczeństwa nie niższych oraz spełnienia art. 122 Pzp, jeżeli ma zastosowanie.</w:t>
      </w:r>
    </w:p>
    <w:p w14:paraId="5401A36C" w14:textId="77777777" w:rsidR="00506EE2" w:rsidRDefault="00506EE2" w:rsidP="00506EE2">
      <w:pPr>
        <w:jc w:val="both"/>
        <w:divId w:val="115218999"/>
        <w:rPr>
          <w:b/>
        </w:rPr>
      </w:pPr>
      <w:r>
        <w:rPr>
          <w:rFonts w:ascii="Arial" w:eastAsia="Arial" w:hAnsi="Arial" w:cs="Arial"/>
          <w:color w:val="000000"/>
        </w:rPr>
        <w:t>8. Wniosek o zmianę zawiera opis zdarzenia, podstawę prawną, dowody, wpływ na zakres, parametry, bezpieczeństwo, RODO, termin, cenę, DNSH, wskaźniki i kwalifikowalność oraz proponowane brzmienie. Sam wniosek nie zmienia Umowy ani nie zwalnia z jej wykonywania.</w:t>
      </w:r>
    </w:p>
    <w:p w14:paraId="5DE75188" w14:textId="77777777" w:rsidR="00506EE2" w:rsidRDefault="00506EE2" w:rsidP="00506EE2">
      <w:pPr>
        <w:jc w:val="both"/>
        <w:divId w:val="115218999"/>
        <w:rPr>
          <w:b/>
        </w:rPr>
      </w:pPr>
      <w:r>
        <w:rPr>
          <w:rFonts w:ascii="Arial" w:eastAsia="Arial" w:hAnsi="Arial" w:cs="Arial"/>
          <w:color w:val="000000"/>
        </w:rPr>
        <w:t>9. Zamawiający może odstąpić od Umowy w przypadkach ustawowych oraz gdy Wykonawca:</w:t>
      </w:r>
    </w:p>
    <w:p w14:paraId="0E2FAC72"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1) pozostaje w zwłoce zagrażającej terminowi lub ciągłości usług;</w:t>
      </w:r>
    </w:p>
    <w:p w14:paraId="55F74351"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2) dostarcza rozwiązanie inne niż zaoferowane albo niezgodne z OPZ;</w:t>
      </w:r>
    </w:p>
    <w:p w14:paraId="09DE5338"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3) nie usuwa istotnej wady albo powtarzających się naruszeń SLA;</w:t>
      </w:r>
    </w:p>
    <w:p w14:paraId="312B4830"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4) narusza bezpieczeństwo, poufność, ochronę danych lub zasady dostępu;</w:t>
      </w:r>
    </w:p>
    <w:p w14:paraId="647D1FCB"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lastRenderedPageBreak/>
        <w:t>5) utraci kwalifikacje, autoryzację, legalność licencji lub zdolność świadczenia usług;</w:t>
      </w:r>
    </w:p>
    <w:p w14:paraId="30529E10" w14:textId="5801A403"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6) odmawia audytu, kontroli lub przekazania danych i dokumentacji;</w:t>
      </w:r>
    </w:p>
    <w:p w14:paraId="6C869205"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7) narusza sankcje albo obowiązki dotyczące dostawcy wysokiego ryzyka;</w:t>
      </w:r>
    </w:p>
    <w:p w14:paraId="019CC23B" w14:textId="77777777" w:rsidR="00506EE2" w:rsidRPr="00AA582E"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8) powoduje realne ryzyko utraty danych, ciągłości, dofinansowania lub nieodwracalnego uzależnienia od dostawcy.</w:t>
      </w:r>
    </w:p>
    <w:p w14:paraId="75D40103" w14:textId="77777777" w:rsidR="00506EE2" w:rsidRDefault="00506EE2" w:rsidP="00506EE2">
      <w:pPr>
        <w:jc w:val="both"/>
        <w:divId w:val="115218999"/>
        <w:rPr>
          <w:b/>
        </w:rPr>
      </w:pPr>
      <w:r>
        <w:rPr>
          <w:rFonts w:ascii="Arial" w:eastAsia="Arial" w:hAnsi="Arial" w:cs="Arial"/>
          <w:color w:val="000000"/>
        </w:rPr>
        <w:t>10. Jeżeli naruszenie jest usuwalne, Zamawiający wyznaczy odpowiedni termin naprawczy, co do zasady nie dłuższy niż 5 dni roboczych. Wezwanie nie jest wymagane, gdy naruszenie zagraża bezpieczeństwu lub ciągłości, dotyczy zakazu prawnego, jest nieodwracalne albo naprawa w czasie koniecznym jest niemożliwa.</w:t>
      </w:r>
    </w:p>
    <w:p w14:paraId="6137B70A" w14:textId="77777777" w:rsidR="00506EE2" w:rsidRDefault="00506EE2" w:rsidP="00506EE2">
      <w:pPr>
        <w:jc w:val="both"/>
        <w:divId w:val="115218999"/>
        <w:rPr>
          <w:b/>
        </w:rPr>
      </w:pPr>
      <w:r>
        <w:rPr>
          <w:rFonts w:ascii="Arial" w:eastAsia="Arial" w:hAnsi="Arial" w:cs="Arial"/>
          <w:color w:val="000000"/>
        </w:rPr>
        <w:t>11. Oświadczenie o odstąpieniu na podstawie Umowy może zostać złożone w 30 dni od powzięcia wiadomości o podstawie, nie później niż 90 dni od zakończenia okresu realizacji, z zastrzeżeniem podstaw ustawowych i obowiązków trwających po rozwiązaniu.</w:t>
      </w:r>
    </w:p>
    <w:p w14:paraId="3175F60A" w14:textId="77777777" w:rsidR="00506EE2" w:rsidRDefault="00506EE2" w:rsidP="00506EE2">
      <w:pPr>
        <w:jc w:val="both"/>
        <w:divId w:val="115218999"/>
        <w:rPr>
          <w:b/>
        </w:rPr>
      </w:pPr>
      <w:r>
        <w:rPr>
          <w:rFonts w:ascii="Arial" w:eastAsia="Arial" w:hAnsi="Arial" w:cs="Arial"/>
          <w:color w:val="000000"/>
        </w:rPr>
        <w:t>12. Po odstąpieniu lub rozwiązaniu Wykonawca zabezpieczy systemy i dowody, wyłączy własne dostępy, przekaże dane, konfiguracje, licencje, dokumentację i nadające się do wykorzystania rezultaty, wesprze przejęcie usługi i usunie własne kopie zgodnie z § 15a. Rozliczeniu podlegają wyłącznie należycie wykonane i przydatne świadczenia odebrane przez Zamawiającego.</w:t>
      </w:r>
    </w:p>
    <w:p w14:paraId="6CC044CD" w14:textId="51FDF59C" w:rsidR="00506EE2" w:rsidRPr="00AA582E" w:rsidRDefault="00506EE2" w:rsidP="00AA582E">
      <w:pPr>
        <w:jc w:val="both"/>
        <w:divId w:val="115218999"/>
        <w:rPr>
          <w:b/>
        </w:rPr>
      </w:pPr>
      <w:r>
        <w:rPr>
          <w:rFonts w:ascii="Arial" w:eastAsia="Arial" w:hAnsi="Arial" w:cs="Arial"/>
          <w:color w:val="000000"/>
        </w:rPr>
        <w:t xml:space="preserve">13. Zmiana nie może naruszać obowiązków KPO, DNSH, zakazu podwójnego finansowania, konfliktu interesów, trwałości projektu ani minimalnego poziomu cyberbezpieczeństwa.</w:t>
      </w:r>
    </w:p>
    <w:p w14:paraId="271C59CB" w14:textId="77777777" w:rsidR="00506EE2" w:rsidRDefault="00506EE2" w:rsidP="00506EE2">
      <w:pPr>
        <w:keepNext/>
        <w:spacing w:before="180" w:after="0"/>
        <w:jc w:val="center"/>
        <w:divId w:val="115218999"/>
        <w:rPr>
          <w:b/>
          <w:bCs/>
        </w:rPr>
      </w:pPr>
      <w:r>
        <w:rPr>
          <w:rFonts w:ascii="Arial" w:eastAsia="Arial" w:hAnsi="Arial" w:cs="Arial"/>
          <w:b/>
          <w:bCs/>
          <w:color w:val="000000"/>
        </w:rPr>
        <w:t>§ 13</w:t>
      </w:r>
    </w:p>
    <w:p w14:paraId="05AD9B30" w14:textId="77777777" w:rsidR="00506EE2" w:rsidRDefault="00506EE2" w:rsidP="00506EE2">
      <w:pPr>
        <w:keepNext/>
        <w:spacing w:before="180" w:after="0"/>
        <w:jc w:val="center"/>
        <w:divId w:val="115218999"/>
        <w:rPr>
          <w:rFonts w:ascii="Arial" w:hAnsi="Arial" w:cs="Arial"/>
          <w:b/>
        </w:rPr>
      </w:pPr>
      <w:r>
        <w:rPr>
          <w:rFonts w:ascii="Arial" w:hAnsi="Arial" w:cs="Arial"/>
          <w:b/>
        </w:rPr>
        <w:t>Osoby do kontaktu i personel kluczowy</w:t>
      </w:r>
    </w:p>
    <w:p w14:paraId="70273D20" w14:textId="77777777" w:rsidR="00506EE2" w:rsidRPr="00AA582E" w:rsidRDefault="00506EE2" w:rsidP="00506EE2">
      <w:pPr>
        <w:jc w:val="both"/>
        <w:divId w:val="115218999"/>
        <w:rPr>
          <w:b/>
          <w:highlight w:val="yellow"/>
        </w:rPr>
      </w:pPr>
      <w:r>
        <w:rPr>
          <w:rFonts w:ascii="Arial" w:eastAsia="Arial" w:hAnsi="Arial" w:cs="Arial"/>
          <w:color w:val="000000"/>
          <w:highlight w:val="yellow"/>
        </w:rPr>
        <w:t>1. Kierownik projektu Wykonawcy: [IMIĘ I NAZWISKO], tel. [NUMER], e-mail [ADRES].</w:t>
      </w:r>
    </w:p>
    <w:p w14:paraId="2C60F9C6" w14:textId="77777777" w:rsidR="00506EE2" w:rsidRPr="00AA582E" w:rsidRDefault="00506EE2" w:rsidP="00506EE2">
      <w:pPr>
        <w:jc w:val="both"/>
        <w:divId w:val="115218999"/>
        <w:rPr>
          <w:b/>
          <w:highlight w:val="yellow"/>
        </w:rPr>
      </w:pPr>
      <w:r>
        <w:rPr>
          <w:rFonts w:ascii="Arial" w:eastAsia="Arial" w:hAnsi="Arial" w:cs="Arial"/>
          <w:color w:val="000000"/>
          <w:highlight w:val="yellow"/>
        </w:rPr>
        <w:t>2. Koordynator usług MDR/SOC i bezpieczeństwa: [IMIĘ I NAZWISKO], tel. [NUMER], e-mail [ADRES].</w:t>
      </w:r>
    </w:p>
    <w:p w14:paraId="1F5AF23B" w14:textId="1839DD91" w:rsidR="00506EE2" w:rsidRDefault="00506EE2" w:rsidP="00506EE2">
      <w:pPr>
        <w:jc w:val="both"/>
        <w:divId w:val="115218999"/>
        <w:rPr>
          <w:b/>
        </w:rPr>
      </w:pPr>
      <w:r>
        <w:rPr>
          <w:rFonts w:ascii="Arial" w:eastAsia="Arial" w:hAnsi="Arial" w:cs="Arial"/>
          <w:color w:val="000000"/>
          <w:highlight w:val="yellow"/>
        </w:rPr>
        <w:lastRenderedPageBreak/>
        <w:t xml:space="preserve">3. Koordynator Zamawiającego: Dariusz Sosnowski, tel. 571 389 078, e-mail: d.sosnowski@zwik.tczew.pl.</w:t>
      </w:r>
    </w:p>
    <w:p w14:paraId="7F0B77FA" w14:textId="77777777" w:rsidR="00506EE2" w:rsidRDefault="00506EE2" w:rsidP="00506EE2">
      <w:pPr>
        <w:jc w:val="both"/>
        <w:divId w:val="115218999"/>
        <w:rPr>
          <w:b/>
        </w:rPr>
      </w:pPr>
      <w:r>
        <w:rPr>
          <w:rFonts w:ascii="Arial" w:eastAsia="Arial" w:hAnsi="Arial" w:cs="Arial"/>
          <w:color w:val="000000"/>
        </w:rPr>
        <w:t>4. Zespół techniczny i osoby o kwalifikacjach wymaganych w SWZ określa Wykaz osób stanowiący załącznik do Umowy. Zamawiający może żądać potwierdzenia aktualności certyfikatów i udziału osób w wykonywaniu zakresu, dla którego je wykazano.</w:t>
      </w:r>
    </w:p>
    <w:p w14:paraId="7B415267" w14:textId="7CD0911F" w:rsidR="00506EE2" w:rsidRPr="00250459" w:rsidRDefault="00506EE2" w:rsidP="00250459">
      <w:pPr>
        <w:jc w:val="both"/>
        <w:divId w:val="115218999"/>
        <w:rPr>
          <w:b/>
        </w:rPr>
      </w:pPr>
      <w:r>
        <w:rPr>
          <w:rFonts w:ascii="Arial" w:eastAsia="Arial" w:hAnsi="Arial" w:cs="Arial"/>
          <w:color w:val="000000"/>
        </w:rPr>
        <w:t>5. Osoby kontaktowe nie są uprawnione do zmiany zakresu, wynagrodzenia ani postanowień wymagających aneksu. Zmiana danych kontaktowych nie stanowi zmiany Umowy.</w:t>
      </w:r>
    </w:p>
    <w:p w14:paraId="1403446A" w14:textId="77777777" w:rsidR="00506EE2" w:rsidRDefault="00506EE2" w:rsidP="00506EE2">
      <w:pPr>
        <w:keepNext/>
        <w:spacing w:before="180" w:after="0"/>
        <w:jc w:val="center"/>
        <w:divId w:val="115218999"/>
        <w:rPr>
          <w:b/>
          <w:bCs/>
        </w:rPr>
      </w:pPr>
      <w:r>
        <w:rPr>
          <w:rFonts w:ascii="Arial" w:eastAsia="Arial" w:hAnsi="Arial" w:cs="Arial"/>
          <w:b/>
          <w:bCs/>
          <w:color w:val="000000"/>
        </w:rPr>
        <w:t>§ 14</w:t>
      </w:r>
    </w:p>
    <w:p w14:paraId="5C6447E2" w14:textId="77777777" w:rsidR="00506EE2" w:rsidRDefault="00506EE2" w:rsidP="00506EE2">
      <w:pPr>
        <w:keepNext/>
        <w:spacing w:before="180" w:after="0"/>
        <w:jc w:val="center"/>
        <w:divId w:val="115218999"/>
        <w:rPr>
          <w:rFonts w:ascii="Arial" w:hAnsi="Arial" w:cs="Arial"/>
          <w:b/>
        </w:rPr>
      </w:pPr>
      <w:r>
        <w:rPr>
          <w:rFonts w:ascii="Arial" w:hAnsi="Arial" w:cs="Arial"/>
          <w:b/>
        </w:rPr>
        <w:t>Cesja, własność, ryzyko i ubezpieczenie</w:t>
      </w:r>
    </w:p>
    <w:p w14:paraId="0E269DD8" w14:textId="77777777" w:rsidR="00506EE2" w:rsidRDefault="00506EE2" w:rsidP="00506EE2">
      <w:pPr>
        <w:jc w:val="both"/>
        <w:divId w:val="115218999"/>
        <w:rPr>
          <w:b/>
        </w:rPr>
      </w:pPr>
      <w:r>
        <w:rPr>
          <w:rFonts w:ascii="Arial" w:eastAsia="Arial" w:hAnsi="Arial" w:cs="Arial"/>
          <w:color w:val="000000"/>
        </w:rPr>
        <w:t xml:space="preserve">1. Wykonawca nie może bez uprzedniej pisemnej zgody Zamawiającego przenieść wierzytelności, praw ani obowiązków, z zastrzeżeniem bezwzględnie obowiązujących przepisów. Zmiana Wykonawcy jest dopuszczalna wyłącznie w przypadkach art. 455 Pzp.</w:t>
      </w:r>
    </w:p>
    <w:p w14:paraId="7A821ACB" w14:textId="77777777" w:rsidR="00506EE2" w:rsidRDefault="00506EE2" w:rsidP="00506EE2">
      <w:pPr>
        <w:jc w:val="both"/>
        <w:divId w:val="115218999"/>
        <w:rPr>
          <w:b/>
        </w:rPr>
      </w:pPr>
      <w:r>
        <w:rPr>
          <w:rFonts w:ascii="Arial" w:eastAsia="Arial" w:hAnsi="Arial" w:cs="Arial"/>
          <w:color w:val="000000"/>
        </w:rPr>
        <w:t>2. Własność sprzętu, nośników i dokumentacji przechodzi na Zamawiającego z chwilą odbioru danego elementu, bez uszczerbku dla praw własności intelektualnej. Do tej chwili ryzyko przypadkowej utraty lub uszkodzenia obciąża Wykonawcę.</w:t>
      </w:r>
    </w:p>
    <w:p w14:paraId="6C4AC7D8" w14:textId="77777777" w:rsidR="00506EE2" w:rsidRDefault="00506EE2" w:rsidP="00506EE2">
      <w:pPr>
        <w:jc w:val="both"/>
        <w:divId w:val="115218999"/>
        <w:rPr>
          <w:b/>
        </w:rPr>
      </w:pPr>
      <w:r>
        <w:rPr>
          <w:rFonts w:ascii="Arial" w:eastAsia="Arial" w:hAnsi="Arial" w:cs="Arial"/>
          <w:color w:val="000000"/>
        </w:rPr>
        <w:t>3. Przedmiot jest wolny od zastawu, przewłaszczenia, leasingu, roszczeń, blokad licencyjnych i praw osób trzecich. Wykonawca przedstawi na żądanie dokumenty legalnego pochodzenia i nabycia, bez ujawniania prawnie chronionej marży.</w:t>
      </w:r>
    </w:p>
    <w:p w14:paraId="0BE18B1B" w14:textId="77777777" w:rsidR="00506EE2" w:rsidRDefault="00506EE2" w:rsidP="00506EE2">
      <w:pPr>
        <w:jc w:val="both"/>
        <w:divId w:val="115218999"/>
        <w:rPr>
          <w:b/>
        </w:rPr>
      </w:pPr>
      <w:r>
        <w:rPr>
          <w:rFonts w:ascii="Arial" w:eastAsia="Arial" w:hAnsi="Arial" w:cs="Arial"/>
          <w:color w:val="000000"/>
        </w:rPr>
        <w:t xml:space="preserve">4. Wykonawca utrzymuje od zawarcia do zakończenia wszystkich Usług Ciągłych ubezpieczenie OC działalności i odpowiedzialności zawodowej, obejmujące co najmniej szkody osobowe, rzeczowe, czyste straty finansowe, szkody w danych i systemach, incydenty cybernetyczne oraz działania podwykonawców, na sumę gwarancyjną nie niższą niż wartość brutto Umowy, nie mniej jednak niż 500 000 zł. Kopię polisy i dowód opłacenia przedkłada przed rozpoczęciem realizacji i na żądanie.</w:t>
      </w:r>
    </w:p>
    <w:p w14:paraId="66A231FE" w14:textId="628E256F" w:rsidR="00506EE2" w:rsidRDefault="00506EE2" w:rsidP="00506EE2">
      <w:pPr>
        <w:jc w:val="both"/>
        <w:divId w:val="115218999"/>
        <w:rPr>
          <w:b/>
        </w:rPr>
      </w:pPr>
      <w:r>
        <w:rPr>
          <w:rFonts w:ascii="Arial" w:eastAsia="Arial" w:hAnsi="Arial" w:cs="Arial"/>
          <w:color w:val="000000"/>
        </w:rPr>
        <w:lastRenderedPageBreak/>
        <w:t xml:space="preserve">5. Do Umowy stosuje się prawo polskie, w szczególności </w:t>
      </w:r>
      <w:r>
        <w:rPr>
          <w:rFonts w:ascii="Arial" w:eastAsia="Arial" w:hAnsi="Arial" w:cs="Arial"/>
          <w:color w:val="000000"/>
          <w:highlight w:val="cyan"/>
        </w:rPr>
        <w:t>Pzp, Kodeks cywilny (t.j. Dz.U. z 2026 r. poz. 795 ze zm.)</w:t>
      </w:r>
      <w:r>
        <w:rPr>
          <w:rFonts w:ascii="Arial" w:eastAsia="Arial" w:hAnsi="Arial" w:cs="Arial"/>
          <w:color w:val="000000"/>
        </w:rPr>
        <w:t xml:space="preserve">, ustawę o krajowym systemie cyberbezpieczeństwa, RODO, ustawę o ochronie danych osobowych, przepisy o świadczeniu usług drogą elektroniczną, prawie autorskim, odpadach, ZSEiE, sankcjach oraz - w zakresie zastosowania - bezpośrednio obowiązujące akty prawa Unii dotyczące cyberbezpieczeństwa produktów i danych.</w:t>
      </w:r>
    </w:p>
    <w:p w14:paraId="7764DD66" w14:textId="77777777" w:rsidR="00506EE2" w:rsidRDefault="00506EE2" w:rsidP="00506EE2">
      <w:pPr>
        <w:jc w:val="both"/>
        <w:divId w:val="115218999"/>
        <w:rPr>
          <w:b/>
        </w:rPr>
      </w:pPr>
      <w:r>
        <w:rPr>
          <w:rFonts w:ascii="Arial" w:eastAsia="Arial" w:hAnsi="Arial" w:cs="Arial"/>
          <w:color w:val="000000"/>
        </w:rPr>
        <w:t>6. Strony podejmą próbę polubownego rozwiązania sporu bez wstrzymywania bezspornych obowiązków. Brak porozumienia w 14 dni uprawnia do skierowania sprawy do sądu właściwego dla siedziby Zamawiającego, o ile prawo bezwzględnie obowiązujące nie stanowi inaczej.</w:t>
      </w:r>
    </w:p>
    <w:p w14:paraId="738E831E" w14:textId="77777777" w:rsidR="00506EE2" w:rsidRDefault="00506EE2" w:rsidP="00506EE2">
      <w:pPr>
        <w:keepNext/>
        <w:spacing w:before="180" w:after="0"/>
        <w:jc w:val="center"/>
        <w:divId w:val="115218999"/>
        <w:rPr>
          <w:b/>
          <w:bCs/>
        </w:rPr>
      </w:pPr>
      <w:r>
        <w:rPr>
          <w:rFonts w:ascii="Arial" w:eastAsia="Arial" w:hAnsi="Arial" w:cs="Arial"/>
          <w:b/>
          <w:bCs/>
          <w:color w:val="000000"/>
        </w:rPr>
        <w:t>§ 15</w:t>
      </w:r>
    </w:p>
    <w:p w14:paraId="3D4919D9" w14:textId="77777777" w:rsidR="00506EE2" w:rsidRDefault="00506EE2" w:rsidP="00506EE2">
      <w:pPr>
        <w:keepNext/>
        <w:spacing w:before="180" w:after="0"/>
        <w:jc w:val="center"/>
        <w:divId w:val="115218999"/>
        <w:rPr>
          <w:rFonts w:ascii="Arial" w:hAnsi="Arial" w:cs="Arial"/>
          <w:b/>
        </w:rPr>
      </w:pPr>
      <w:r>
        <w:rPr>
          <w:rFonts w:ascii="Arial" w:hAnsi="Arial" w:cs="Arial"/>
          <w:b/>
        </w:rPr>
        <w:t>Poufność, dostęp, bezpieczne administrowanie i incydenty</w:t>
      </w:r>
    </w:p>
    <w:p w14:paraId="38716EBA" w14:textId="77777777" w:rsidR="00506EE2" w:rsidRDefault="00506EE2" w:rsidP="00506EE2">
      <w:pPr>
        <w:jc w:val="both"/>
        <w:divId w:val="115218999"/>
        <w:rPr>
          <w:b/>
        </w:rPr>
      </w:pPr>
      <w:r>
        <w:rPr>
          <w:rFonts w:ascii="Arial" w:eastAsia="Arial" w:hAnsi="Arial" w:cs="Arial"/>
          <w:color w:val="000000"/>
        </w:rPr>
        <w:t>1. Informacjami Poufnymi są wszelkie niepubliczne informacje dotyczące Zamawiającego, jego infrastruktury, procesów technologicznych, architektury IT/OT/ICS/SCADA, adresacji, konfiguracji, podatności, logów, incydentów, kont, kluczy, kopii zapasowych, danych osobowych, bezpieczeństwa fizycznego i ciągłości działania.</w:t>
      </w:r>
    </w:p>
    <w:p w14:paraId="72B1A7B0" w14:textId="77777777" w:rsidR="00506EE2" w:rsidRDefault="00506EE2" w:rsidP="00506EE2">
      <w:pPr>
        <w:jc w:val="both"/>
        <w:divId w:val="115218999"/>
        <w:rPr>
          <w:b/>
        </w:rPr>
      </w:pPr>
      <w:r>
        <w:rPr>
          <w:rFonts w:ascii="Arial" w:eastAsia="Arial" w:hAnsi="Arial" w:cs="Arial"/>
          <w:color w:val="000000"/>
        </w:rPr>
        <w:t>2. Wykonawca wykorzystuje Informacje Poufne wyłącznie do wykonania Umowy, udostępnia je zgodnie z zasadą wiedzy koniecznej i najmniejszych uprawnień, stosuje szyfrowanie, segmentację, MFA, ewidencję dostępu i środki adekwatne do ryzyka oraz odpowiada za personel i podwykonawców.</w:t>
      </w:r>
    </w:p>
    <w:p w14:paraId="247B0E24" w14:textId="77777777" w:rsidR="00506EE2" w:rsidRPr="000F5BA0" w:rsidRDefault="00506EE2" w:rsidP="00506EE2">
      <w:pPr>
        <w:jc w:val="both"/>
        <w:divId w:val="115218999"/>
        <w:rPr>
          <w:rFonts w:ascii="Arial" w:eastAsia="Arial" w:hAnsi="Arial" w:cs="Arial"/>
          <w:color w:val="000000"/>
        </w:rPr>
      </w:pPr>
      <w:r>
        <w:rPr>
          <w:rFonts w:ascii="Arial" w:eastAsia="Arial" w:hAnsi="Arial" w:cs="Arial"/>
          <w:color w:val="000000"/>
        </w:rPr>
        <w:t>3. Zdalny dostęp jest domyślnie wyłączony i może być uruchomiony wyłącznie przez zatwierdzony kanał, na oznaczony czas, z konta imiennego, MFA, rejestrowaniem sesji i możliwością jej przerwania przez Zamawiającego. Stałe, współdzielone lub nieudokumentowane konta i tunele są zabronione. Zamawiający może natychmiast przerwać lub zablokować dostęp w razie zagrożenia, podejrzenia incydentu albo naruszenia zasad dostępu; nie wymaga to uprzedniej zgody Wykonawcy.</w:t>
      </w:r>
    </w:p>
    <w:p w14:paraId="1FDA30A7" w14:textId="77777777" w:rsidR="00506EE2" w:rsidRPr="000F5BA0" w:rsidRDefault="00506EE2" w:rsidP="00506EE2">
      <w:pPr>
        <w:jc w:val="both"/>
        <w:divId w:val="115218999"/>
        <w:rPr>
          <w:rFonts w:ascii="Arial" w:eastAsia="Arial" w:hAnsi="Arial" w:cs="Arial"/>
          <w:color w:val="000000"/>
        </w:rPr>
      </w:pPr>
      <w:r>
        <w:rPr>
          <w:rFonts w:ascii="Arial" w:eastAsia="Arial" w:hAnsi="Arial" w:cs="Arial"/>
          <w:color w:val="000000"/>
        </w:rPr>
        <w:lastRenderedPageBreak/>
        <w:t xml:space="preserve">4. Przed odbiorem Wykonawca zmieni hasła fabryczne, wyłączy zbędne usługi i konta, przekaże konta właścicielskie, skonfiguruje bezpieczne mechanizmy odzyskiwania dostępu oraz udokumentuje wszystkie połączenia wychodzące, telemetrię, DNS, porty, protokoły i zależności chmurowe. Zabronione jest pozostawienie mechanizmów typu backdoor, nieujawnionych kont serwisowych, kluczy producenta lub innych dróg dostępu pozostających poza kontrolą Zamawiającego.</w:t>
      </w:r>
    </w:p>
    <w:p w14:paraId="10894BA4" w14:textId="77777777" w:rsidR="00506EE2" w:rsidRPr="000F5BA0" w:rsidRDefault="00506EE2" w:rsidP="00506EE2">
      <w:pPr>
        <w:jc w:val="both"/>
        <w:divId w:val="115218999"/>
        <w:rPr>
          <w:rFonts w:ascii="Arial" w:eastAsia="Arial" w:hAnsi="Arial" w:cs="Arial"/>
          <w:color w:val="000000"/>
        </w:rPr>
      </w:pPr>
      <w:r>
        <w:rPr>
          <w:rFonts w:ascii="Arial" w:eastAsia="Arial" w:hAnsi="Arial" w:cs="Arial"/>
          <w:color w:val="000000"/>
        </w:rPr>
        <w:t>5. Wykonawca zgłasza Zamawiającemu Incydent, podejrzenie naruszenia, nieuprawniony dostęp, utratę lub ujawnienie danych, nieautoryzowaną komunikację, naruszenie integralności albo krytyczną podatność bezzwłocznie, nie później niż w 2 godziny od stwierdzenia, i przekazuje kolejne aktualizacje zgodnie z planem komunikacji.</w:t>
      </w:r>
    </w:p>
    <w:p w14:paraId="7E27854D" w14:textId="77777777" w:rsidR="00506EE2" w:rsidRDefault="00506EE2" w:rsidP="00506EE2">
      <w:pPr>
        <w:jc w:val="both"/>
        <w:divId w:val="115218999"/>
        <w:rPr>
          <w:b/>
        </w:rPr>
      </w:pPr>
      <w:r>
        <w:rPr>
          <w:rFonts w:ascii="Arial" w:eastAsia="Arial" w:hAnsi="Arial" w:cs="Arial"/>
          <w:color w:val="000000"/>
        </w:rPr>
        <w:t>6. Wykonawca zabezpieczy dowody, ograniczy skutki, zachowa logi i obrazy, nie dokona zatarcia śladów, będzie współpracował przy analizie i usuwaniu skutków oraz sporządzi raport przyczyn źródłowych i działań korygujących.</w:t>
      </w:r>
    </w:p>
    <w:p w14:paraId="4D31DA0D" w14:textId="77777777" w:rsidR="00506EE2" w:rsidRDefault="00506EE2" w:rsidP="00506EE2">
      <w:pPr>
        <w:jc w:val="both"/>
        <w:divId w:val="115218999"/>
        <w:rPr>
          <w:b/>
        </w:rPr>
      </w:pPr>
      <w:r>
        <w:rPr>
          <w:rFonts w:ascii="Arial" w:eastAsia="Arial" w:hAnsi="Arial" w:cs="Arial"/>
          <w:color w:val="000000"/>
        </w:rPr>
        <w:t xml:space="preserve">7. Zabronione jest wprowadzanie Informacji Poufnych do publicznych lub niezatwierdzonych narzędzi generatywnej sztucznej inteligencji, usług chmurowych, systemów ticketowych lub baz wiedzy oraz wykorzystywanie ich do trenowania modeli. Użycie zatwierdzonego narzędzia wymaga umowy, kontroli retencji i wyłączenia treningu.</w:t>
      </w:r>
    </w:p>
    <w:p w14:paraId="0C8700F6" w14:textId="77777777" w:rsidR="00506EE2" w:rsidRDefault="00506EE2" w:rsidP="00506EE2">
      <w:pPr>
        <w:jc w:val="both"/>
        <w:divId w:val="115218999"/>
        <w:rPr>
          <w:b/>
        </w:rPr>
      </w:pPr>
      <w:r>
        <w:rPr>
          <w:rFonts w:ascii="Arial" w:eastAsia="Arial" w:hAnsi="Arial" w:cs="Arial"/>
          <w:color w:val="000000"/>
        </w:rPr>
        <w:t>8. Obowiązek poufności trwa bezterminowo dla informacji zachowujących poufny charakter. Po zakończeniu Wykonawca zwróci lub bezpiecznie usunie kopie i własne dostępy oraz potwierdzi to oświadczeniem, z wyjątkiem danych, które musi zachować z mocy prawa i które pozostają chronione.</w:t>
      </w:r>
    </w:p>
    <w:p w14:paraId="323CA7D9" w14:textId="77777777" w:rsidR="00506EE2" w:rsidRDefault="00506EE2" w:rsidP="00506EE2">
      <w:pPr>
        <w:keepNext/>
        <w:spacing w:before="180" w:after="0"/>
        <w:jc w:val="center"/>
        <w:divId w:val="115218999"/>
        <w:rPr>
          <w:b/>
          <w:bCs/>
        </w:rPr>
      </w:pPr>
      <w:r>
        <w:rPr>
          <w:rFonts w:ascii="Arial" w:eastAsia="Arial" w:hAnsi="Arial" w:cs="Arial"/>
          <w:b/>
          <w:bCs/>
          <w:color w:val="000000"/>
        </w:rPr>
        <w:t>§ 15a</w:t>
      </w:r>
    </w:p>
    <w:p w14:paraId="5BFFF870" w14:textId="77777777" w:rsidR="00506EE2" w:rsidRDefault="00506EE2" w:rsidP="00506EE2">
      <w:pPr>
        <w:keepNext/>
        <w:spacing w:before="180" w:after="0"/>
        <w:jc w:val="center"/>
        <w:divId w:val="115218999"/>
        <w:rPr>
          <w:rFonts w:ascii="Arial" w:hAnsi="Arial" w:cs="Arial"/>
          <w:b/>
        </w:rPr>
      </w:pPr>
      <w:r>
        <w:rPr>
          <w:rFonts w:ascii="Arial" w:hAnsi="Arial" w:cs="Arial"/>
          <w:b/>
        </w:rPr>
        <w:t>Przetwarzanie danych osobowych i lokalizacja danych</w:t>
      </w:r>
    </w:p>
    <w:p w14:paraId="05EABAE8" w14:textId="77777777" w:rsidR="00506EE2" w:rsidRDefault="00506EE2" w:rsidP="00506EE2">
      <w:pPr>
        <w:jc w:val="both"/>
        <w:divId w:val="115218999"/>
        <w:rPr>
          <w:b/>
        </w:rPr>
      </w:pPr>
      <w:r>
        <w:rPr>
          <w:rFonts w:ascii="Arial" w:eastAsia="Arial" w:hAnsi="Arial" w:cs="Arial"/>
          <w:color w:val="000000"/>
        </w:rPr>
        <w:t xml:space="preserve">1. Jeżeli wykonanie wymaga przetwarzania danych osobowych w imieniu Zamawiającego, przed dopuszczeniem do danych Strony zawrą umowę powierzenia zgodną z art. 28 </w:t>
        <w:lastRenderedPageBreak/>
        <w:t>RODO, stanowiącą załącznik do Umowy. Do czasu jej zawarcia Wykonawca nie może rozpocząć takiego przetwarzania.</w:t>
      </w:r>
    </w:p>
    <w:p w14:paraId="1910FE12" w14:textId="77777777" w:rsidR="00506EE2" w:rsidRDefault="00506EE2" w:rsidP="00506EE2">
      <w:pPr>
        <w:jc w:val="both"/>
        <w:divId w:val="115218999"/>
        <w:rPr>
          <w:b/>
        </w:rPr>
      </w:pPr>
      <w:r>
        <w:rPr>
          <w:rFonts w:ascii="Arial" w:eastAsia="Arial" w:hAnsi="Arial" w:cs="Arial"/>
          <w:color w:val="000000"/>
        </w:rPr>
        <w:t>2. Dane produkcyjne, kopie zapasowe, logi bezpieczeństwa, dane telemetryczne i ich repliki będą przechowywane i przetwarzane na terytorium Unii Europejskiej lub Europejskiego Obszaru Gospodarczego. Transfer poza EOG wymaga uprzedniej pisemnej zgody Zamawiającego, wykazania podstawy z rozdziału V RODO, oceny transferu i środków dodatkowych, a także zgodności z OPZ i wymaganiami bezpieczeństwa.</w:t>
      </w:r>
    </w:p>
    <w:p w14:paraId="3BEFBD53" w14:textId="77777777" w:rsidR="00506EE2" w:rsidRDefault="00506EE2" w:rsidP="00506EE2">
      <w:pPr>
        <w:jc w:val="both"/>
        <w:divId w:val="115218999"/>
        <w:rPr>
          <w:b/>
        </w:rPr>
      </w:pPr>
      <w:r>
        <w:rPr>
          <w:rFonts w:ascii="Arial" w:eastAsia="Arial" w:hAnsi="Arial" w:cs="Arial"/>
          <w:color w:val="000000"/>
        </w:rPr>
        <w:t>3. Wykonawca ujawni listę dalszych podmiotów przetwarzających, lokalizacje, zakres danych i mechanizmy transferowe. Zmiana wymaga uprzedniego zawiadomienia w terminie umożliwiającym wniesienie uzasadnionego sprzeciwu i nie może obniżyć ochrony.</w:t>
      </w:r>
    </w:p>
    <w:p w14:paraId="773EE93F" w14:textId="77777777" w:rsidR="00506EE2" w:rsidRDefault="00506EE2" w:rsidP="00506EE2">
      <w:pPr>
        <w:jc w:val="both"/>
        <w:divId w:val="115218999"/>
        <w:rPr>
          <w:b/>
        </w:rPr>
      </w:pPr>
      <w:r>
        <w:rPr>
          <w:rFonts w:ascii="Arial" w:eastAsia="Arial" w:hAnsi="Arial" w:cs="Arial"/>
          <w:color w:val="000000"/>
        </w:rPr>
        <w:t>4. Wykonawca wdroży środki z art. 32 RODO adekwatne do ryzyka, w tym szyfrowanie, separację, MFA, ewidencję dostępu, testowanie, kopie i odtwarzanie, zarządzanie podatnościami oraz procedury naruszeń. Na żądanie przedstawi dowody i wyniki audytów w zakresie odnoszącym się do usługi.</w:t>
      </w:r>
    </w:p>
    <w:p w14:paraId="43871CC2" w14:textId="77777777" w:rsidR="00506EE2" w:rsidRDefault="00506EE2" w:rsidP="00506EE2">
      <w:pPr>
        <w:jc w:val="both"/>
        <w:divId w:val="115218999"/>
        <w:rPr>
          <w:b/>
        </w:rPr>
      </w:pPr>
      <w:r>
        <w:rPr>
          <w:rFonts w:ascii="Arial" w:eastAsia="Arial" w:hAnsi="Arial" w:cs="Arial"/>
          <w:color w:val="000000"/>
        </w:rPr>
        <w:t>5. Naruszenie ochrony danych Wykonawca zgłosi Zamawiającemu bezzwłocznie, nie później niż w 2 godziny od wykrycia, podając co najmniej znane fakty, kategorie danych i osób, możliwe skutki, środki ograniczające i osobę kontaktową, oraz będzie aktualizował informacje tak, by umożliwić dochowanie 72-godzinnego terminu z art. 33 RODO.</w:t>
      </w:r>
    </w:p>
    <w:p w14:paraId="31671685" w14:textId="77777777" w:rsidR="00506EE2" w:rsidRDefault="00506EE2" w:rsidP="00506EE2">
      <w:pPr>
        <w:jc w:val="both"/>
        <w:divId w:val="115218999"/>
        <w:rPr>
          <w:b/>
        </w:rPr>
      </w:pPr>
      <w:r>
        <w:rPr>
          <w:rFonts w:ascii="Arial" w:eastAsia="Arial" w:hAnsi="Arial" w:cs="Arial"/>
          <w:color w:val="000000"/>
        </w:rPr>
        <w:t>6. Po zakończeniu świadczenia Wykonawca, według decyzji Zamawiającego, zwróci dane i ich kompletne eksporty, a następnie usunie wszystkie kopie, w tym z aktywnych systemów i kolejek retencyjnych w terminach uzgodnionych w umowie powierzenia, oraz przedstawi certyfikat usunięcia. Kopie zapasowe podlegają izolacji i usunięciu w najbliższym cyklu, nie dłuższym niż uzgodniony okres.</w:t>
      </w:r>
    </w:p>
    <w:p w14:paraId="5AD7B033" w14:textId="77777777" w:rsidR="00506EE2" w:rsidRDefault="00506EE2" w:rsidP="00506EE2">
      <w:pPr>
        <w:keepNext/>
        <w:spacing w:before="180" w:after="0"/>
        <w:jc w:val="center"/>
        <w:divId w:val="115218999"/>
        <w:rPr>
          <w:b/>
          <w:bCs/>
        </w:rPr>
      </w:pPr>
      <w:r>
        <w:rPr>
          <w:rFonts w:ascii="Arial" w:eastAsia="Arial" w:hAnsi="Arial" w:cs="Arial"/>
          <w:b/>
          <w:bCs/>
          <w:color w:val="000000"/>
        </w:rPr>
        <w:lastRenderedPageBreak/>
        <w:t>§ 16</w:t>
      </w:r>
    </w:p>
    <w:p w14:paraId="1F8F8419" w14:textId="6427CB33" w:rsidR="00506EE2" w:rsidRPr="000F5BA0" w:rsidRDefault="00506EE2" w:rsidP="00506EE2">
      <w:pPr>
        <w:keepNext/>
        <w:spacing w:before="180" w:after="0"/>
        <w:jc w:val="center"/>
        <w:divId w:val="115218999"/>
        <w:rPr>
          <w:rFonts w:ascii="Arial" w:hAnsi="Arial" w:cs="Arial"/>
          <w:b/>
          <w:highlight w:val="cyan"/>
        </w:rPr>
      </w:pPr>
      <w:r>
        <w:rPr>
          <w:rFonts w:ascii="Arial" w:hAnsi="Arial" w:cs="Arial"/>
          <w:b/>
          <w:highlight w:val="cyan"/>
        </w:rPr>
        <w:t xml:space="preserve">Cyberbezpieczeństwo łańcucha dostaw, podatności, negatywna rekomendacja i dostawca wysokiego ryzyka i wymagania KPO</w:t>
      </w:r>
    </w:p>
    <w:p w14:paraId="0A91DC0C" w14:textId="77777777"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1. Przedmiot Umowy w istotnym zakresie obejmuje produkty ICT, usługi ICT oraz procesy ICT w rozumieniu ustawy z 5 lipca 2018 r. o krajowym systemie cyberbezpieczeństwa, w szczególności sprzęt, oprogramowanie, urządzenia sieciowe i zabezpieczające, aplikacje, firmware, usługi chmurowe, usługi zdalne (w tym SOC/MDR) oraz procesy aktualizacji i serwisu. Wykonawca zapewnia zgodność z przepisami tej ustawy i wymaganiami Zamawiającego.</w:t>
      </w:r>
    </w:p>
    <w:p w14:paraId="18B379C6" w14:textId="77777777"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2. Wykonawca zapewnia, że na dzień zawarcia Umowy, każdej dostawy i odbioru żaden oferowany ani dostarczany typ produktu ICT, typ usługi ICT lub konkretny proces ICT nie jest wskazany w rekomendacji, o której mowa w art. 33 ust. 4 ustawy o krajowym systemie cyberbezpieczeństwa, stwierdzającej jego negatywny wpływ na podstawowy interes bezpieczeństwa państwa, ani objęty wykonalną decyzją ministra właściwego do spraw informatyzacji o uznaniu jego dostawcy za dostawcę wysokiego ryzyka, wydaną na podstawie art. 67b ust. 15 ustawy o krajowym systemie cyberbezpieczeństwa, w zakresie wskazanym w art. 67b ust. 16 tej ustawy.</w:t>
      </w:r>
    </w:p>
    <w:p w14:paraId="38536A5C" w14:textId="77777777"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3. Wykonawca przed dostawą zweryfikuje rekomendacje opublikowane w Biuletynie Informacji Publicznej Pełnomocnika Rządu do Spraw Cyberbezpieczeństwa oraz decyzje opublikowane w Monitorze Polskim i Biuletynie Informacji Publicznej oraz wykaz prowadzony na podstawie art. 67f ustawy o krajowym systemie cyberbezpieczeństwa. Na żądanie przedstawi oświadczenie obejmujące producentów, dostawców, modele, wersje firmware, usługi zdalne i procesy serwisowe istotne dla dostawy.</w:t>
      </w:r>
    </w:p>
    <w:p w14:paraId="7324258F" w14:textId="77777777"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4. Wykonawca niezwłocznie, nie później niż w 24 godziny od powzięcia wiadomości, zawiadomi Zamawiającego o opublikowaniu negatywnej rekomendacji, wszczęciu postępowania, wydaniu decyzji, zmianie wykazu albo innej okoliczności mogącej spowodować objęcie oferowanego lub dostarczonego elementu ograniczeniem dotyczącym dostawcy wysokiego ryzyka. Zawiadomienie zawiera identyfikację elementu, ocenę wpływu i propozycję bezpiecznego rozwiązania.</w:t>
      </w:r>
    </w:p>
    <w:p w14:paraId="4CC1CC7E" w14:textId="46700FA6"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5. Jeżeli przed odbiorem element zostanie objęty wykonalną decyzją, o której mowa w ust. 2, Wykonawca nie może go dostarczyć, zainstalować ani uruchomić i na własny koszt </w:t>
        <w:lastRenderedPageBreak/>
        <w:t xml:space="preserve">zastąpi go rozwiązaniem zgodnym, co najmniej równoważnym, po uzyskaniu zgody Zamawiającego i z zachowaniem art. 454-455 Pzp. Okoliczność ta nie uprawnia do zwiększenia wynagrodzenia.</w:t>
      </w:r>
    </w:p>
    <w:p w14:paraId="41CEED31" w14:textId="77777777"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6. Jeżeli po odbiorze ujawni się, że w chwili dostawy element był objęty decyzją albo Wykonawca naruszył obowiązek informacyjny, Wykonawca na własny koszt niezwłocznie odłączy, zabezpieczy, zastąpi i ponownie uruchomi rozwiązanie oraz naprawi wynikłą szkodę. Jeżeli decyzja zostanie wydana dopiero po prawidłowym odbiorze wskutek okoliczności niezależnych od Wykonawcy, Strony opracują plan wycofania lub zastąpienia zgodny z art. 67c ustawy, zasadami ciągłości działania i Pzp; rozliczenie dodatkowych świadczeń wymaga wyraźnej podstawy prawnej i aneksu.</w:t>
      </w:r>
    </w:p>
    <w:p w14:paraId="3A6E4E76" w14:textId="1E00CE33"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7. Postanowienia ust. 1-6 służą zapewnieniu zgodności również z art. 226 ust. 1 pkt 17 i 19 Pzp oraz - w zakresie, w jakim mają zastosowanie do Zamawiającego - zakazami nabywania i wprowadzania do użytkowania określonymi w art. 67c ust. 1 i 4 ustawy o krajowym systemie cyberbezpieczeństwa. Wobec charakteru Części II ocena, o której mowa w ust. 2-5, obejmuje w szczególności dostarczane rozwiązania bezpieczeństwa, urządzenia sieciowe oraz usługi zdalne i chmurowe.</w:t>
      </w:r>
    </w:p>
    <w:p w14:paraId="34C4E0A8" w14:textId="77777777" w:rsidR="00AA582E" w:rsidRPr="000F5BA0" w:rsidRDefault="00AA582E" w:rsidP="00AA582E">
      <w:pPr>
        <w:pStyle w:val="Akapitzlist"/>
        <w:ind w:left="0"/>
        <w:jc w:val="both"/>
        <w:divId w:val="115218999"/>
        <w:rPr>
          <w:bCs/>
          <w:highlight w:val="cyan"/>
        </w:rPr>
      </w:pPr>
      <w:r>
        <w:rPr>
          <w:rFonts w:ascii="Arial" w:eastAsia="Arial" w:hAnsi="Arial" w:cs="Arial"/>
          <w:color w:val="000000"/>
          <w:highlight w:val="cyan"/>
        </w:rPr>
        <w:t xml:space="preserve">8. Wykonawca dostarczy urządzenia i oprogramowanie z aktualnym, wspieranym firmware i wersją, bez znanych krytycznych podatności niewyeliminowanych dostępną poprawką, z wyłączonymi zbędnymi usługami i bez nieudokumentowanych mechanizmów zdalnego dostępu. Aktualizacja nie może obniżyć zgodności z OPZ ani przerwać pracy bez uzgodnienia.</w:t>
      </w:r>
    </w:p>
    <w:p w14:paraId="713E1A98" w14:textId="77777777" w:rsidR="00ED2689" w:rsidRDefault="00000000">
      <w:pPr>
        <w:pStyle w:val="Akapitzlist"/>
        <w:ind w:left="0"/>
        <w:jc w:val="both"/>
        <w:divId w:val="115218999"/>
        <w:rPr>
          <w:bCs/>
        </w:rPr>
      </w:pPr>
      <w:r>
        <w:rPr>
          <w:rFonts w:ascii="Arial" w:eastAsia="Arial" w:hAnsi="Arial" w:cs="Arial"/>
          <w:color w:val="000000"/>
          <w:highlight w:val="cyan"/>
        </w:rPr>
        <w:t>8a. Przez cały wymagany okres wsparcia Wykonawca monitoruje komunikaty producentów, bazy CVE i inne wiarygodne źródła dotyczące dostarczonych komponentów. Krytyczną podatność zgłasza Zamawiającemu niezwłocznie, nie później niż w 2 godziny od jej potwierdzenia, w ciągu 24 godzin przedstawia bezpieczne obejście lub środki kompensacyjne, a poprawkę albo bezpieczną aktualizację wdraża w terminie wynikającym z OPZ lub Matrycy SLA, nie dłuższym niż 5 dni roboczych, chyba że Zamawiający zaakceptuje inny termin z powodu braku poprawki producenta i skutecznego ograniczenia ryzyka. Każde działanie wymaga uzgodnienia okna, kopii konfiguracji, planu wycofania i retestu.</w:t>
      </w:r>
    </w:p>
    <w:p w14:paraId="7FEB540F" w14:textId="77777777" w:rsidR="00AA582E" w:rsidRPr="00802A28" w:rsidRDefault="00AA582E" w:rsidP="00AA582E">
      <w:pPr>
        <w:pStyle w:val="Akapitzlist"/>
        <w:ind w:left="0"/>
        <w:jc w:val="both"/>
        <w:divId w:val="115218999"/>
        <w:rPr>
          <w:bCs/>
        </w:rPr>
      </w:pPr>
      <w:r>
        <w:rPr>
          <w:rFonts w:ascii="Arial" w:eastAsia="Arial" w:hAnsi="Arial" w:cs="Arial"/>
          <w:color w:val="000000"/>
        </w:rPr>
        <w:lastRenderedPageBreak/>
        <w:t>9. Wykonawca przekaże Zamawiającemu dokumenty i wyjaśnienia niezbędne do rozliczenia wydatku, potwierdzenia wskaźników, kontroli, audytu i ewaluacji projektu, co do zasady w 3 dni robocze od wezwania albo w terminie krótszym wynikającym z kontroli.</w:t>
      </w:r>
    </w:p>
    <w:p w14:paraId="0204CB26" w14:textId="77777777" w:rsidR="00AA582E" w:rsidRPr="00802A28" w:rsidRDefault="00AA582E" w:rsidP="00AA582E">
      <w:pPr>
        <w:pStyle w:val="Akapitzlist"/>
        <w:ind w:left="0"/>
        <w:jc w:val="both"/>
        <w:divId w:val="115218999"/>
        <w:rPr>
          <w:bCs/>
        </w:rPr>
      </w:pPr>
      <w:r>
        <w:rPr>
          <w:rFonts w:ascii="Arial" w:eastAsia="Arial" w:hAnsi="Arial" w:cs="Arial"/>
          <w:color w:val="000000"/>
        </w:rPr>
        <w:t>10. Wykonawca i podwykonawcy poddają się kontroli uprawnionych instytucji krajowych i unijnych, umożliwiają wgląd do dokumentacji związanej z Umową, składają wyjaśnienia, uczestniczą w ewaluacji i wykonują dotyczące ich zalecenia pokontrolne bez odrębnego wynagrodzenia.</w:t>
      </w:r>
    </w:p>
    <w:p w14:paraId="0CF2227C" w14:textId="77777777" w:rsidR="00AA582E" w:rsidRPr="004245FF" w:rsidRDefault="00AA582E" w:rsidP="00AA582E">
      <w:pPr>
        <w:pStyle w:val="Akapitzlist"/>
        <w:spacing w:before="0" w:after="0"/>
        <w:ind w:left="0"/>
        <w:jc w:val="both"/>
        <w:divId w:val="115218999"/>
        <w:rPr>
          <w:bCs/>
        </w:rPr>
      </w:pPr>
      <w:r>
        <w:rPr>
          <w:rFonts w:ascii="Arial" w:eastAsia="Arial" w:hAnsi="Arial" w:cs="Arial"/>
          <w:color w:val="000000"/>
        </w:rPr>
        <w:t xml:space="preserve">11. Wykonawca przechowuje dokumenty dotyczące realizacji pozostające w jego posiadaniu przez 5 lat od 31 grudnia roku, w którym Partner dokonał ostatniej płatności na rzecz Grantobiorcy, z uwzględnieniem dłuższych terminów oraz zawieszenia biegu. Zamawiający zawiadomi o dacie końcowej; do tego czasu Wykonawca nie niszczy dokumentów bez zgody.</w:t>
      </w:r>
    </w:p>
    <w:p w14:paraId="4021B2EF" w14:textId="77777777" w:rsidR="00AA582E" w:rsidRDefault="00AA582E" w:rsidP="00AA582E">
      <w:pPr>
        <w:pStyle w:val="Akapitzlist"/>
        <w:spacing w:before="0" w:after="0"/>
        <w:ind w:left="0"/>
        <w:jc w:val="both"/>
        <w:divId w:val="115218999"/>
        <w:rPr>
          <w:bCs/>
        </w:rPr>
      </w:pPr>
      <w:r>
        <w:rPr>
          <w:rFonts w:ascii="Arial" w:eastAsia="Arial" w:hAnsi="Arial" w:cs="Arial"/>
          <w:color w:val="000000"/>
        </w:rPr>
        <w:t>12. Wykonawca współpracuje w utrzymaniu efektów projektu przez 3 lata od zatwierdzenia wniosku rozliczającego, w zakresie gwarancji, serwisu, dokumentacji, licencji, części i kontroli; okres ten nie tworzy nieodpłatnych świadczeń ponad Umowę.</w:t>
      </w:r>
    </w:p>
    <w:p w14:paraId="67DA5B05" w14:textId="58D39083" w:rsidR="00AA582E" w:rsidRDefault="00AA582E" w:rsidP="00AA582E">
      <w:pPr>
        <w:spacing w:before="0" w:after="0"/>
        <w:jc w:val="both"/>
        <w:divId w:val="115218999"/>
      </w:pPr>
      <w:r>
        <w:rPr>
          <w:rFonts w:ascii="Arial" w:eastAsia="Arial" w:hAnsi="Arial" w:cs="Arial"/>
          <w:color w:val="000000"/>
        </w:rPr>
        <w:t xml:space="preserve">13. Wykonawca potwierdza przez okres realizacji brak zakazów z art. 7 ust. 1 ustawy z 13 kwietnia 2022 r. oraz - jeżeli ma zastosowanie - art. 5k rozporządzenia Rady (UE) nr 833/2014 i niezwłocznie zawiadamia o zmianie statusu.</w:t>
      </w:r>
    </w:p>
    <w:p w14:paraId="3EE2C86D" w14:textId="77777777" w:rsidR="00AA582E" w:rsidRDefault="00AA582E" w:rsidP="00AA582E">
      <w:pPr>
        <w:spacing w:before="0" w:after="0"/>
        <w:jc w:val="both"/>
        <w:divId w:val="115218999"/>
      </w:pPr>
      <w:r>
        <w:rPr>
          <w:rFonts w:ascii="Arial" w:eastAsia="Arial" w:hAnsi="Arial" w:cs="Arial"/>
          <w:color w:val="000000"/>
        </w:rPr>
        <w:t>14. Wykonawca zapewnia identyfikowalność producentów, modeli, numerów seryjnych, pochodzenia, personelu, podwykonawców, kosztów i produktów, zapobiega podwójnemu finansowaniu, nadużyciom, korupcji i konfliktom interesów oraz współpracuje przy czynnościach wyjaśniających.</w:t>
      </w:r>
    </w:p>
    <w:p w14:paraId="1D2FCFDF" w14:textId="77777777" w:rsidR="00AA582E" w:rsidRDefault="00AA582E" w:rsidP="00AA582E">
      <w:pPr>
        <w:spacing w:before="0" w:after="0"/>
        <w:jc w:val="both"/>
        <w:divId w:val="115218999"/>
        <w:rPr>
          <w:rFonts w:ascii="Arial" w:eastAsia="Arial" w:hAnsi="Arial" w:cs="Arial"/>
          <w:color w:val="000000"/>
        </w:rPr>
      </w:pPr>
      <w:r>
        <w:rPr>
          <w:rFonts w:ascii="Arial" w:eastAsia="Arial" w:hAnsi="Arial" w:cs="Arial"/>
          <w:color w:val="000000"/>
        </w:rPr>
        <w:t xml:space="preserve">15. Wymagania KPO nie uprawniają Zamawiającego do jednostronnego rozszerzenia przedmiotu. Dodatkowe świadczenie wymaga podstawy w Pzp i aneksu.</w:t>
      </w:r>
    </w:p>
    <w:p w14:paraId="028F2E09" w14:textId="77777777" w:rsidR="00506EE2" w:rsidRDefault="00506EE2" w:rsidP="00506EE2">
      <w:pPr>
        <w:spacing w:before="0" w:after="0"/>
        <w:jc w:val="both"/>
        <w:divId w:val="115218999"/>
      </w:pPr>
    </w:p>
    <w:p w14:paraId="49E5CAC3" w14:textId="77777777" w:rsidR="00506EE2" w:rsidRDefault="00506EE2" w:rsidP="00506EE2">
      <w:pPr>
        <w:keepNext/>
        <w:spacing w:before="180" w:after="0"/>
        <w:jc w:val="center"/>
        <w:divId w:val="115218999"/>
        <w:rPr>
          <w:b/>
          <w:bCs/>
        </w:rPr>
      </w:pPr>
      <w:r>
        <w:rPr>
          <w:rFonts w:ascii="Arial" w:eastAsia="Arial" w:hAnsi="Arial" w:cs="Arial"/>
          <w:b/>
          <w:bCs/>
          <w:color w:val="000000"/>
        </w:rPr>
        <w:t>§ 17</w:t>
      </w:r>
    </w:p>
    <w:p w14:paraId="0FA07D3A" w14:textId="77777777" w:rsidR="00506EE2" w:rsidRDefault="00506EE2" w:rsidP="00506EE2">
      <w:pPr>
        <w:keepNext/>
        <w:spacing w:before="180" w:after="0"/>
        <w:jc w:val="center"/>
        <w:divId w:val="115218999"/>
        <w:rPr>
          <w:rFonts w:ascii="Arial" w:hAnsi="Arial" w:cs="Arial"/>
          <w:b/>
        </w:rPr>
      </w:pPr>
      <w:r>
        <w:rPr>
          <w:rFonts w:ascii="Arial" w:hAnsi="Arial" w:cs="Arial"/>
          <w:b/>
        </w:rPr>
        <w:t>Zasada DNSH, efektywność zasobowa i odpady</w:t>
      </w:r>
    </w:p>
    <w:p w14:paraId="1AF0D125" w14:textId="77777777" w:rsidR="00506EE2" w:rsidRDefault="00506EE2" w:rsidP="00506EE2">
      <w:pPr>
        <w:jc w:val="both"/>
        <w:divId w:val="115218999"/>
        <w:rPr>
          <w:b/>
        </w:rPr>
      </w:pPr>
      <w:r>
        <w:rPr>
          <w:rFonts w:ascii="Arial" w:eastAsia="Arial" w:hAnsi="Arial" w:cs="Arial"/>
          <w:color w:val="000000"/>
        </w:rPr>
        <w:t>1. Wykonawca realizuje Umowę zgodnie z zasadą „nie czyń poważnych szkód” (DNSH), o której mowa w art. 17 rozporządzenia (UE) 2020/852 i art. 5 ust. 2 rozporządzenia (UE) 2021/241, SWZ, OPZ i oświadczeniem DNSH złożonym z ofertą.</w:t>
      </w:r>
    </w:p>
    <w:p w14:paraId="23943F53" w14:textId="77777777" w:rsidR="00506EE2" w:rsidRDefault="00506EE2" w:rsidP="00506EE2">
      <w:pPr>
        <w:jc w:val="both"/>
        <w:divId w:val="115218999"/>
        <w:rPr>
          <w:b/>
        </w:rPr>
      </w:pPr>
      <w:r>
        <w:rPr>
          <w:rFonts w:ascii="Arial" w:eastAsia="Arial" w:hAnsi="Arial" w:cs="Arial"/>
          <w:color w:val="000000"/>
        </w:rPr>
        <w:lastRenderedPageBreak/>
        <w:t xml:space="preserve">2. Sprzęt elektryczny i elektroniczny spełnia mające zastosowanie wymagania dotyczące bezpieczeństwa, ograniczenia substancji niebezpiecznych, ekoprojektu, efektywności energetycznej, trwałości, naprawialności, opakowań, baterii oraz zagospodarowania po zakończeniu użytkowania.</w:t>
      </w:r>
    </w:p>
    <w:p w14:paraId="094E268D" w14:textId="77777777" w:rsidR="00506EE2" w:rsidRDefault="00506EE2" w:rsidP="00506EE2">
      <w:pPr>
        <w:jc w:val="both"/>
        <w:divId w:val="115218999"/>
        <w:rPr>
          <w:b/>
        </w:rPr>
      </w:pPr>
      <w:r>
        <w:rPr>
          <w:rFonts w:ascii="Arial" w:eastAsia="Arial" w:hAnsi="Arial" w:cs="Arial"/>
          <w:color w:val="000000"/>
        </w:rPr>
        <w:t>3. Wykonawca zapewni konfigurację oszczędzania energii i racjonalne wykorzystanie zasobów, o ile nie obniża to bezpieczeństwa lub dostępności wymaganej dla systemów krytycznych. Wirtualizacja, retencja i składowanie danych będą skonfigurowane zgodnie z potrzebą i zasadą minimalizacji.</w:t>
      </w:r>
    </w:p>
    <w:p w14:paraId="1629A912" w14:textId="77777777" w:rsidR="00506EE2" w:rsidRDefault="00506EE2" w:rsidP="00506EE2">
      <w:pPr>
        <w:jc w:val="both"/>
        <w:divId w:val="115218999"/>
        <w:rPr>
          <w:b/>
        </w:rPr>
      </w:pPr>
      <w:r>
        <w:rPr>
          <w:rFonts w:ascii="Arial" w:eastAsia="Arial" w:hAnsi="Arial" w:cs="Arial"/>
          <w:color w:val="000000"/>
        </w:rPr>
        <w:t xml:space="preserve">4. Wykonawca odbierze opakowania powstałe przy dostawie oraz zagospodaruje odpady powstałe wskutek jego czynności, w tym ZSEiE, nośniki i baterie, przez uprawnione podmioty. Na żądanie przekaże dokument legalnego przekazania, w tym potwierdzenie karty przekazania odpadów (KPO) w systemie BDO, jeżeli ma zastosowanie.</w:t>
      </w:r>
    </w:p>
    <w:p w14:paraId="5747D3B5" w14:textId="77777777" w:rsidR="00506EE2" w:rsidRDefault="00506EE2" w:rsidP="00506EE2">
      <w:pPr>
        <w:jc w:val="both"/>
        <w:divId w:val="115218999"/>
        <w:rPr>
          <w:b/>
        </w:rPr>
      </w:pPr>
      <w:r>
        <w:rPr>
          <w:rFonts w:ascii="Arial" w:eastAsia="Arial" w:hAnsi="Arial" w:cs="Arial"/>
          <w:color w:val="000000"/>
        </w:rPr>
        <w:t>5. Nośniki danych przeznaczone do usunięcia podlegają uprzedniemu bezpiecznemu kasowaniu albo fizycznemu zniszczeniu zgodnie z zatwierdzoną procedurą, z protokołem identyfikującym nośnik i metodę. Wymóg zachowania wadliwego nośnika u Zamawiającego ma pierwszeństwo.</w:t>
      </w:r>
    </w:p>
    <w:p w14:paraId="79919B1F" w14:textId="77777777" w:rsidR="00506EE2" w:rsidRDefault="00506EE2" w:rsidP="00506EE2">
      <w:pPr>
        <w:jc w:val="both"/>
        <w:divId w:val="115218999"/>
        <w:rPr>
          <w:b/>
        </w:rPr>
      </w:pPr>
      <w:r>
        <w:rPr>
          <w:rFonts w:ascii="Arial" w:eastAsia="Arial" w:hAnsi="Arial" w:cs="Arial"/>
          <w:color w:val="000000"/>
        </w:rPr>
        <w:t>6. Dokumenty i dowody DNSH wymagane SWZ i OPZ Wykonawca przekaże najpóźniej wraz z właściwą dostawą i przed odbiorem. Niezgodność usuwa na własny koszt w terminie wyznaczonym przez Zamawiającego.</w:t>
      </w:r>
    </w:p>
    <w:p w14:paraId="61F8E254" w14:textId="77777777" w:rsidR="00506EE2" w:rsidRDefault="00506EE2" w:rsidP="00506EE2">
      <w:pPr>
        <w:jc w:val="both"/>
        <w:divId w:val="115218999"/>
        <w:rPr>
          <w:b/>
        </w:rPr>
      </w:pPr>
      <w:r>
        <w:rPr>
          <w:rFonts w:ascii="Arial" w:eastAsia="Arial" w:hAnsi="Arial" w:cs="Arial"/>
          <w:color w:val="000000"/>
        </w:rPr>
        <w:t>7. Wykonawca przenosi obowiązki DNSH na podwykonawców i odpowiada za ich przestrzeganie. Istotne lub powtarzające się naruszenie, nieusunięte mimo wezwania, może uzasadniać odstąpienie.</w:t>
      </w:r>
    </w:p>
    <w:p w14:paraId="240FAA47" w14:textId="77777777" w:rsidR="00506EE2" w:rsidRDefault="00506EE2" w:rsidP="00506EE2">
      <w:pPr>
        <w:pStyle w:val="Akapitzlist"/>
        <w:ind w:left="0"/>
        <w:jc w:val="both"/>
        <w:divId w:val="115218999"/>
        <w:rPr>
          <w:rFonts w:ascii="Arial" w:hAnsi="Arial" w:cs="Arial"/>
          <w:bCs/>
        </w:rPr>
      </w:pPr>
    </w:p>
    <w:p w14:paraId="08041FA4" w14:textId="77777777" w:rsidR="00506EE2" w:rsidRDefault="00506EE2" w:rsidP="00506EE2">
      <w:pPr>
        <w:keepNext/>
        <w:spacing w:before="180" w:after="0"/>
        <w:jc w:val="center"/>
        <w:divId w:val="115218999"/>
        <w:rPr>
          <w:b/>
          <w:bCs/>
        </w:rPr>
      </w:pPr>
      <w:r>
        <w:rPr>
          <w:rFonts w:ascii="Arial" w:eastAsia="Arial" w:hAnsi="Arial" w:cs="Arial"/>
          <w:b/>
          <w:bCs/>
          <w:color w:val="000000"/>
        </w:rPr>
        <w:lastRenderedPageBreak/>
        <w:t>§ 18</w:t>
      </w:r>
    </w:p>
    <w:p w14:paraId="213E92BF" w14:textId="77777777" w:rsidR="00506EE2" w:rsidRDefault="00506EE2" w:rsidP="00506EE2">
      <w:pPr>
        <w:keepNext/>
        <w:spacing w:before="180" w:after="0"/>
        <w:jc w:val="center"/>
        <w:divId w:val="115218999"/>
        <w:rPr>
          <w:rFonts w:ascii="Arial" w:hAnsi="Arial" w:cs="Arial"/>
          <w:b/>
        </w:rPr>
      </w:pPr>
      <w:r>
        <w:rPr>
          <w:rFonts w:ascii="Arial" w:hAnsi="Arial" w:cs="Arial"/>
          <w:b/>
        </w:rPr>
        <w:t>Informacje o przetwarzaniu danych osobowych osób związanych z Umową</w:t>
      </w:r>
    </w:p>
    <w:p w14:paraId="78907DC1" w14:textId="77777777" w:rsidR="00506EE2" w:rsidRDefault="00506EE2" w:rsidP="00506EE2">
      <w:pPr>
        <w:jc w:val="both"/>
        <w:divId w:val="115218999"/>
        <w:rPr>
          <w:b/>
        </w:rPr>
      </w:pPr>
      <w:r>
        <w:rPr>
          <w:rFonts w:ascii="Arial" w:eastAsia="Arial" w:hAnsi="Arial" w:cs="Arial"/>
          <w:color w:val="000000"/>
        </w:rPr>
        <w:t xml:space="preserve">1. Administratorem danych osób reprezentujących Wykonawcę, jego personelu i podwykonawców jest Zakład Wodociągów i Kanalizacji Sp. z o.o., ul. Czatkowska 8, 83-110 Tczew.</w:t>
      </w:r>
    </w:p>
    <w:p w14:paraId="5A35432F" w14:textId="624376C3" w:rsidR="00506EE2" w:rsidRDefault="00506EE2" w:rsidP="00506EE2">
      <w:pPr>
        <w:jc w:val="both"/>
        <w:divId w:val="115218999"/>
        <w:rPr>
          <w:b/>
        </w:rPr>
      </w:pPr>
      <w:r>
        <w:rPr>
          <w:rFonts w:ascii="Arial" w:eastAsia="Arial" w:hAnsi="Arial" w:cs="Arial"/>
          <w:color w:val="000000"/>
        </w:rPr>
        <w:t xml:space="preserve">2. Kontakt z Inspektorem Ochrony Danych: Adrianna Głuchowska tel. 696 011 969.</w:t>
      </w:r>
    </w:p>
    <w:p w14:paraId="485F3578" w14:textId="2A892AC0" w:rsidR="00506EE2" w:rsidRDefault="00506EE2" w:rsidP="00506EE2">
      <w:pPr>
        <w:jc w:val="both"/>
        <w:divId w:val="115218999"/>
        <w:rPr>
          <w:b/>
        </w:rPr>
      </w:pPr>
      <w:r>
        <w:rPr>
          <w:rFonts w:ascii="Arial" w:eastAsia="Arial" w:hAnsi="Arial" w:cs="Arial"/>
          <w:color w:val="000000"/>
        </w:rPr>
        <w:t xml:space="preserve">3. Dane są przetwarzane w celu zawarcia i wykonania Umowy, wypełnienia obowiązków Pzp i KPO, zapewnienia bezpieczeństwa, kontroli, archiwizacji oraz ustalenia, dochodzenia lub obrony roszczeń, na podstawach wynikających z art. 6 ust. 1 lit. b, c i f RODO - odpowiednio do osoby i celu.</w:t>
      </w:r>
    </w:p>
    <w:p w14:paraId="07931CCE" w14:textId="77777777" w:rsidR="00506EE2" w:rsidRDefault="00506EE2" w:rsidP="00506EE2">
      <w:pPr>
        <w:jc w:val="both"/>
        <w:divId w:val="115218999"/>
        <w:rPr>
          <w:b/>
        </w:rPr>
      </w:pPr>
      <w:r>
        <w:rPr>
          <w:rFonts w:ascii="Arial" w:eastAsia="Arial" w:hAnsi="Arial" w:cs="Arial"/>
          <w:color w:val="000000"/>
        </w:rPr>
        <w:t>4. Odbiorcami mogą być podmioty uprawnione przepisami, instytucje finansujące i kontrolujące projekt, podmioty obsługujące Zamawiającego oraz osoby korzystające z jawności dokumentacji w granicach prawa.</w:t>
      </w:r>
    </w:p>
    <w:p w14:paraId="31C4C701" w14:textId="25AA39E0" w:rsidR="00506EE2" w:rsidRDefault="00506EE2" w:rsidP="00506EE2">
      <w:pPr>
        <w:jc w:val="both"/>
        <w:divId w:val="115218999"/>
        <w:rPr>
          <w:b/>
        </w:rPr>
      </w:pPr>
      <w:r>
        <w:rPr>
          <w:rFonts w:ascii="Arial" w:eastAsia="Arial" w:hAnsi="Arial" w:cs="Arial"/>
          <w:color w:val="000000"/>
        </w:rPr>
        <w:t xml:space="preserve">5. Dane są przechowywane przez okres wynikający z art. 78 Pzp, dokumentacji KPO, trwania Umowy, gwarancji, kontroli i przedawnienia roszczeń - według najdłuższego mającego zastosowanie okresu.</w:t>
      </w:r>
    </w:p>
    <w:p w14:paraId="651345BB" w14:textId="77777777" w:rsidR="00506EE2" w:rsidRDefault="00506EE2" w:rsidP="00506EE2">
      <w:pPr>
        <w:jc w:val="both"/>
        <w:divId w:val="115218999"/>
        <w:rPr>
          <w:b/>
        </w:rPr>
      </w:pPr>
      <w:r>
        <w:rPr>
          <w:rFonts w:ascii="Arial" w:eastAsia="Arial" w:hAnsi="Arial" w:cs="Arial"/>
          <w:color w:val="000000"/>
        </w:rPr>
        <w:t xml:space="preserve">6. Osobie przysługują, z ograniczeniami wynikającymi z Pzp i obowiązków archiwizacyjnych, prawa dostępu, sprostowania, ograniczenia przetwarzania i skargi do Prezesa UODO. Dane nie podlegają zautomatyzowanemu podejmowaniu decyzji ani profilowaniu.</w:t>
      </w:r>
    </w:p>
    <w:p w14:paraId="2F670501" w14:textId="77777777" w:rsidR="00506EE2" w:rsidRDefault="00506EE2" w:rsidP="00506EE2">
      <w:pPr>
        <w:jc w:val="both"/>
        <w:divId w:val="115218999"/>
        <w:rPr>
          <w:b/>
        </w:rPr>
      </w:pPr>
      <w:r>
        <w:rPr>
          <w:rFonts w:ascii="Arial" w:eastAsia="Arial" w:hAnsi="Arial" w:cs="Arial"/>
          <w:color w:val="000000"/>
        </w:rPr>
        <w:t>7. Podanie danych wymaganych prawem lub koniecznych do realizacji jest obowiązkowe; brak danych może uniemożliwić udział osoby w wykonaniu Umowy.</w:t>
      </w:r>
    </w:p>
    <w:p w14:paraId="1E37CAB0" w14:textId="77777777" w:rsidR="00506EE2" w:rsidRDefault="00506EE2" w:rsidP="00506EE2">
      <w:pPr>
        <w:jc w:val="both"/>
        <w:divId w:val="115218999"/>
        <w:rPr>
          <w:b/>
        </w:rPr>
      </w:pPr>
      <w:r>
        <w:rPr>
          <w:rFonts w:ascii="Arial" w:eastAsia="Arial" w:hAnsi="Arial" w:cs="Arial"/>
          <w:color w:val="000000"/>
        </w:rPr>
        <w:t>8. Wykonawca spełni obowiązki informacyjne wobec osób, których dane przekazuje Zamawiającemu, i zapewni zgodność ich pozyskania.</w:t>
      </w:r>
    </w:p>
    <w:p w14:paraId="5D6774D0" w14:textId="77777777" w:rsidR="00506EE2" w:rsidRDefault="00506EE2" w:rsidP="00506EE2">
      <w:pPr>
        <w:spacing w:before="0" w:after="0"/>
        <w:jc w:val="both"/>
        <w:divId w:val="115218999"/>
      </w:pPr>
    </w:p>
    <w:p w14:paraId="64F93636" w14:textId="77777777" w:rsidR="00506EE2" w:rsidRDefault="00506EE2" w:rsidP="00506EE2">
      <w:pPr>
        <w:keepNext/>
        <w:spacing w:before="180" w:after="0"/>
        <w:jc w:val="center"/>
        <w:divId w:val="115218999"/>
        <w:rPr>
          <w:b/>
          <w:bCs/>
        </w:rPr>
      </w:pPr>
      <w:r>
        <w:rPr>
          <w:rFonts w:ascii="Arial" w:eastAsia="Arial" w:hAnsi="Arial" w:cs="Arial"/>
          <w:b/>
          <w:bCs/>
          <w:color w:val="000000"/>
        </w:rPr>
        <w:t>§ 19</w:t>
      </w:r>
    </w:p>
    <w:p w14:paraId="47A1AFFA" w14:textId="77777777" w:rsidR="00506EE2" w:rsidRDefault="00506EE2" w:rsidP="00506EE2">
      <w:pPr>
        <w:keepNext/>
        <w:spacing w:before="180" w:after="0"/>
        <w:jc w:val="center"/>
        <w:divId w:val="115218999"/>
        <w:rPr>
          <w:rFonts w:ascii="Arial" w:hAnsi="Arial" w:cs="Arial"/>
          <w:b/>
        </w:rPr>
      </w:pPr>
      <w:r>
        <w:rPr>
          <w:rFonts w:ascii="Arial" w:hAnsi="Arial" w:cs="Arial"/>
          <w:b/>
        </w:rPr>
        <w:t>Wyjście z usług i ciągłość po zakończeniu Umowy</w:t>
      </w:r>
    </w:p>
    <w:p w14:paraId="20E8D50D" w14:textId="77777777" w:rsidR="00506EE2" w:rsidRPr="000F5BA0" w:rsidRDefault="00506EE2" w:rsidP="00506EE2">
      <w:pPr>
        <w:jc w:val="both"/>
        <w:divId w:val="115218999"/>
        <w:rPr>
          <w:b/>
          <w:highlight w:val="cyan"/>
        </w:rPr>
      </w:pPr>
      <w:r>
        <w:rPr>
          <w:rFonts w:ascii="Arial" w:eastAsia="Arial" w:hAnsi="Arial" w:cs="Arial"/>
          <w:color w:val="000000"/>
          <w:highlight w:val="cyan"/>
        </w:rPr>
        <w:t>1. Najpóźniej 60 dni przed zakończeniem Usługi Ciągłej Wykonawca przedstawi plan wyjścia, obejmujący harmonogram, role, eksport danych i konfiguracji, przekazanie wiedzy, migrację, wygaszenie dostępów, usunięcie danych i zachowanie ciągłości.</w:t>
      </w:r>
    </w:p>
    <w:p w14:paraId="1F42154A" w14:textId="77777777" w:rsidR="00506EE2" w:rsidRPr="000F5BA0" w:rsidRDefault="00506EE2" w:rsidP="00506EE2">
      <w:pPr>
        <w:jc w:val="both"/>
        <w:divId w:val="115218999"/>
        <w:rPr>
          <w:b/>
          <w:highlight w:val="cyan"/>
        </w:rPr>
      </w:pPr>
      <w:r>
        <w:rPr>
          <w:rFonts w:ascii="Arial" w:eastAsia="Arial" w:hAnsi="Arial" w:cs="Arial"/>
          <w:color w:val="000000"/>
          <w:highlight w:val="cyan"/>
        </w:rPr>
        <w:t>2. W okresie ostatnich 30 dni świadczenia Wykonawca zapewni rozsądne wsparcie przejęcia przez Zamawiającego lub wskazanego następcę, w tym warsztaty, wyjaśnienia, eksporty testowe, dokumentację interfejsów i weryfikację kompletności. Czynności objęte standardowym zakończeniem usługi są zawarte w wynagrodzeniu.</w:t>
      </w:r>
    </w:p>
    <w:p w14:paraId="453768E3" w14:textId="77777777" w:rsidR="00506EE2" w:rsidRPr="000F5BA0" w:rsidRDefault="00506EE2" w:rsidP="00506EE2">
      <w:pPr>
        <w:jc w:val="both"/>
        <w:divId w:val="115218999"/>
        <w:rPr>
          <w:b/>
          <w:highlight w:val="cyan"/>
        </w:rPr>
      </w:pPr>
      <w:r>
        <w:rPr>
          <w:rFonts w:ascii="Arial" w:eastAsia="Arial" w:hAnsi="Arial" w:cs="Arial"/>
          <w:color w:val="000000"/>
          <w:highlight w:val="cyan"/>
        </w:rPr>
        <w:t>3. Wykonawca nie może uzależniać wydania danych, konfiguracji, kont, kluczy, materiału dowodowego lub dokumentacji od zapłaty kwot spornych. Bezsporne należności pozostają wymagalne na zasadach Umowy.</w:t>
      </w:r>
    </w:p>
    <w:p w14:paraId="79BF9E5C" w14:textId="77777777" w:rsidR="00506EE2" w:rsidRPr="000F5BA0" w:rsidRDefault="00506EE2" w:rsidP="00506EE2">
      <w:pPr>
        <w:jc w:val="both"/>
        <w:divId w:val="115218999"/>
        <w:rPr>
          <w:b/>
          <w:highlight w:val="cyan"/>
        </w:rPr>
      </w:pPr>
      <w:r>
        <w:rPr>
          <w:rFonts w:ascii="Arial" w:eastAsia="Arial" w:hAnsi="Arial" w:cs="Arial"/>
          <w:color w:val="000000"/>
          <w:highlight w:val="cyan"/>
        </w:rPr>
        <w:t xml:space="preserve">4. Po potwierdzeniu kompletności eksportu Wykonawca wygasi własne konta, tokeny, certyfikaty, integracje i tunele, zwróci nośniki oraz usunie dane zgodnie z § 15a, przekazując protokół i certyfikat usunięcia.</w:t>
      </w:r>
    </w:p>
    <w:p w14:paraId="472B1DB7" w14:textId="77777777" w:rsidR="00506EE2" w:rsidRDefault="00506EE2" w:rsidP="00506EE2">
      <w:pPr>
        <w:jc w:val="both"/>
        <w:divId w:val="115218999"/>
        <w:rPr>
          <w:b/>
        </w:rPr>
      </w:pPr>
      <w:r>
        <w:rPr>
          <w:rFonts w:ascii="Arial" w:eastAsia="Arial" w:hAnsi="Arial" w:cs="Arial"/>
          <w:color w:val="000000"/>
          <w:highlight w:val="cyan"/>
        </w:rPr>
        <w:t>5. Obowiązki wyjścia stosuje się również w razie odstąpienia, niewypłacalności, utraty wsparcia, zmiany dostawcy wysokiego ryzyka albo zaprzestania świadczenia przez podwykonawcę.</w:t>
      </w:r>
    </w:p>
    <w:p w14:paraId="5C1FDDB4" w14:textId="77777777" w:rsidR="00506EE2" w:rsidRDefault="00506EE2" w:rsidP="00506EE2">
      <w:pPr>
        <w:keepNext/>
        <w:spacing w:before="180" w:after="0"/>
        <w:jc w:val="center"/>
        <w:divId w:val="115218999"/>
        <w:rPr>
          <w:b/>
          <w:bCs/>
        </w:rPr>
      </w:pPr>
      <w:r>
        <w:rPr>
          <w:rFonts w:ascii="Arial" w:eastAsia="Arial" w:hAnsi="Arial" w:cs="Arial"/>
          <w:b/>
          <w:bCs/>
          <w:color w:val="000000"/>
        </w:rPr>
        <w:t>§ 20</w:t>
      </w:r>
    </w:p>
    <w:p w14:paraId="4D8935A1" w14:textId="77777777" w:rsidR="00506EE2" w:rsidRDefault="00506EE2" w:rsidP="00506EE2">
      <w:pPr>
        <w:keepNext/>
        <w:spacing w:before="180" w:after="0"/>
        <w:jc w:val="center"/>
        <w:divId w:val="115218999"/>
        <w:rPr>
          <w:rFonts w:ascii="Arial" w:hAnsi="Arial" w:cs="Arial"/>
          <w:b/>
        </w:rPr>
      </w:pPr>
      <w:r>
        <w:rPr>
          <w:rFonts w:ascii="Arial" w:hAnsi="Arial" w:cs="Arial"/>
          <w:b/>
        </w:rPr>
        <w:t xml:space="preserve">Postanowienia końcowe, klauzula salwatoryjna i załączniki</w:t>
      </w:r>
    </w:p>
    <w:p w14:paraId="23DB4944" w14:textId="77777777" w:rsidR="00506EE2" w:rsidRDefault="00506EE2" w:rsidP="00506EE2">
      <w:pPr>
        <w:jc w:val="both"/>
        <w:divId w:val="115218999"/>
        <w:rPr>
          <w:b/>
        </w:rPr>
      </w:pPr>
      <w:r>
        <w:rPr>
          <w:rFonts w:ascii="Arial" w:eastAsia="Arial" w:hAnsi="Arial" w:cs="Arial"/>
          <w:color w:val="000000"/>
        </w:rPr>
        <w:t>1. Wykonawca przyjmuje do wiadomości, że u Zamawiającego obowiązuje procedura zgłoszeń wewnętrznych zgodna z ustawą z 14 czerwca 2024 r. o ochronie sygnalistów. Miejsce udostępnienia</w:t>
      </w:r>
      <w:r>
        <w:rPr>
          <w:rFonts w:ascii="Arial" w:eastAsia="Arial" w:hAnsi="Arial" w:cs="Arial"/>
          <w:color w:val="000000"/>
          <w:highlight w:val="yellow"/>
        </w:rPr>
        <w:t>: [DO UZUPEŁNIENIA].</w:t>
      </w:r>
    </w:p>
    <w:p w14:paraId="2E967F22" w14:textId="77777777" w:rsidR="00506EE2" w:rsidRDefault="00506EE2" w:rsidP="00506EE2">
      <w:pPr>
        <w:jc w:val="both"/>
        <w:divId w:val="115218999"/>
        <w:rPr>
          <w:b/>
        </w:rPr>
      </w:pPr>
      <w:r>
        <w:rPr>
          <w:rFonts w:ascii="Arial" w:eastAsia="Arial" w:hAnsi="Arial" w:cs="Arial"/>
          <w:color w:val="000000"/>
        </w:rPr>
        <w:lastRenderedPageBreak/>
        <w:t xml:space="preserve">2. Umowę zawarto w formie pisemnej albo elektronicznej, zgodnie z art. 432 Pzp. Każda Strona otrzymuje podpisany egzemplarz albo równoważny dostęp do dokumentu.</w:t>
      </w:r>
    </w:p>
    <w:p w14:paraId="5E98157D" w14:textId="77777777" w:rsidR="00506EE2" w:rsidRDefault="00506EE2" w:rsidP="00506EE2">
      <w:pPr>
        <w:jc w:val="both"/>
        <w:divId w:val="115218999"/>
        <w:rPr>
          <w:b/>
        </w:rPr>
      </w:pPr>
      <w:r>
        <w:rPr>
          <w:rFonts w:ascii="Arial" w:eastAsia="Arial" w:hAnsi="Arial" w:cs="Arial"/>
          <w:color w:val="000000"/>
        </w:rPr>
        <w:t>3. Nieważność albo niewykonalność pojedynczego postanowienia nie wpływa na pozostałą część Umowy. Strony zastąpią je postanowieniem zgodnym z prawem i możliwie najbliższym celowi zamówienia, bez niedopuszczalnej zmiany zamówienia.</w:t>
      </w:r>
    </w:p>
    <w:p w14:paraId="0B7D49F5" w14:textId="77777777" w:rsidR="00506EE2" w:rsidRDefault="00506EE2" w:rsidP="00506EE2">
      <w:pPr>
        <w:jc w:val="both"/>
        <w:divId w:val="115218999"/>
        <w:rPr>
          <w:b/>
        </w:rPr>
      </w:pPr>
      <w:r>
        <w:rPr>
          <w:rFonts w:ascii="Arial" w:eastAsia="Arial" w:hAnsi="Arial" w:cs="Arial"/>
          <w:color w:val="000000"/>
        </w:rPr>
        <w:t>4. Integralną część Umowy stanowią:</w:t>
      </w:r>
    </w:p>
    <w:p w14:paraId="608B04E8" w14:textId="22288B55"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1) Załącznik nr 1 - Formularz Oferty wraz z Formularzem Cenowym dla Części II (Załącznik nr 1.2 do SWZ);</w:t>
      </w:r>
    </w:p>
    <w:p w14:paraId="50482E5E" w14:textId="2F49C949"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2) Załącznik nr 2 - OPZ w zakresie Części II;</w:t>
      </w:r>
    </w:p>
    <w:p w14:paraId="7C27B02D" w14:textId="07E73DF3"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3) Załącznik nr 3 - Wykaz osób skierowanych do realizacji oraz Wykaz wykonanych usług / dostaw, a także dokumenty dotyczące podmiotów udostępniających zasoby - jeżeli dotyczy;</w:t>
      </w:r>
    </w:p>
    <w:p w14:paraId="199E9AFF" w14:textId="2C3DC9CC"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4) Załącznik nr 4 - zatwierdzony harmonogram, projekt techniczny i Plan Rozliczeń - po ich zatwierdzeniu;</w:t>
      </w:r>
    </w:p>
    <w:p w14:paraId="74ACEACC" w14:textId="6F37ACB1"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5) Załącznik nr 5 - Matryca SLA, Reagowania, Integracji i Testów - po ich zatwierdzeniu;</w:t>
      </w:r>
    </w:p>
    <w:p w14:paraId="28B87CDC" w14:textId="1B5C86FD"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6) Załącznik nr 6 - protokoły, inwentaryzacja sprzętu, licencji, wersji, numerów seryjnych, kont, konfiguracji i dokumentacji odbiorowej - po sporządzeniu;</w:t>
      </w:r>
    </w:p>
    <w:p w14:paraId="489ADB5D" w14:textId="26532C39"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7) Załącznik nr 7 - umowa powierzenia przetwarzania danych osobowych - jeżeli ma zastosowanie;</w:t>
      </w:r>
    </w:p>
    <w:p w14:paraId="77DE57A6" w14:textId="6EFF09C2" w:rsidR="00506EE2" w:rsidRPr="00BF5C40" w:rsidRDefault="00506EE2" w:rsidP="00506EE2">
      <w:pPr>
        <w:pStyle w:val="Akapitzlist"/>
        <w:ind w:left="0"/>
        <w:jc w:val="both"/>
        <w:divId w:val="115218999"/>
        <w:rPr>
          <w:rFonts w:ascii="Arial" w:eastAsia="Arial" w:hAnsi="Arial" w:cs="Arial"/>
          <w:color w:val="000000"/>
        </w:rPr>
      </w:pPr>
      <w:r>
        <w:rPr>
          <w:rFonts w:ascii="Arial" w:eastAsia="Arial" w:hAnsi="Arial" w:cs="Arial"/>
          <w:color w:val="000000"/>
        </w:rPr>
        <w:t xml:space="preserve">8) Załącznik nr 8 - wzory protokołów odbioru i raportów usługowych.</w:t>
      </w:r>
    </w:p>
    <w:p w14:paraId="27D5657B" w14:textId="77777777" w:rsidR="00506EE2" w:rsidRDefault="00506EE2" w:rsidP="00506EE2">
      <w:pPr>
        <w:jc w:val="both"/>
        <w:divId w:val="115218999"/>
        <w:rPr>
          <w:b/>
        </w:rPr>
      </w:pPr>
      <w:r>
        <w:rPr>
          <w:rFonts w:ascii="Arial" w:eastAsia="Arial" w:hAnsi="Arial" w:cs="Arial"/>
          <w:color w:val="000000"/>
        </w:rPr>
        <w:t xml:space="preserve"> </w:t>
      </w:r>
    </w:p>
    <w:p w14:paraId="40A2E1FF" w14:textId="77777777" w:rsidR="00506EE2" w:rsidRDefault="00506EE2" w:rsidP="00506EE2">
      <w:pPr>
        <w:pStyle w:val="Akapitzlist"/>
        <w:ind w:left="0"/>
        <w:jc w:val="both"/>
        <w:divId w:val="115218999"/>
        <w:rPr>
          <w:rFonts w:ascii="Arial" w:hAnsi="Arial" w:cs="Arial"/>
        </w:rPr>
      </w:pPr>
      <w:r>
        <w:rPr>
          <w:rFonts w:ascii="Arial" w:hAnsi="Arial" w:cs="Arial"/>
        </w:rPr>
        <w:t xml:space="preserve">Zamawiający </w:t>
        <w:tab/>
        <w:tab/>
        <w:tab/>
        <w:tab/>
        <w:tab/>
        <w:tab/>
        <w:tab/>
        <w:tab/>
        <w:tab/>
        <w:t>Wykonawca</w:t>
      </w:r>
    </w:p>
    <w:p w14:paraId="43C4C3F6" w14:textId="77777777" w:rsidR="00506EE2" w:rsidRDefault="00506EE2" w:rsidP="00506EE2">
      <w:pPr>
        <w:jc w:val="both"/>
        <w:divId w:val="115218999"/>
        <w:rPr>
          <w:b/>
        </w:rPr>
      </w:pPr>
      <w:r>
        <w:rPr>
          <w:rFonts w:ascii="Arial" w:eastAsia="Arial" w:hAnsi="Arial" w:cs="Arial"/>
          <w:color w:val="000000"/>
        </w:rPr>
        <w:t xml:space="preserve"> </w:t>
      </w:r>
    </w:p>
    <w:p w14:paraId="6E9E836A" w14:textId="77777777" w:rsidR="00506EE2" w:rsidRDefault="00506EE2" w:rsidP="00506EE2">
      <w:pPr>
        <w:jc w:val="both"/>
        <w:divId w:val="115218999"/>
        <w:rPr>
          <w:b/>
        </w:rPr>
      </w:pPr>
      <w:r>
        <w:rPr>
          <w:rFonts w:ascii="Arial" w:eastAsia="Arial" w:hAnsi="Arial" w:cs="Arial"/>
          <w:color w:val="000000"/>
        </w:rPr>
        <w:t xml:space="preserve"> </w:t>
      </w:r>
    </w:p>
    <w:p w14:paraId="265BA048" w14:textId="2FA6C674" w:rsidR="00F2602C" w:rsidRPr="00545C78" w:rsidRDefault="00F2602C" w:rsidP="00545C78">
      <w:pPr>
        <w:divId w:val="115218999"/>
      </w:pPr>
    </w:p>
    <w:sectPr w:rsidR="00F2602C" w:rsidRPr="00545C78" w:rsidSect="0083138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85" w:right="1134" w:bottom="1446" w:left="1134"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31108" w14:textId="77777777" w:rsidR="002A0BAC" w:rsidRDefault="002A0BAC">
      <w:r>
        <w:separator/>
      </w:r>
    </w:p>
  </w:endnote>
  <w:endnote w:type="continuationSeparator" w:id="0">
    <w:p w14:paraId="727FBF4E" w14:textId="77777777" w:rsidR="002A0BAC" w:rsidRDefault="002A0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35DF" w14:textId="4670E1D8" w:rsidR="00760990" w:rsidRDefault="00E11B66" w:rsidP="00E11B66">
    <w:pPr>
      <w:pStyle w:val="Stopka"/>
      <w:jc w:val="center"/>
    </w:pPr>
    <w:r>
      <w:rPr>
        <w:rFonts w:ascii="Arial" w:hAnsi="Arial" w:cs="Arial"/>
        <w:sz w:val="20"/>
        <w:szCs w:val="20"/>
      </w:rPr>
      <w:fldChar w:fldCharType="begin"/>
    </w:r>
    <w:r>
      <w:rPr>
        <w:rFonts w:ascii="Arial" w:hAnsi="Arial" w:cs="Arial"/>
        <w:sz w:val="20"/>
        <w:szCs w:val="20"/>
      </w:rPr>
      <w:instrText>PAGE</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7E6A" w14:textId="50FA8C71" w:rsidR="00C24F21" w:rsidRPr="00C24F21" w:rsidRDefault="00C41A18" w:rsidP="00CA518A">
    <w:pPr>
      <w:pStyle w:val="Stopka"/>
      <w:tabs>
        <w:tab w:val="right" w:pos="9720"/>
      </w:tabs>
      <w:jc w:val="center"/>
      <w:rPr>
        <w:rFonts w:asciiTheme="minorHAnsi" w:hAnsiTheme="minorHAnsi" w:cstheme="minorHAnsi"/>
        <w:color w:val="646464"/>
        <w:sz w:val="10"/>
        <w:szCs w:val="10"/>
      </w:rPr>
    </w:pPr>
    <w:r>
      <w:rPr>
        <w:rFonts w:asciiTheme="minorHAnsi" w:hAnsiTheme="minorHAnsi" w:cstheme="minorHAnsi"/>
        <w:noProof/>
        <w:color w:val="474747"/>
        <w:sz w:val="10"/>
        <w:szCs w:val="10"/>
        <w:lang w:eastAsia="pl-PL"/>
      </w:rPr>
      <w:drawing>
        <wp:inline distT="0" distB="0" distL="0" distR="0" wp14:anchorId="03E1F92F" wp14:editId="508295A2">
          <wp:extent cx="4434840" cy="335280"/>
          <wp:effectExtent l="0" t="0" r="0" b="7620"/>
          <wp:docPr id="2679688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A0" w14:textId="66359CDE" w:rsidR="00760990" w:rsidRPr="00A25198" w:rsidRDefault="00A25198" w:rsidP="00A25198">
    <w:pPr>
      <w:pStyle w:val="Stopka"/>
      <w:tabs>
        <w:tab w:val="right" w:pos="9720"/>
      </w:tabs>
      <w:rPr>
        <w:rFonts w:asciiTheme="minorHAnsi" w:hAnsiTheme="minorHAnsi" w:cstheme="minorHAnsi"/>
        <w:color w:val="646464"/>
        <w:sz w:val="10"/>
        <w:szCs w:val="10"/>
      </w:rPr>
    </w:pPr>
    <w:r w:rsidRPr="00A25198">
      <w:rPr>
        <w:rFonts w:asciiTheme="minorHAnsi" w:hAnsiTheme="minorHAnsi" w:cstheme="minorHAnsi"/>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27015396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A25198">
      <w:rPr>
        <w:rFonts w:asciiTheme="minorHAnsi" w:hAnsiTheme="minorHAnsi" w:cstheme="minorHAnsi"/>
        <w:color w:val="646464"/>
        <w:sz w:val="10"/>
        <w:szCs w:val="10"/>
      </w:rPr>
      <w:t xml:space="preserve">CENTRUM PROJEKTÓW POLSKA CYFROWA </w:t>
    </w:r>
    <w:r w:rsidRPr="00A25198">
      <w:rPr>
        <w:rFonts w:asciiTheme="minorHAnsi" w:hAnsiTheme="minorHAnsi" w:cstheme="minorHAnsi"/>
        <w:color w:val="646464"/>
        <w:sz w:val="10"/>
        <w:szCs w:val="10"/>
      </w:rPr>
      <w:br/>
      <w:t>ul. Spokojna 13A, 01-044 Warszawa | infolinia: +48 223152340 | e-mail: cppc@cppc.gov.pl</w:t>
    </w:r>
    <w:r w:rsidR="00DD0758">
      <w:rPr>
        <w:rFonts w:asciiTheme="minorHAnsi" w:hAnsiTheme="minorHAnsi" w:cstheme="minorHAnsi"/>
        <w:noProof/>
        <w:sz w:val="10"/>
        <w:szCs w:val="10"/>
        <w:lang w:eastAsia="pl-PL"/>
      </w:rPr>
      <w:drawing>
        <wp:anchor distT="0" distB="0" distL="114300" distR="114300" simplePos="0" relativeHeight="251658752" behindDoc="1" locked="0" layoutInCell="0" allowOverlap="1" wp14:anchorId="323B3CE1" wp14:editId="66EB269F">
          <wp:simplePos x="0" y="0"/>
          <wp:positionH relativeFrom="margin">
            <wp:posOffset>-768350</wp:posOffset>
          </wp:positionH>
          <wp:positionV relativeFrom="margin">
            <wp:posOffset>6109335</wp:posOffset>
          </wp:positionV>
          <wp:extent cx="6120130" cy="2679065"/>
          <wp:effectExtent l="0" t="0" r="0" b="6985"/>
          <wp:wrapNone/>
          <wp:docPr id="95432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F922" w14:textId="77777777" w:rsidR="002A0BAC" w:rsidRDefault="002A0BAC">
      <w:r>
        <w:separator/>
      </w:r>
    </w:p>
  </w:footnote>
  <w:footnote w:type="continuationSeparator" w:id="0">
    <w:p w14:paraId="47ED92B3" w14:textId="77777777" w:rsidR="002A0BAC" w:rsidRDefault="002A0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96D4" w14:textId="77777777" w:rsidR="00545C78" w:rsidRDefault="00545C7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5DA7" w14:textId="775F8A99" w:rsidR="00C41A18" w:rsidRDefault="00000000" w:rsidP="00831382">
    <w:pPr>
      <w:pStyle w:val="Nagwek"/>
    </w:pPr>
    <w:sdt>
      <w:sdtPr>
        <w:id w:val="63610023"/>
        <w:docPartObj>
          <w:docPartGallery w:val="Page Numbers (Margins)"/>
          <w:docPartUnique/>
        </w:docPartObj>
      </w:sdtPr>
      <w:sdtContent>
        <w:r w:rsidR="000D0A1A">
          <w:rPr>
            <w:noProof/>
            <w:lang w:eastAsia="pl-PL"/>
          </w:rPr>
          <mc:AlternateContent>
            <mc:Choice Requires="wps">
              <w:drawing>
                <wp:anchor distT="0" distB="0" distL="114300" distR="114300" simplePos="0" relativeHeight="251660288" behindDoc="0" locked="0" layoutInCell="0" allowOverlap="1" wp14:anchorId="7FABD90B" wp14:editId="165A8C80">
                  <wp:simplePos x="0" y="0"/>
                  <wp:positionH relativeFrom="rightMargin">
                    <wp:align>center</wp:align>
                  </wp:positionH>
                  <wp:positionV relativeFrom="margin">
                    <wp:align>bottom</wp:align>
                  </wp:positionV>
                  <wp:extent cx="510540" cy="2183130"/>
                  <wp:effectExtent l="0" t="0" r="3810" b="0"/>
                  <wp:wrapNone/>
                  <wp:docPr id="1434756258"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2834A" w14:textId="77777777" w:rsidR="000D0A1A" w:rsidRDefault="000D0A1A">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DA5598" w:rsidRPr="00DA5598">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FABD90B" id="Prostokąt 1" o:spid="_x0000_s1026" style="position:absolute;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" o:allowincell="f" filled="f" stroked="f">
                  <v:textbox style="layout-flow:vertical;mso-layout-flow-alt:bottom-to-top;mso-fit-shape-to-text:t">
                    <w:txbxContent>
                      <w:p w14:paraId="7EB2834A" w14:textId="77777777" w:rsidR="000D0A1A" w:rsidRDefault="000D0A1A">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DA5598" w:rsidRPr="00DA5598">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831382">
      <w:rPr>
        <w:noProof/>
        <w:lang w:eastAsia="pl-PL"/>
      </w:rPr>
      <w:drawing>
        <wp:inline distT="0" distB="0" distL="0" distR="0" wp14:anchorId="466F0F03" wp14:editId="2D9FC121">
          <wp:extent cx="1928267" cy="557100"/>
          <wp:effectExtent l="0" t="0" r="0" b="0"/>
          <wp:docPr id="185892570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1">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r w:rsidR="00CA518A" w:rsidRPr="00CA518A">
      <w:rPr>
        <w:rFonts w:asciiTheme="minorHAnsi" w:hAnsiTheme="minorHAnsi" w:cstheme="minorHAnsi"/>
        <w:noProof/>
        <w:color w:val="646464"/>
        <w:sz w:val="10"/>
        <w:szCs w:val="10"/>
        <w:lang w:eastAsia="pl-PL"/>
      </w:rPr>
      <w:drawing>
        <wp:anchor distT="0" distB="0" distL="114300" distR="114300" simplePos="0" relativeHeight="251657216" behindDoc="1" locked="0" layoutInCell="1" allowOverlap="1" wp14:anchorId="1857C250" wp14:editId="289F219D">
          <wp:simplePos x="0" y="0"/>
          <wp:positionH relativeFrom="margin">
            <wp:align>center</wp:align>
          </wp:positionH>
          <wp:positionV relativeFrom="margin">
            <wp:posOffset>4107815</wp:posOffset>
          </wp:positionV>
          <wp:extent cx="7513200" cy="4305600"/>
          <wp:effectExtent l="0" t="0" r="0" b="0"/>
          <wp:wrapNone/>
          <wp:docPr id="1027142425"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2">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0A1A">
      <w:t xml:space="preserve">                                                         </w:t>
    </w:r>
    <w:r w:rsidR="0083138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0"/>
    <w:multiLevelType w:val="singleLevel"/>
    <w:tmpl w:val="1CCE67D2"/>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F45AA2"/>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5E7B9C"/>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1C60F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865847B0"/>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8F96FCF"/>
    <w:multiLevelType w:val="multilevel"/>
    <w:tmpl w:val="73CCC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E464F4"/>
    <w:multiLevelType w:val="multilevel"/>
    <w:tmpl w:val="5F687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BB31BF"/>
    <w:multiLevelType w:val="hybridMultilevel"/>
    <w:tmpl w:val="D6A89A0A"/>
    <w:lvl w:ilvl="0" w:tplc="DABAB93C">
      <w:start w:val="1"/>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1318422B"/>
    <w:multiLevelType w:val="hybridMultilevel"/>
    <w:tmpl w:val="F3CC98E4"/>
    <w:lvl w:ilvl="0" w:tplc="0F1C13FA">
      <w:start w:val="1"/>
      <w:numFmt w:val="decimal"/>
      <w:lvlText w:val="%1)"/>
      <w:lvlJc w:val="left"/>
      <w:pPr>
        <w:ind w:left="720" w:hanging="360"/>
      </w:pPr>
      <w:rPr>
        <w:rFonts w:hint="default"/>
        <w:b w:val="0"/>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911A97"/>
    <w:multiLevelType w:val="multilevel"/>
    <w:tmpl w:val="83C6D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DA68C5"/>
    <w:multiLevelType w:val="multilevel"/>
    <w:tmpl w:val="3A72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FC1FE7"/>
    <w:multiLevelType w:val="multilevel"/>
    <w:tmpl w:val="2C7E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4374DA"/>
    <w:multiLevelType w:val="multilevel"/>
    <w:tmpl w:val="25D82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0043A4"/>
    <w:multiLevelType w:val="multilevel"/>
    <w:tmpl w:val="60424C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53B7A1E"/>
    <w:multiLevelType w:val="hybridMultilevel"/>
    <w:tmpl w:val="4344F0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5C4B5C"/>
    <w:multiLevelType w:val="multilevel"/>
    <w:tmpl w:val="25C2F92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5FE1DAE"/>
    <w:multiLevelType w:val="multilevel"/>
    <w:tmpl w:val="9E72F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463259"/>
    <w:multiLevelType w:val="hybridMultilevel"/>
    <w:tmpl w:val="8056F06C"/>
    <w:lvl w:ilvl="0" w:tplc="55C82E2A">
      <w:start w:val="1"/>
      <w:numFmt w:val="decimal"/>
      <w:pStyle w:val="Nagwek4"/>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6C473A"/>
    <w:multiLevelType w:val="hybridMultilevel"/>
    <w:tmpl w:val="AA7AAD7A"/>
    <w:lvl w:ilvl="0" w:tplc="93F8070A">
      <w:start w:val="1"/>
      <w:numFmt w:val="lowerLetter"/>
      <w:pStyle w:val="ABC"/>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3D4513D"/>
    <w:multiLevelType w:val="multilevel"/>
    <w:tmpl w:val="A550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641B04"/>
    <w:multiLevelType w:val="multilevel"/>
    <w:tmpl w:val="1CF2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CE2237"/>
    <w:multiLevelType w:val="multilevel"/>
    <w:tmpl w:val="82300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3D0D84"/>
    <w:multiLevelType w:val="multilevel"/>
    <w:tmpl w:val="6FE06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B6CBD"/>
    <w:multiLevelType w:val="multilevel"/>
    <w:tmpl w:val="CE52B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150939"/>
    <w:multiLevelType w:val="hybridMultilevel"/>
    <w:tmpl w:val="CE2C20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914457"/>
    <w:multiLevelType w:val="hybridMultilevel"/>
    <w:tmpl w:val="15D882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6113DF4"/>
    <w:multiLevelType w:val="multilevel"/>
    <w:tmpl w:val="FF9E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34593A"/>
    <w:multiLevelType w:val="multilevel"/>
    <w:tmpl w:val="7C2C3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034FD1"/>
    <w:multiLevelType w:val="hybridMultilevel"/>
    <w:tmpl w:val="5F8E62B6"/>
    <w:lvl w:ilvl="0" w:tplc="9EC22258">
      <w:start w:val="1"/>
      <w:numFmt w:val="decimal"/>
      <w:pStyle w:val="123Znak"/>
      <w:lvlText w:val="%1."/>
      <w:lvlJc w:val="left"/>
      <w:pPr>
        <w:tabs>
          <w:tab w:val="num" w:pos="397"/>
        </w:tabs>
        <w:ind w:left="357" w:hanging="357"/>
      </w:pPr>
      <w:rPr>
        <w:rFonts w:hint="default"/>
      </w:rPr>
    </w:lvl>
    <w:lvl w:ilvl="1" w:tplc="FA18106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901015411">
    <w:abstractNumId w:val="22"/>
  </w:num>
  <w:num w:numId="2" w16cid:durableId="609433524">
    <w:abstractNumId w:val="23"/>
    <w:lvlOverride w:ilvl="0">
      <w:startOverride w:val="1"/>
    </w:lvlOverride>
  </w:num>
  <w:num w:numId="3" w16cid:durableId="152255590">
    <w:abstractNumId w:val="33"/>
    <w:lvlOverride w:ilvl="0">
      <w:startOverride w:val="1"/>
    </w:lvlOverride>
  </w:num>
  <w:num w:numId="4" w16cid:durableId="703141975">
    <w:abstractNumId w:val="7"/>
  </w:num>
  <w:num w:numId="5" w16cid:durableId="1154830402">
    <w:abstractNumId w:val="6"/>
  </w:num>
  <w:num w:numId="6" w16cid:durableId="1868834154">
    <w:abstractNumId w:val="4"/>
  </w:num>
  <w:num w:numId="7" w16cid:durableId="718014246">
    <w:abstractNumId w:val="13"/>
  </w:num>
  <w:num w:numId="8" w16cid:durableId="736896424">
    <w:abstractNumId w:val="8"/>
  </w:num>
  <w:num w:numId="9" w16cid:durableId="650214229">
    <w:abstractNumId w:val="30"/>
  </w:num>
  <w:num w:numId="10" w16cid:durableId="1476145748">
    <w:abstractNumId w:val="15"/>
  </w:num>
  <w:num w:numId="11" w16cid:durableId="875699414">
    <w:abstractNumId w:val="27"/>
  </w:num>
  <w:num w:numId="12" w16cid:durableId="1615870197">
    <w:abstractNumId w:val="21"/>
  </w:num>
  <w:num w:numId="13" w16cid:durableId="1977446013">
    <w:abstractNumId w:val="11"/>
  </w:num>
  <w:num w:numId="14" w16cid:durableId="1278215041">
    <w:abstractNumId w:val="25"/>
  </w:num>
  <w:num w:numId="15" w16cid:durableId="694231632">
    <w:abstractNumId w:val="14"/>
  </w:num>
  <w:num w:numId="16" w16cid:durableId="1126511824">
    <w:abstractNumId w:val="17"/>
  </w:num>
  <w:num w:numId="17" w16cid:durableId="1978797500">
    <w:abstractNumId w:val="26"/>
  </w:num>
  <w:num w:numId="18" w16cid:durableId="1920872266">
    <w:abstractNumId w:val="10"/>
  </w:num>
  <w:num w:numId="19" w16cid:durableId="1196819683">
    <w:abstractNumId w:val="28"/>
  </w:num>
  <w:num w:numId="20" w16cid:durableId="454523653">
    <w:abstractNumId w:val="18"/>
  </w:num>
  <w:num w:numId="21" w16cid:durableId="1423801303">
    <w:abstractNumId w:val="31"/>
  </w:num>
  <w:num w:numId="22" w16cid:durableId="1731532762">
    <w:abstractNumId w:val="32"/>
  </w:num>
  <w:num w:numId="23" w16cid:durableId="1631668226">
    <w:abstractNumId w:val="9"/>
  </w:num>
  <w:num w:numId="24" w16cid:durableId="1769696050">
    <w:abstractNumId w:val="5"/>
  </w:num>
  <w:num w:numId="25" w16cid:durableId="342514994">
    <w:abstractNumId w:val="3"/>
  </w:num>
  <w:num w:numId="26" w16cid:durableId="538708563">
    <w:abstractNumId w:val="2"/>
  </w:num>
  <w:num w:numId="27" w16cid:durableId="713234473">
    <w:abstractNumId w:val="1"/>
  </w:num>
  <w:num w:numId="28" w16cid:durableId="2121146448">
    <w:abstractNumId w:val="0"/>
  </w:num>
  <w:num w:numId="29" w16cid:durableId="1958176284">
    <w:abstractNumId w:val="12"/>
  </w:num>
  <w:num w:numId="30" w16cid:durableId="173812549">
    <w:abstractNumId w:val="24"/>
  </w:num>
  <w:num w:numId="31" w16cid:durableId="935600869">
    <w:abstractNumId w:val="16"/>
  </w:num>
  <w:num w:numId="32" w16cid:durableId="263878528">
    <w:abstractNumId w:val="20"/>
  </w:num>
  <w:num w:numId="33" w16cid:durableId="196703065">
    <w:abstractNumId w:val="29"/>
  </w:num>
  <w:num w:numId="34" w16cid:durableId="54282252">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2E2"/>
    <w:rsid w:val="00004DB4"/>
    <w:rsid w:val="00010FC6"/>
    <w:rsid w:val="00024D7C"/>
    <w:rsid w:val="000301A2"/>
    <w:rsid w:val="0004603C"/>
    <w:rsid w:val="00051480"/>
    <w:rsid w:val="00057113"/>
    <w:rsid w:val="00057279"/>
    <w:rsid w:val="0006061E"/>
    <w:rsid w:val="00065C40"/>
    <w:rsid w:val="000664B3"/>
    <w:rsid w:val="00092A13"/>
    <w:rsid w:val="00094EF6"/>
    <w:rsid w:val="000968EA"/>
    <w:rsid w:val="000A6078"/>
    <w:rsid w:val="000A73E2"/>
    <w:rsid w:val="000D0A1A"/>
    <w:rsid w:val="000E21EF"/>
    <w:rsid w:val="000E2790"/>
    <w:rsid w:val="000E7884"/>
    <w:rsid w:val="000F56B1"/>
    <w:rsid w:val="000F5BA0"/>
    <w:rsid w:val="000F7911"/>
    <w:rsid w:val="0010162A"/>
    <w:rsid w:val="00122AFE"/>
    <w:rsid w:val="00126F37"/>
    <w:rsid w:val="00127393"/>
    <w:rsid w:val="001302BA"/>
    <w:rsid w:val="001404AA"/>
    <w:rsid w:val="00142421"/>
    <w:rsid w:val="001525D1"/>
    <w:rsid w:val="001561C5"/>
    <w:rsid w:val="001626AA"/>
    <w:rsid w:val="00163505"/>
    <w:rsid w:val="0016529B"/>
    <w:rsid w:val="001757B5"/>
    <w:rsid w:val="001844FB"/>
    <w:rsid w:val="00184F2F"/>
    <w:rsid w:val="00187CDB"/>
    <w:rsid w:val="001923C9"/>
    <w:rsid w:val="001A1348"/>
    <w:rsid w:val="001A183C"/>
    <w:rsid w:val="001B168E"/>
    <w:rsid w:val="001C32D8"/>
    <w:rsid w:val="001C3B19"/>
    <w:rsid w:val="001C625B"/>
    <w:rsid w:val="001D52FC"/>
    <w:rsid w:val="001E3709"/>
    <w:rsid w:val="001F550F"/>
    <w:rsid w:val="00201D9E"/>
    <w:rsid w:val="002076E9"/>
    <w:rsid w:val="00211E4B"/>
    <w:rsid w:val="00213EB5"/>
    <w:rsid w:val="00214307"/>
    <w:rsid w:val="0022026A"/>
    <w:rsid w:val="00226BF0"/>
    <w:rsid w:val="002366FE"/>
    <w:rsid w:val="00241CDD"/>
    <w:rsid w:val="002433E8"/>
    <w:rsid w:val="00245805"/>
    <w:rsid w:val="00246DA8"/>
    <w:rsid w:val="00250459"/>
    <w:rsid w:val="00250E91"/>
    <w:rsid w:val="00251C23"/>
    <w:rsid w:val="00254FF5"/>
    <w:rsid w:val="002571F6"/>
    <w:rsid w:val="0025785B"/>
    <w:rsid w:val="002712FB"/>
    <w:rsid w:val="0027145C"/>
    <w:rsid w:val="0028564C"/>
    <w:rsid w:val="00285E08"/>
    <w:rsid w:val="00296EEF"/>
    <w:rsid w:val="002A09A2"/>
    <w:rsid w:val="002A0BAC"/>
    <w:rsid w:val="002A2E5C"/>
    <w:rsid w:val="002A40F1"/>
    <w:rsid w:val="002B08FC"/>
    <w:rsid w:val="002B191B"/>
    <w:rsid w:val="002B2790"/>
    <w:rsid w:val="002B40F4"/>
    <w:rsid w:val="002B4A6B"/>
    <w:rsid w:val="002D12B8"/>
    <w:rsid w:val="002D66BB"/>
    <w:rsid w:val="002D7E01"/>
    <w:rsid w:val="002E0064"/>
    <w:rsid w:val="002E4EE4"/>
    <w:rsid w:val="002E6BDD"/>
    <w:rsid w:val="002F0CB0"/>
    <w:rsid w:val="002F66E8"/>
    <w:rsid w:val="002F6D37"/>
    <w:rsid w:val="00300B86"/>
    <w:rsid w:val="00304CAE"/>
    <w:rsid w:val="003059D0"/>
    <w:rsid w:val="00310274"/>
    <w:rsid w:val="003134FE"/>
    <w:rsid w:val="00315B19"/>
    <w:rsid w:val="003165EB"/>
    <w:rsid w:val="00334A65"/>
    <w:rsid w:val="003375A7"/>
    <w:rsid w:val="003428FC"/>
    <w:rsid w:val="00344558"/>
    <w:rsid w:val="00352807"/>
    <w:rsid w:val="00365AAC"/>
    <w:rsid w:val="003663C7"/>
    <w:rsid w:val="00366BDE"/>
    <w:rsid w:val="0037317F"/>
    <w:rsid w:val="003806AC"/>
    <w:rsid w:val="003816DA"/>
    <w:rsid w:val="00385FFB"/>
    <w:rsid w:val="003916AE"/>
    <w:rsid w:val="00393E28"/>
    <w:rsid w:val="003950B9"/>
    <w:rsid w:val="003A09AD"/>
    <w:rsid w:val="003A6324"/>
    <w:rsid w:val="003A7178"/>
    <w:rsid w:val="003C5B49"/>
    <w:rsid w:val="003C67B5"/>
    <w:rsid w:val="003D1FCB"/>
    <w:rsid w:val="003E0B56"/>
    <w:rsid w:val="00401986"/>
    <w:rsid w:val="004115FB"/>
    <w:rsid w:val="00412555"/>
    <w:rsid w:val="004246C5"/>
    <w:rsid w:val="0042569F"/>
    <w:rsid w:val="00432E8F"/>
    <w:rsid w:val="00434EB3"/>
    <w:rsid w:val="004351FC"/>
    <w:rsid w:val="004406B9"/>
    <w:rsid w:val="004458FE"/>
    <w:rsid w:val="00446ABE"/>
    <w:rsid w:val="00451EE4"/>
    <w:rsid w:val="00463F37"/>
    <w:rsid w:val="00475DD1"/>
    <w:rsid w:val="00480D16"/>
    <w:rsid w:val="0048234B"/>
    <w:rsid w:val="00482EA3"/>
    <w:rsid w:val="0048310E"/>
    <w:rsid w:val="004844AD"/>
    <w:rsid w:val="00486905"/>
    <w:rsid w:val="00490A29"/>
    <w:rsid w:val="00495872"/>
    <w:rsid w:val="004B6070"/>
    <w:rsid w:val="004D2CA8"/>
    <w:rsid w:val="004D3C16"/>
    <w:rsid w:val="004D5EA4"/>
    <w:rsid w:val="004E12D5"/>
    <w:rsid w:val="004E617E"/>
    <w:rsid w:val="004E62F6"/>
    <w:rsid w:val="004F340A"/>
    <w:rsid w:val="004F56EA"/>
    <w:rsid w:val="005035E3"/>
    <w:rsid w:val="005052FB"/>
    <w:rsid w:val="0050539E"/>
    <w:rsid w:val="00506EE2"/>
    <w:rsid w:val="005115C2"/>
    <w:rsid w:val="00523184"/>
    <w:rsid w:val="00523C26"/>
    <w:rsid w:val="005261C4"/>
    <w:rsid w:val="00530AE1"/>
    <w:rsid w:val="00545C78"/>
    <w:rsid w:val="00547191"/>
    <w:rsid w:val="00547FEE"/>
    <w:rsid w:val="00561772"/>
    <w:rsid w:val="00567D07"/>
    <w:rsid w:val="00567DE1"/>
    <w:rsid w:val="005752A9"/>
    <w:rsid w:val="00577A11"/>
    <w:rsid w:val="00581AAD"/>
    <w:rsid w:val="005931D3"/>
    <w:rsid w:val="00596F7C"/>
    <w:rsid w:val="00597AB1"/>
    <w:rsid w:val="005A023F"/>
    <w:rsid w:val="005A056A"/>
    <w:rsid w:val="005A219D"/>
    <w:rsid w:val="005A2328"/>
    <w:rsid w:val="005A2FF3"/>
    <w:rsid w:val="005B1826"/>
    <w:rsid w:val="005B7917"/>
    <w:rsid w:val="005C29F3"/>
    <w:rsid w:val="005C3AD9"/>
    <w:rsid w:val="005C43D9"/>
    <w:rsid w:val="005D6F45"/>
    <w:rsid w:val="005E009E"/>
    <w:rsid w:val="005E0458"/>
    <w:rsid w:val="005E1C0C"/>
    <w:rsid w:val="005E1D20"/>
    <w:rsid w:val="005E22E2"/>
    <w:rsid w:val="005F3E5B"/>
    <w:rsid w:val="005F7AF4"/>
    <w:rsid w:val="00601F74"/>
    <w:rsid w:val="00604EB6"/>
    <w:rsid w:val="00607EA2"/>
    <w:rsid w:val="00616BF1"/>
    <w:rsid w:val="00621CD8"/>
    <w:rsid w:val="00621FDB"/>
    <w:rsid w:val="0064018E"/>
    <w:rsid w:val="00640FA8"/>
    <w:rsid w:val="00641D0E"/>
    <w:rsid w:val="006435F5"/>
    <w:rsid w:val="00653161"/>
    <w:rsid w:val="00653FD2"/>
    <w:rsid w:val="00656B7D"/>
    <w:rsid w:val="006658DA"/>
    <w:rsid w:val="00670180"/>
    <w:rsid w:val="00670D5E"/>
    <w:rsid w:val="00672570"/>
    <w:rsid w:val="00674309"/>
    <w:rsid w:val="006760F1"/>
    <w:rsid w:val="00676799"/>
    <w:rsid w:val="0067751A"/>
    <w:rsid w:val="006A7253"/>
    <w:rsid w:val="006A7C0B"/>
    <w:rsid w:val="006B385D"/>
    <w:rsid w:val="006B62A5"/>
    <w:rsid w:val="006D19B4"/>
    <w:rsid w:val="006D5516"/>
    <w:rsid w:val="006E040C"/>
    <w:rsid w:val="006E0801"/>
    <w:rsid w:val="006E1D1B"/>
    <w:rsid w:val="006E4336"/>
    <w:rsid w:val="006E44C1"/>
    <w:rsid w:val="00702129"/>
    <w:rsid w:val="007021C9"/>
    <w:rsid w:val="00706521"/>
    <w:rsid w:val="007077F2"/>
    <w:rsid w:val="00717639"/>
    <w:rsid w:val="00726CAD"/>
    <w:rsid w:val="00735813"/>
    <w:rsid w:val="00740195"/>
    <w:rsid w:val="00742C82"/>
    <w:rsid w:val="0074621E"/>
    <w:rsid w:val="00752663"/>
    <w:rsid w:val="00760990"/>
    <w:rsid w:val="0076140A"/>
    <w:rsid w:val="00761B48"/>
    <w:rsid w:val="00762F77"/>
    <w:rsid w:val="00767216"/>
    <w:rsid w:val="00771C8D"/>
    <w:rsid w:val="00774858"/>
    <w:rsid w:val="00776723"/>
    <w:rsid w:val="00776D0C"/>
    <w:rsid w:val="0078060B"/>
    <w:rsid w:val="00780D75"/>
    <w:rsid w:val="00782317"/>
    <w:rsid w:val="007920FB"/>
    <w:rsid w:val="007932C3"/>
    <w:rsid w:val="007A4047"/>
    <w:rsid w:val="007B4B1A"/>
    <w:rsid w:val="007D1D36"/>
    <w:rsid w:val="007D21CB"/>
    <w:rsid w:val="007D4006"/>
    <w:rsid w:val="007E1E35"/>
    <w:rsid w:val="00800D21"/>
    <w:rsid w:val="008043AB"/>
    <w:rsid w:val="00805710"/>
    <w:rsid w:val="0080702C"/>
    <w:rsid w:val="008138C0"/>
    <w:rsid w:val="008172F0"/>
    <w:rsid w:val="00820C2F"/>
    <w:rsid w:val="00824514"/>
    <w:rsid w:val="00825062"/>
    <w:rsid w:val="00831382"/>
    <w:rsid w:val="00831978"/>
    <w:rsid w:val="00834552"/>
    <w:rsid w:val="0083796A"/>
    <w:rsid w:val="00843E62"/>
    <w:rsid w:val="00861425"/>
    <w:rsid w:val="00863D3F"/>
    <w:rsid w:val="00867E8A"/>
    <w:rsid w:val="00875288"/>
    <w:rsid w:val="00883DA0"/>
    <w:rsid w:val="0088784C"/>
    <w:rsid w:val="0089026B"/>
    <w:rsid w:val="008B33F4"/>
    <w:rsid w:val="008B49BA"/>
    <w:rsid w:val="008B7729"/>
    <w:rsid w:val="008B7F29"/>
    <w:rsid w:val="008C0941"/>
    <w:rsid w:val="008C275C"/>
    <w:rsid w:val="008C4986"/>
    <w:rsid w:val="008C4DE6"/>
    <w:rsid w:val="008C5182"/>
    <w:rsid w:val="008D02B9"/>
    <w:rsid w:val="008D7C6A"/>
    <w:rsid w:val="008E56CA"/>
    <w:rsid w:val="008F16AE"/>
    <w:rsid w:val="00900178"/>
    <w:rsid w:val="00924460"/>
    <w:rsid w:val="0093173B"/>
    <w:rsid w:val="00932D74"/>
    <w:rsid w:val="00936287"/>
    <w:rsid w:val="009463BB"/>
    <w:rsid w:val="00946EF3"/>
    <w:rsid w:val="00950270"/>
    <w:rsid w:val="009520A2"/>
    <w:rsid w:val="00966715"/>
    <w:rsid w:val="00966D33"/>
    <w:rsid w:val="00970201"/>
    <w:rsid w:val="00973C35"/>
    <w:rsid w:val="00973DB8"/>
    <w:rsid w:val="00977430"/>
    <w:rsid w:val="0099143F"/>
    <w:rsid w:val="00991B96"/>
    <w:rsid w:val="00992656"/>
    <w:rsid w:val="009A0F25"/>
    <w:rsid w:val="009A4D5D"/>
    <w:rsid w:val="009A5797"/>
    <w:rsid w:val="009A71EA"/>
    <w:rsid w:val="009B0FC6"/>
    <w:rsid w:val="009B56F9"/>
    <w:rsid w:val="009B5E0A"/>
    <w:rsid w:val="009B6D6E"/>
    <w:rsid w:val="009B7B29"/>
    <w:rsid w:val="009D0507"/>
    <w:rsid w:val="00A017A1"/>
    <w:rsid w:val="00A01D13"/>
    <w:rsid w:val="00A0533E"/>
    <w:rsid w:val="00A13C8A"/>
    <w:rsid w:val="00A20C91"/>
    <w:rsid w:val="00A228FA"/>
    <w:rsid w:val="00A25198"/>
    <w:rsid w:val="00A27692"/>
    <w:rsid w:val="00A32764"/>
    <w:rsid w:val="00A34049"/>
    <w:rsid w:val="00A40375"/>
    <w:rsid w:val="00A42564"/>
    <w:rsid w:val="00A4365E"/>
    <w:rsid w:val="00A44E30"/>
    <w:rsid w:val="00A45C5F"/>
    <w:rsid w:val="00A52059"/>
    <w:rsid w:val="00A5319E"/>
    <w:rsid w:val="00A5383C"/>
    <w:rsid w:val="00A552D8"/>
    <w:rsid w:val="00A81E6C"/>
    <w:rsid w:val="00A834F4"/>
    <w:rsid w:val="00A8394D"/>
    <w:rsid w:val="00A93A8F"/>
    <w:rsid w:val="00A955D5"/>
    <w:rsid w:val="00A95F35"/>
    <w:rsid w:val="00A97B93"/>
    <w:rsid w:val="00AA0B7B"/>
    <w:rsid w:val="00AA582E"/>
    <w:rsid w:val="00AC0118"/>
    <w:rsid w:val="00AC342F"/>
    <w:rsid w:val="00AC7DBF"/>
    <w:rsid w:val="00AD274B"/>
    <w:rsid w:val="00AD58C6"/>
    <w:rsid w:val="00AD5E0F"/>
    <w:rsid w:val="00AE404F"/>
    <w:rsid w:val="00AE513F"/>
    <w:rsid w:val="00AF3CB9"/>
    <w:rsid w:val="00AF4EB4"/>
    <w:rsid w:val="00B0232B"/>
    <w:rsid w:val="00B053C4"/>
    <w:rsid w:val="00B05EDF"/>
    <w:rsid w:val="00B066B2"/>
    <w:rsid w:val="00B107E1"/>
    <w:rsid w:val="00B33636"/>
    <w:rsid w:val="00B3508B"/>
    <w:rsid w:val="00B35E89"/>
    <w:rsid w:val="00B362B7"/>
    <w:rsid w:val="00B3647F"/>
    <w:rsid w:val="00B371AE"/>
    <w:rsid w:val="00B37C91"/>
    <w:rsid w:val="00B419AD"/>
    <w:rsid w:val="00B4610A"/>
    <w:rsid w:val="00B51343"/>
    <w:rsid w:val="00B5426A"/>
    <w:rsid w:val="00B546E9"/>
    <w:rsid w:val="00B560B4"/>
    <w:rsid w:val="00B56C51"/>
    <w:rsid w:val="00B615FE"/>
    <w:rsid w:val="00B619ED"/>
    <w:rsid w:val="00B62ABB"/>
    <w:rsid w:val="00B701C6"/>
    <w:rsid w:val="00B709BA"/>
    <w:rsid w:val="00B72901"/>
    <w:rsid w:val="00B73F91"/>
    <w:rsid w:val="00B820E4"/>
    <w:rsid w:val="00B82A29"/>
    <w:rsid w:val="00B82EF6"/>
    <w:rsid w:val="00B85313"/>
    <w:rsid w:val="00B903CE"/>
    <w:rsid w:val="00BA45A4"/>
    <w:rsid w:val="00BA57A4"/>
    <w:rsid w:val="00BA606E"/>
    <w:rsid w:val="00BB0D46"/>
    <w:rsid w:val="00BB1707"/>
    <w:rsid w:val="00BB6947"/>
    <w:rsid w:val="00BC79CC"/>
    <w:rsid w:val="00BD2972"/>
    <w:rsid w:val="00BD3A54"/>
    <w:rsid w:val="00BD68DE"/>
    <w:rsid w:val="00BE47FF"/>
    <w:rsid w:val="00BF5C40"/>
    <w:rsid w:val="00BF6102"/>
    <w:rsid w:val="00C06AC7"/>
    <w:rsid w:val="00C0733F"/>
    <w:rsid w:val="00C07E60"/>
    <w:rsid w:val="00C13123"/>
    <w:rsid w:val="00C1315B"/>
    <w:rsid w:val="00C1461D"/>
    <w:rsid w:val="00C14A13"/>
    <w:rsid w:val="00C20223"/>
    <w:rsid w:val="00C2420C"/>
    <w:rsid w:val="00C24F21"/>
    <w:rsid w:val="00C26190"/>
    <w:rsid w:val="00C30EAE"/>
    <w:rsid w:val="00C33FCC"/>
    <w:rsid w:val="00C3461A"/>
    <w:rsid w:val="00C41A18"/>
    <w:rsid w:val="00C4458A"/>
    <w:rsid w:val="00C51057"/>
    <w:rsid w:val="00C51FD5"/>
    <w:rsid w:val="00C53972"/>
    <w:rsid w:val="00C63EE6"/>
    <w:rsid w:val="00C6529D"/>
    <w:rsid w:val="00C75A9A"/>
    <w:rsid w:val="00C863D2"/>
    <w:rsid w:val="00C9362B"/>
    <w:rsid w:val="00C95A01"/>
    <w:rsid w:val="00C95AAB"/>
    <w:rsid w:val="00C965EE"/>
    <w:rsid w:val="00CA0778"/>
    <w:rsid w:val="00CA4211"/>
    <w:rsid w:val="00CA493B"/>
    <w:rsid w:val="00CA518A"/>
    <w:rsid w:val="00CB4DD9"/>
    <w:rsid w:val="00CB53C1"/>
    <w:rsid w:val="00CC1734"/>
    <w:rsid w:val="00CC431D"/>
    <w:rsid w:val="00CC4B9A"/>
    <w:rsid w:val="00CD1D79"/>
    <w:rsid w:val="00CD50EE"/>
    <w:rsid w:val="00CD5EDA"/>
    <w:rsid w:val="00CE2E5E"/>
    <w:rsid w:val="00CF1AB9"/>
    <w:rsid w:val="00D00EC2"/>
    <w:rsid w:val="00D033C4"/>
    <w:rsid w:val="00D20592"/>
    <w:rsid w:val="00D219E3"/>
    <w:rsid w:val="00D25F75"/>
    <w:rsid w:val="00D26DF1"/>
    <w:rsid w:val="00D36AA8"/>
    <w:rsid w:val="00D42098"/>
    <w:rsid w:val="00D43561"/>
    <w:rsid w:val="00D5562C"/>
    <w:rsid w:val="00D57CBF"/>
    <w:rsid w:val="00D57D1E"/>
    <w:rsid w:val="00D72FA5"/>
    <w:rsid w:val="00D8271E"/>
    <w:rsid w:val="00D9057A"/>
    <w:rsid w:val="00D915B9"/>
    <w:rsid w:val="00D972C0"/>
    <w:rsid w:val="00DA3A3E"/>
    <w:rsid w:val="00DA4D9E"/>
    <w:rsid w:val="00DA5598"/>
    <w:rsid w:val="00DA66E5"/>
    <w:rsid w:val="00DB2C9D"/>
    <w:rsid w:val="00DC0C56"/>
    <w:rsid w:val="00DC1D3B"/>
    <w:rsid w:val="00DD0758"/>
    <w:rsid w:val="00DD2E20"/>
    <w:rsid w:val="00DD59C4"/>
    <w:rsid w:val="00DE3350"/>
    <w:rsid w:val="00DF13F6"/>
    <w:rsid w:val="00DF5790"/>
    <w:rsid w:val="00E01ED8"/>
    <w:rsid w:val="00E044E0"/>
    <w:rsid w:val="00E073FE"/>
    <w:rsid w:val="00E11B66"/>
    <w:rsid w:val="00E1663C"/>
    <w:rsid w:val="00E172A5"/>
    <w:rsid w:val="00E20EAC"/>
    <w:rsid w:val="00E2273E"/>
    <w:rsid w:val="00E3122A"/>
    <w:rsid w:val="00E47BD8"/>
    <w:rsid w:val="00E50E1A"/>
    <w:rsid w:val="00E53958"/>
    <w:rsid w:val="00E55540"/>
    <w:rsid w:val="00E60994"/>
    <w:rsid w:val="00E66D81"/>
    <w:rsid w:val="00E72D56"/>
    <w:rsid w:val="00E73A71"/>
    <w:rsid w:val="00E77D35"/>
    <w:rsid w:val="00E81AAD"/>
    <w:rsid w:val="00E82BC1"/>
    <w:rsid w:val="00E83FB7"/>
    <w:rsid w:val="00E85F49"/>
    <w:rsid w:val="00E87A8B"/>
    <w:rsid w:val="00E9173C"/>
    <w:rsid w:val="00EA3C2A"/>
    <w:rsid w:val="00EA5546"/>
    <w:rsid w:val="00EB6FFD"/>
    <w:rsid w:val="00EB745C"/>
    <w:rsid w:val="00EB7791"/>
    <w:rsid w:val="00EC4D7D"/>
    <w:rsid w:val="00ED2689"/>
    <w:rsid w:val="00ED2A7E"/>
    <w:rsid w:val="00ED6CB1"/>
    <w:rsid w:val="00EE2FC3"/>
    <w:rsid w:val="00EE312E"/>
    <w:rsid w:val="00EE5A5C"/>
    <w:rsid w:val="00EF5939"/>
    <w:rsid w:val="00F07CAF"/>
    <w:rsid w:val="00F17B95"/>
    <w:rsid w:val="00F2602C"/>
    <w:rsid w:val="00F46E04"/>
    <w:rsid w:val="00F50CF3"/>
    <w:rsid w:val="00F55273"/>
    <w:rsid w:val="00F6134F"/>
    <w:rsid w:val="00F66D6F"/>
    <w:rsid w:val="00F70781"/>
    <w:rsid w:val="00F753C2"/>
    <w:rsid w:val="00F76BB2"/>
    <w:rsid w:val="00F77426"/>
    <w:rsid w:val="00F81A61"/>
    <w:rsid w:val="00F8301F"/>
    <w:rsid w:val="00F8620F"/>
    <w:rsid w:val="00F9195C"/>
    <w:rsid w:val="00F9409C"/>
    <w:rsid w:val="00F940CA"/>
    <w:rsid w:val="00F965B8"/>
    <w:rsid w:val="00F97DA4"/>
    <w:rsid w:val="00FA74AA"/>
    <w:rsid w:val="00FB4058"/>
    <w:rsid w:val="00FB6022"/>
    <w:rsid w:val="00FB77EE"/>
    <w:rsid w:val="00FC6077"/>
    <w:rsid w:val="00FC6422"/>
    <w:rsid w:val="00FD10FD"/>
    <w:rsid w:val="00FD334F"/>
    <w:rsid w:val="00FD6D87"/>
    <w:rsid w:val="00FE3AD8"/>
    <w:rsid w:val="00FE7DA2"/>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87C8A258-64CC-4484-84BF-5BE476DD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97DA4"/>
    <w:pPr>
      <w:spacing w:before="360" w:after="360" w:line="360" w:lineRule="auto"/>
    </w:pPr>
  </w:style>
  <w:style w:type="paragraph" w:styleId="Nagwek1">
    <w:name w:val="heading 1"/>
    <w:basedOn w:val="Normalny"/>
    <w:next w:val="Normalny"/>
    <w:link w:val="Nagwek1Znak"/>
    <w:uiPriority w:val="9"/>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iPriority w:val="9"/>
    <w:unhideWhenUsed/>
    <w:qFormat/>
    <w:rsid w:val="00482EA3"/>
    <w:pPr>
      <w:keepNext/>
      <w:keepLines/>
      <w:spacing w:line="276" w:lineRule="auto"/>
      <w:outlineLvl w:val="1"/>
    </w:pPr>
    <w:rPr>
      <w:rFonts w:eastAsiaTheme="majorEastAsia" w:cstheme="majorBidi"/>
      <w:b/>
      <w:szCs w:val="26"/>
    </w:rPr>
  </w:style>
  <w:style w:type="paragraph" w:styleId="Nagwek3">
    <w:name w:val="heading 3"/>
    <w:basedOn w:val="Normalny"/>
    <w:next w:val="Normalny"/>
    <w:link w:val="Nagwek3Znak"/>
    <w:uiPriority w:val="9"/>
    <w:qFormat/>
    <w:rsid w:val="00670D5E"/>
    <w:pPr>
      <w:keepNext/>
      <w:spacing w:before="240" w:after="60" w:line="240" w:lineRule="auto"/>
      <w:outlineLvl w:val="2"/>
    </w:pPr>
    <w:rPr>
      <w:rFonts w:ascii="Cambria" w:hAnsi="Cambria"/>
      <w:b/>
      <w:bCs/>
      <w:sz w:val="26"/>
      <w:szCs w:val="26"/>
      <w:lang w:eastAsia="pl-PL"/>
    </w:rPr>
  </w:style>
  <w:style w:type="paragraph" w:styleId="Nagwek4">
    <w:name w:val="heading 4"/>
    <w:basedOn w:val="Normalny"/>
    <w:next w:val="Normalny"/>
    <w:link w:val="Nagwek4Znak"/>
    <w:uiPriority w:val="9"/>
    <w:qFormat/>
    <w:rsid w:val="00670D5E"/>
    <w:pPr>
      <w:keepNext/>
      <w:numPr>
        <w:numId w:val="1"/>
      </w:numPr>
      <w:spacing w:before="240" w:after="0" w:line="240" w:lineRule="auto"/>
      <w:outlineLvl w:val="3"/>
    </w:pPr>
    <w:rPr>
      <w:rFonts w:ascii="Times New Roman" w:hAnsi="Times New Roman"/>
      <w:b/>
      <w:lang w:eastAsia="pl-PL"/>
    </w:rPr>
  </w:style>
  <w:style w:type="paragraph" w:styleId="Nagwek5">
    <w:name w:val="heading 5"/>
    <w:basedOn w:val="Normalny"/>
    <w:next w:val="Normalny"/>
    <w:link w:val="Nagwek5Znak"/>
    <w:uiPriority w:val="9"/>
    <w:qFormat/>
    <w:rsid w:val="00670D5E"/>
    <w:pPr>
      <w:spacing w:before="240" w:after="60" w:line="240" w:lineRule="auto"/>
      <w:outlineLvl w:val="4"/>
    </w:pPr>
    <w:rPr>
      <w:b/>
      <w:bCs/>
      <w:i/>
      <w:iCs/>
      <w:sz w:val="26"/>
      <w:szCs w:val="26"/>
      <w:lang w:eastAsia="pl-PL"/>
    </w:rPr>
  </w:style>
  <w:style w:type="paragraph" w:styleId="Nagwek6">
    <w:name w:val="heading 6"/>
    <w:basedOn w:val="Normalny"/>
    <w:next w:val="Normalny"/>
    <w:link w:val="Nagwek6Znak"/>
    <w:uiPriority w:val="9"/>
    <w:qFormat/>
    <w:rsid w:val="00670D5E"/>
    <w:pPr>
      <w:keepNext/>
      <w:spacing w:before="0" w:after="0" w:line="240" w:lineRule="auto"/>
      <w:jc w:val="center"/>
      <w:outlineLvl w:val="5"/>
    </w:pPr>
    <w:rPr>
      <w:rFonts w:ascii="Garamond" w:hAnsi="Garamond"/>
      <w:b/>
      <w:bCs/>
      <w:color w:val="999999"/>
      <w:sz w:val="36"/>
      <w:lang w:eastAsia="pl-PL"/>
    </w:rPr>
  </w:style>
  <w:style w:type="paragraph" w:styleId="Nagwek7">
    <w:name w:val="heading 7"/>
    <w:basedOn w:val="Normalny"/>
    <w:next w:val="Normalny"/>
    <w:link w:val="Nagwek7Znak"/>
    <w:uiPriority w:val="9"/>
    <w:semiHidden/>
    <w:unhideWhenUsed/>
    <w:qFormat/>
    <w:rsid w:val="00831382"/>
    <w:pPr>
      <w:keepNext/>
      <w:keepLines/>
      <w:spacing w:before="200" w:after="0" w:line="360" w:lineRule="exact"/>
      <w:jc w:val="both"/>
      <w:outlineLvl w:val="6"/>
    </w:pPr>
    <w:rPr>
      <w:rFonts w:ascii="Arial" w:eastAsia="Arial" w:hAnsi="Arial" w:cs="Arial"/>
      <w:i/>
      <w:iCs/>
      <w:color w:val="404040" w:themeColor="text1" w:themeTint="BF"/>
      <w:lang w:val="en-US"/>
    </w:rPr>
  </w:style>
  <w:style w:type="paragraph" w:styleId="Nagwek8">
    <w:name w:val="heading 8"/>
    <w:basedOn w:val="Normalny"/>
    <w:next w:val="Normalny"/>
    <w:link w:val="Nagwek8Znak"/>
    <w:uiPriority w:val="9"/>
    <w:semiHidden/>
    <w:unhideWhenUsed/>
    <w:qFormat/>
    <w:rsid w:val="00831382"/>
    <w:pPr>
      <w:keepNext/>
      <w:keepLines/>
      <w:spacing w:before="200" w:after="0" w:line="360" w:lineRule="exact"/>
      <w:jc w:val="both"/>
      <w:outlineLvl w:val="7"/>
    </w:pPr>
    <w:rPr>
      <w:rFonts w:ascii="Arial" w:eastAsia="Arial" w:hAnsi="Arial" w:cs="Arial"/>
      <w:color w:val="5B9BD5" w:themeColor="accent1"/>
      <w:lang w:val="en-US"/>
    </w:rPr>
  </w:style>
  <w:style w:type="paragraph" w:styleId="Nagwek9">
    <w:name w:val="heading 9"/>
    <w:basedOn w:val="Normalny"/>
    <w:next w:val="Normalny"/>
    <w:link w:val="Nagwek9Znak"/>
    <w:uiPriority w:val="9"/>
    <w:semiHidden/>
    <w:unhideWhenUsed/>
    <w:qFormat/>
    <w:rsid w:val="00831382"/>
    <w:pPr>
      <w:keepNext/>
      <w:keepLines/>
      <w:spacing w:before="200" w:after="0" w:line="360" w:lineRule="exact"/>
      <w:jc w:val="both"/>
      <w:outlineLvl w:val="8"/>
    </w:pPr>
    <w:rPr>
      <w:rFonts w:ascii="Arial" w:eastAsia="Arial" w:hAnsi="Arial" w:cs="Arial"/>
      <w:i/>
      <w:iCs/>
      <w:color w:val="404040" w:themeColor="text1" w:themeTint="BF"/>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qFormat/>
    <w:rsid w:val="00EF30F0"/>
    <w:rPr>
      <w:b/>
      <w:bCs/>
    </w:rPr>
  </w:style>
  <w:style w:type="table" w:styleId="Tabela-Siatka">
    <w:name w:val="Table Grid"/>
    <w:basedOn w:val="Standardowy"/>
    <w:uiPriority w:val="59"/>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482EA3"/>
    <w:rPr>
      <w:rFonts w:eastAsiaTheme="majorEastAsia" w:cstheme="majorBidi"/>
      <w:b/>
      <w:bCs/>
      <w:sz w:val="26"/>
      <w:szCs w:val="28"/>
    </w:rPr>
  </w:style>
  <w:style w:type="paragraph" w:styleId="Akapitzlist">
    <w:name w:val="List Paragraph"/>
    <w:aliases w:val="sw tekst,L1,Numerowanie,Akapit z listą BS,lp1,Preambuła,Colorful Shading Accent 3,Light List Accent 5,Akapit z listą5,List Paragraph,2 heading,A_wyliczenie,K-P_odwolanie,maz_wyliczenie,opis dzialania,normalny tekst,CW_Lista,Nagłowek 3"/>
    <w:basedOn w:val="Normalny"/>
    <w:link w:val="AkapitzlistZnak"/>
    <w:qFormat/>
    <w:rsid w:val="00EE312E"/>
    <w:pPr>
      <w:ind w:left="720"/>
      <w:contextualSpacing/>
    </w:pPr>
  </w:style>
  <w:style w:type="character" w:styleId="Hipercze">
    <w:name w:val="Hyperlink"/>
    <w:basedOn w:val="Domylnaczcionkaakapitu"/>
    <w:uiPriority w:val="99"/>
    <w:unhideWhenUsed/>
    <w:rsid w:val="008531D2"/>
    <w:rPr>
      <w:color w:val="0563C1" w:themeColor="hyperlink"/>
      <w:u w:val="single"/>
    </w:rPr>
  </w:style>
  <w:style w:type="character" w:styleId="Odwoaniedokomentarza">
    <w:name w:val="annotation reference"/>
    <w:basedOn w:val="Domylnaczcionkaakapitu"/>
    <w:unhideWhenUsed/>
    <w:qFormat/>
    <w:rsid w:val="002E4CEF"/>
    <w:rPr>
      <w:sz w:val="16"/>
      <w:szCs w:val="16"/>
    </w:rPr>
  </w:style>
  <w:style w:type="paragraph" w:styleId="Tekstkomentarza">
    <w:name w:val="annotation text"/>
    <w:basedOn w:val="Normalny"/>
    <w:link w:val="TekstkomentarzaZnak"/>
    <w:uiPriority w:val="99"/>
    <w:unhideWhenUsed/>
    <w:rsid w:val="002E4CEF"/>
    <w:rPr>
      <w:sz w:val="20"/>
      <w:szCs w:val="20"/>
    </w:rPr>
  </w:style>
  <w:style w:type="character" w:customStyle="1" w:styleId="TekstkomentarzaZnak">
    <w:name w:val="Tekst komentarza Znak"/>
    <w:basedOn w:val="Domylnaczcionkaakapitu"/>
    <w:link w:val="Tekstkomentarza"/>
    <w:uiPriority w:val="99"/>
    <w:rsid w:val="002E4CEF"/>
    <w:rPr>
      <w:lang w:val="pl-PL" w:eastAsia="pl-PL"/>
    </w:rPr>
  </w:style>
  <w:style w:type="paragraph" w:styleId="Tematkomentarza">
    <w:name w:val="annotation subject"/>
    <w:basedOn w:val="Tekstkomentarza"/>
    <w:next w:val="Tekstkomentarza"/>
    <w:link w:val="TematkomentarzaZnak"/>
    <w:uiPriority w:val="99"/>
    <w:semiHidden/>
    <w:unhideWhenUsed/>
    <w:rsid w:val="002E4CEF"/>
    <w:rPr>
      <w:b/>
      <w:bCs/>
    </w:rPr>
  </w:style>
  <w:style w:type="character" w:customStyle="1" w:styleId="TematkomentarzaZnak">
    <w:name w:val="Temat komentarza Znak"/>
    <w:basedOn w:val="TekstkomentarzaZnak"/>
    <w:link w:val="Tematkomentarza"/>
    <w:uiPriority w:val="99"/>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uiPriority w:val="9"/>
    <w:rsid w:val="00482EA3"/>
    <w:rPr>
      <w:rFonts w:eastAsiaTheme="majorEastAsia" w:cstheme="majorBidi"/>
      <w:b/>
      <w:szCs w:val="26"/>
    </w:rPr>
  </w:style>
  <w:style w:type="paragraph" w:styleId="NormalnyWeb">
    <w:name w:val="Normal (Web)"/>
    <w:basedOn w:val="Normalny"/>
    <w:uiPriority w:val="99"/>
    <w:unhideWhenUsed/>
    <w:qFormat/>
    <w:rsid w:val="00A27692"/>
    <w:rPr>
      <w:rFonts w:ascii="Times New Roman" w:hAnsi="Times New Roman"/>
    </w:rPr>
  </w:style>
  <w:style w:type="paragraph" w:styleId="Tekstpodstawowywcity">
    <w:name w:val="Body Text Indent"/>
    <w:basedOn w:val="Normalny"/>
    <w:link w:val="TekstpodstawowywcityZnak"/>
    <w:rsid w:val="00DD0758"/>
    <w:pPr>
      <w:spacing w:before="0" w:after="0" w:line="240" w:lineRule="auto"/>
      <w:ind w:left="708"/>
    </w:pPr>
    <w:rPr>
      <w:rFonts w:ascii="Times New Roman" w:hAnsi="Times New Roman"/>
      <w:b/>
      <w:bCs/>
      <w:lang w:eastAsia="pl-PL"/>
    </w:rPr>
  </w:style>
  <w:style w:type="character" w:customStyle="1" w:styleId="TekstpodstawowywcityZnak">
    <w:name w:val="Tekst podstawowy wcięty Znak"/>
    <w:basedOn w:val="Domylnaczcionkaakapitu"/>
    <w:link w:val="Tekstpodstawowywcity"/>
    <w:rsid w:val="00DD0758"/>
    <w:rPr>
      <w:rFonts w:ascii="Times New Roman" w:hAnsi="Times New Roman"/>
      <w:b/>
      <w:bCs/>
      <w:lang w:eastAsia="pl-PL"/>
    </w:rPr>
  </w:style>
  <w:style w:type="paragraph" w:styleId="Tekstpodstawowy">
    <w:name w:val="Body Text"/>
    <w:aliases w:val=" Znak,Znak"/>
    <w:basedOn w:val="Normalny"/>
    <w:link w:val="TekstpodstawowyZnak"/>
    <w:uiPriority w:val="99"/>
    <w:rsid w:val="00DD0758"/>
    <w:pPr>
      <w:spacing w:before="0" w:after="120" w:line="240" w:lineRule="auto"/>
    </w:pPr>
    <w:rPr>
      <w:rFonts w:ascii="Times New Roman" w:hAnsi="Times New Roman"/>
      <w:lang w:eastAsia="pl-PL"/>
    </w:rPr>
  </w:style>
  <w:style w:type="character" w:customStyle="1" w:styleId="TekstpodstawowyZnak">
    <w:name w:val="Tekst podstawowy Znak"/>
    <w:aliases w:val=" Znak Znak,Znak Znak10"/>
    <w:basedOn w:val="Domylnaczcionkaakapitu"/>
    <w:link w:val="Tekstpodstawowy"/>
    <w:uiPriority w:val="99"/>
    <w:rsid w:val="00DD0758"/>
    <w:rPr>
      <w:rFonts w:ascii="Times New Roman" w:hAnsi="Times New Roman"/>
      <w:lang w:eastAsia="pl-PL"/>
    </w:rPr>
  </w:style>
  <w:style w:type="paragraph" w:customStyle="1" w:styleId="ZnakZnak1">
    <w:name w:val="Znak Znak1"/>
    <w:basedOn w:val="Normalny"/>
    <w:rsid w:val="00DD0758"/>
    <w:pPr>
      <w:spacing w:before="0" w:after="0" w:line="240" w:lineRule="auto"/>
    </w:pPr>
    <w:rPr>
      <w:rFonts w:ascii="Arial" w:hAnsi="Arial" w:cs="Arial"/>
      <w:lang w:eastAsia="pl-PL"/>
    </w:rPr>
  </w:style>
  <w:style w:type="paragraph" w:styleId="Tekstpodstawowy2">
    <w:name w:val="Body Text 2"/>
    <w:basedOn w:val="Normalny"/>
    <w:link w:val="Tekstpodstawowy2Znak"/>
    <w:uiPriority w:val="99"/>
    <w:rsid w:val="00DD0758"/>
    <w:pPr>
      <w:spacing w:before="0" w:after="120" w:line="480" w:lineRule="auto"/>
    </w:pPr>
    <w:rPr>
      <w:rFonts w:ascii="Times New Roman" w:hAnsi="Times New Roman"/>
      <w:sz w:val="28"/>
      <w:szCs w:val="20"/>
      <w:lang w:eastAsia="pl-PL"/>
    </w:rPr>
  </w:style>
  <w:style w:type="character" w:customStyle="1" w:styleId="Tekstpodstawowy2Znak">
    <w:name w:val="Tekst podstawowy 2 Znak"/>
    <w:basedOn w:val="Domylnaczcionkaakapitu"/>
    <w:link w:val="Tekstpodstawowy2"/>
    <w:uiPriority w:val="99"/>
    <w:rsid w:val="00DD0758"/>
    <w:rPr>
      <w:rFonts w:ascii="Times New Roman" w:hAnsi="Times New Roman"/>
      <w:sz w:val="28"/>
      <w:szCs w:val="20"/>
      <w:lang w:eastAsia="pl-PL"/>
    </w:rPr>
  </w:style>
  <w:style w:type="paragraph" w:styleId="Tekstpodstawowy3">
    <w:name w:val="Body Text 3"/>
    <w:basedOn w:val="Normalny"/>
    <w:link w:val="Tekstpodstawowy3Znak"/>
    <w:uiPriority w:val="99"/>
    <w:rsid w:val="00DD0758"/>
    <w:pPr>
      <w:spacing w:before="0" w:after="120" w:line="240" w:lineRule="auto"/>
    </w:pPr>
    <w:rPr>
      <w:rFonts w:ascii="Times New Roman" w:hAnsi="Times New Roman"/>
      <w:sz w:val="16"/>
      <w:szCs w:val="16"/>
      <w:lang w:eastAsia="pl-PL"/>
    </w:rPr>
  </w:style>
  <w:style w:type="character" w:customStyle="1" w:styleId="Tekstpodstawowy3Znak">
    <w:name w:val="Tekst podstawowy 3 Znak"/>
    <w:basedOn w:val="Domylnaczcionkaakapitu"/>
    <w:link w:val="Tekstpodstawowy3"/>
    <w:uiPriority w:val="99"/>
    <w:rsid w:val="00DD0758"/>
    <w:rPr>
      <w:rFonts w:ascii="Times New Roman" w:hAnsi="Times New Roman"/>
      <w:sz w:val="16"/>
      <w:szCs w:val="16"/>
      <w:lang w:eastAsia="pl-PL"/>
    </w:rPr>
  </w:style>
  <w:style w:type="character" w:customStyle="1" w:styleId="AkapitzlistZnak">
    <w:name w:val="Akapit z listą Znak"/>
    <w:aliases w:val="sw tekst Znak,L1 Znak,Numerowanie Znak,Akapit z listą BS Znak,lp1 Znak,Preambuła Znak,Colorful Shading Accent 3 Znak,Light List Accent 5 Znak,Akapit z listą5 Znak,List Paragraph Znak,2 heading Znak,A_wyliczenie Znak,CW_Lista Znak"/>
    <w:link w:val="Akapitzlist"/>
    <w:qFormat/>
    <w:rsid w:val="00DD0758"/>
  </w:style>
  <w:style w:type="paragraph" w:styleId="Tekstpodstawowywcity2">
    <w:name w:val="Body Text Indent 2"/>
    <w:basedOn w:val="Normalny"/>
    <w:link w:val="Tekstpodstawowywcity2Znak"/>
    <w:unhideWhenUsed/>
    <w:rsid w:val="002F0CB0"/>
    <w:pPr>
      <w:spacing w:after="120" w:line="480" w:lineRule="auto"/>
      <w:ind w:left="283"/>
    </w:pPr>
  </w:style>
  <w:style w:type="character" w:customStyle="1" w:styleId="Tekstpodstawowywcity2Znak">
    <w:name w:val="Tekst podstawowy wcięty 2 Znak"/>
    <w:basedOn w:val="Domylnaczcionkaakapitu"/>
    <w:link w:val="Tekstpodstawowywcity2"/>
    <w:rsid w:val="002F0CB0"/>
  </w:style>
  <w:style w:type="paragraph" w:styleId="Tytu">
    <w:name w:val="Title"/>
    <w:basedOn w:val="Normalny"/>
    <w:link w:val="TytuZnak"/>
    <w:uiPriority w:val="10"/>
    <w:qFormat/>
    <w:rsid w:val="002F0CB0"/>
    <w:pPr>
      <w:spacing w:before="0" w:after="0" w:line="240" w:lineRule="auto"/>
      <w:jc w:val="center"/>
    </w:pPr>
    <w:rPr>
      <w:rFonts w:ascii="Times New Roman" w:hAnsi="Times New Roman"/>
      <w:b/>
      <w:bCs/>
      <w:u w:val="single"/>
      <w:lang w:eastAsia="pl-PL"/>
    </w:rPr>
  </w:style>
  <w:style w:type="character" w:customStyle="1" w:styleId="TytuZnak">
    <w:name w:val="Tytuł Znak"/>
    <w:basedOn w:val="Domylnaczcionkaakapitu"/>
    <w:link w:val="Tytu"/>
    <w:uiPriority w:val="10"/>
    <w:rsid w:val="002F0CB0"/>
    <w:rPr>
      <w:rFonts w:ascii="Times New Roman" w:hAnsi="Times New Roman"/>
      <w:b/>
      <w:bCs/>
      <w:u w:val="single"/>
      <w:lang w:eastAsia="pl-PL"/>
    </w:rPr>
  </w:style>
  <w:style w:type="paragraph" w:customStyle="1" w:styleId="Standard">
    <w:name w:val="Standard"/>
    <w:rsid w:val="002F0CB0"/>
    <w:pPr>
      <w:widowControl w:val="0"/>
      <w:autoSpaceDE w:val="0"/>
      <w:autoSpaceDN w:val="0"/>
    </w:pPr>
    <w:rPr>
      <w:rFonts w:ascii="Times New Roman" w:hAnsi="Times New Roman"/>
      <w:lang w:eastAsia="pl-PL"/>
    </w:rPr>
  </w:style>
  <w:style w:type="character" w:customStyle="1" w:styleId="Nagwek3Znak">
    <w:name w:val="Nagłówek 3 Znak"/>
    <w:basedOn w:val="Domylnaczcionkaakapitu"/>
    <w:link w:val="Nagwek3"/>
    <w:uiPriority w:val="9"/>
    <w:rsid w:val="00670D5E"/>
    <w:rPr>
      <w:rFonts w:ascii="Cambria" w:hAnsi="Cambria"/>
      <w:b/>
      <w:bCs/>
      <w:sz w:val="26"/>
      <w:szCs w:val="26"/>
      <w:lang w:eastAsia="pl-PL"/>
    </w:rPr>
  </w:style>
  <w:style w:type="character" w:customStyle="1" w:styleId="Nagwek4Znak">
    <w:name w:val="Nagłówek 4 Znak"/>
    <w:basedOn w:val="Domylnaczcionkaakapitu"/>
    <w:link w:val="Nagwek4"/>
    <w:uiPriority w:val="9"/>
    <w:rsid w:val="00670D5E"/>
    <w:rPr>
      <w:rFonts w:ascii="Times New Roman" w:hAnsi="Times New Roman"/>
      <w:b/>
      <w:lang w:eastAsia="pl-PL"/>
    </w:rPr>
  </w:style>
  <w:style w:type="character" w:customStyle="1" w:styleId="Nagwek5Znak">
    <w:name w:val="Nagłówek 5 Znak"/>
    <w:basedOn w:val="Domylnaczcionkaakapitu"/>
    <w:link w:val="Nagwek5"/>
    <w:uiPriority w:val="9"/>
    <w:rsid w:val="00670D5E"/>
    <w:rPr>
      <w:b/>
      <w:bCs/>
      <w:i/>
      <w:iCs/>
      <w:sz w:val="26"/>
      <w:szCs w:val="26"/>
      <w:lang w:eastAsia="pl-PL"/>
    </w:rPr>
  </w:style>
  <w:style w:type="character" w:customStyle="1" w:styleId="Nagwek6Znak">
    <w:name w:val="Nagłówek 6 Znak"/>
    <w:basedOn w:val="Domylnaczcionkaakapitu"/>
    <w:link w:val="Nagwek6"/>
    <w:uiPriority w:val="9"/>
    <w:rsid w:val="00670D5E"/>
    <w:rPr>
      <w:rFonts w:ascii="Garamond" w:hAnsi="Garamond"/>
      <w:b/>
      <w:bCs/>
      <w:color w:val="999999"/>
      <w:sz w:val="36"/>
      <w:lang w:eastAsia="pl-PL"/>
    </w:rPr>
  </w:style>
  <w:style w:type="paragraph" w:customStyle="1" w:styleId="ust">
    <w:name w:val="ust"/>
    <w:rsid w:val="00670D5E"/>
    <w:pPr>
      <w:spacing w:before="60" w:after="60"/>
      <w:ind w:left="426" w:hanging="284"/>
      <w:jc w:val="both"/>
    </w:pPr>
    <w:rPr>
      <w:rFonts w:ascii="Times New Roman" w:hAnsi="Times New Roman"/>
      <w:lang w:eastAsia="pl-PL"/>
    </w:rPr>
  </w:style>
  <w:style w:type="paragraph" w:customStyle="1" w:styleId="tekst">
    <w:name w:val="tekst"/>
    <w:basedOn w:val="Normalny"/>
    <w:rsid w:val="00670D5E"/>
    <w:pPr>
      <w:suppressLineNumbers/>
      <w:spacing w:before="60" w:after="60" w:line="240" w:lineRule="auto"/>
      <w:jc w:val="both"/>
    </w:pPr>
    <w:rPr>
      <w:rFonts w:ascii="Times New Roman" w:hAnsi="Times New Roman"/>
      <w:lang w:eastAsia="pl-PL"/>
    </w:rPr>
  </w:style>
  <w:style w:type="paragraph" w:customStyle="1" w:styleId="Tytu2">
    <w:name w:val="Tytu? 2"/>
    <w:basedOn w:val="Standard"/>
    <w:next w:val="Standard"/>
    <w:rsid w:val="00670D5E"/>
    <w:pPr>
      <w:keepNext/>
      <w:tabs>
        <w:tab w:val="num" w:pos="1440"/>
      </w:tabs>
      <w:jc w:val="center"/>
      <w:outlineLvl w:val="1"/>
    </w:pPr>
    <w:rPr>
      <w:b/>
      <w:bCs/>
      <w:sz w:val="36"/>
      <w:szCs w:val="36"/>
    </w:rPr>
  </w:style>
  <w:style w:type="paragraph" w:customStyle="1" w:styleId="Textbody">
    <w:name w:val="Text body"/>
    <w:basedOn w:val="Standard"/>
    <w:rsid w:val="00670D5E"/>
    <w:pPr>
      <w:jc w:val="both"/>
    </w:pPr>
    <w:rPr>
      <w:rFonts w:ascii="Arial" w:hAnsi="Arial" w:cs="Arial"/>
      <w:sz w:val="22"/>
      <w:szCs w:val="22"/>
    </w:rPr>
  </w:style>
  <w:style w:type="character" w:customStyle="1" w:styleId="ZnakZnak9">
    <w:name w:val="Znak Znak9"/>
    <w:rsid w:val="00670D5E"/>
    <w:rPr>
      <w:b/>
      <w:bCs/>
      <w:kern w:val="32"/>
      <w:sz w:val="24"/>
      <w:szCs w:val="32"/>
      <w:lang w:val="pl-PL" w:eastAsia="pl-PL" w:bidi="ar-SA"/>
    </w:rPr>
  </w:style>
  <w:style w:type="paragraph" w:styleId="Nagwekspisutreci">
    <w:name w:val="TOC Heading"/>
    <w:basedOn w:val="Nagwek1"/>
    <w:next w:val="Normalny"/>
    <w:uiPriority w:val="39"/>
    <w:qFormat/>
    <w:rsid w:val="00670D5E"/>
    <w:pPr>
      <w:spacing w:before="480" w:after="0"/>
      <w:jc w:val="both"/>
      <w:outlineLvl w:val="9"/>
    </w:pPr>
    <w:rPr>
      <w:rFonts w:ascii="Times New Roman" w:eastAsia="Times New Roman" w:hAnsi="Times New Roman" w:cs="Times New Roman"/>
      <w:color w:val="365F91"/>
      <w:sz w:val="28"/>
    </w:rPr>
  </w:style>
  <w:style w:type="paragraph" w:styleId="Spistreci2">
    <w:name w:val="toc 2"/>
    <w:basedOn w:val="Normalny"/>
    <w:next w:val="Normalny"/>
    <w:autoRedefine/>
    <w:uiPriority w:val="39"/>
    <w:unhideWhenUsed/>
    <w:qFormat/>
    <w:rsid w:val="00670D5E"/>
    <w:pPr>
      <w:spacing w:before="0" w:after="100" w:line="276" w:lineRule="auto"/>
      <w:ind w:left="220"/>
    </w:pPr>
    <w:rPr>
      <w:sz w:val="22"/>
      <w:szCs w:val="22"/>
    </w:rPr>
  </w:style>
  <w:style w:type="paragraph" w:styleId="Spistreci1">
    <w:name w:val="toc 1"/>
    <w:basedOn w:val="Normalny"/>
    <w:next w:val="Normalny"/>
    <w:autoRedefine/>
    <w:uiPriority w:val="39"/>
    <w:unhideWhenUsed/>
    <w:qFormat/>
    <w:rsid w:val="00670D5E"/>
    <w:pPr>
      <w:tabs>
        <w:tab w:val="left" w:pos="709"/>
        <w:tab w:val="right" w:leader="dot" w:pos="10194"/>
      </w:tabs>
      <w:spacing w:before="0" w:after="100" w:line="276" w:lineRule="auto"/>
      <w:ind w:left="709" w:hanging="709"/>
      <w:jc w:val="both"/>
    </w:pPr>
    <w:rPr>
      <w:rFonts w:ascii="Times New Roman" w:hAnsi="Times New Roman"/>
      <w:szCs w:val="22"/>
    </w:rPr>
  </w:style>
  <w:style w:type="paragraph" w:styleId="Spistreci3">
    <w:name w:val="toc 3"/>
    <w:basedOn w:val="Normalny"/>
    <w:next w:val="Normalny"/>
    <w:autoRedefine/>
    <w:uiPriority w:val="39"/>
    <w:unhideWhenUsed/>
    <w:qFormat/>
    <w:rsid w:val="00670D5E"/>
    <w:pPr>
      <w:spacing w:before="0" w:after="100" w:line="276" w:lineRule="auto"/>
      <w:ind w:left="440"/>
    </w:pPr>
    <w:rPr>
      <w:sz w:val="22"/>
      <w:szCs w:val="22"/>
    </w:rPr>
  </w:style>
  <w:style w:type="character" w:customStyle="1" w:styleId="ZnakZnak3">
    <w:name w:val="Znak Znak3"/>
    <w:semiHidden/>
    <w:rsid w:val="00670D5E"/>
    <w:rPr>
      <w:rFonts w:ascii="Tahoma" w:hAnsi="Tahoma" w:cs="Tahoma"/>
      <w:sz w:val="16"/>
      <w:szCs w:val="16"/>
    </w:rPr>
  </w:style>
  <w:style w:type="paragraph" w:styleId="Tekstpodstawowywcity3">
    <w:name w:val="Body Text Indent 3"/>
    <w:basedOn w:val="Normalny"/>
    <w:link w:val="Tekstpodstawowywcity3Znak"/>
    <w:rsid w:val="00670D5E"/>
    <w:pPr>
      <w:spacing w:before="0" w:after="0" w:line="240" w:lineRule="auto"/>
      <w:ind w:left="720" w:hanging="360"/>
      <w:jc w:val="both"/>
    </w:pPr>
    <w:rPr>
      <w:rFonts w:ascii="Times New Roman" w:hAnsi="Times New Roman"/>
      <w:color w:val="000000"/>
      <w:lang w:eastAsia="pl-PL"/>
    </w:rPr>
  </w:style>
  <w:style w:type="character" w:customStyle="1" w:styleId="Tekstpodstawowywcity3Znak">
    <w:name w:val="Tekst podstawowy wcięty 3 Znak"/>
    <w:basedOn w:val="Domylnaczcionkaakapitu"/>
    <w:link w:val="Tekstpodstawowywcity3"/>
    <w:rsid w:val="00670D5E"/>
    <w:rPr>
      <w:rFonts w:ascii="Times New Roman" w:hAnsi="Times New Roman"/>
      <w:color w:val="000000"/>
      <w:lang w:eastAsia="pl-PL"/>
    </w:rPr>
  </w:style>
  <w:style w:type="character" w:customStyle="1" w:styleId="ZnakZnak2">
    <w:name w:val="Znak Znak2"/>
    <w:semiHidden/>
    <w:rsid w:val="00670D5E"/>
    <w:rPr>
      <w:rFonts w:ascii="Calibri" w:eastAsia="Times New Roman" w:hAnsi="Calibri" w:cs="Times New Roman"/>
      <w:b/>
      <w:bCs/>
      <w:i/>
      <w:iCs/>
      <w:sz w:val="26"/>
      <w:szCs w:val="26"/>
    </w:rPr>
  </w:style>
  <w:style w:type="character" w:customStyle="1" w:styleId="ZnakZnakZnak">
    <w:name w:val="Znak Znak Znak"/>
    <w:rsid w:val="00670D5E"/>
    <w:rPr>
      <w:rFonts w:ascii="Arial" w:hAnsi="Arial" w:cs="Arial"/>
      <w:sz w:val="24"/>
      <w:szCs w:val="24"/>
    </w:rPr>
  </w:style>
  <w:style w:type="character" w:customStyle="1" w:styleId="highlightedsearchterm">
    <w:name w:val="highlightedsearchterm"/>
    <w:basedOn w:val="Domylnaczcionkaakapitu"/>
    <w:rsid w:val="00670D5E"/>
  </w:style>
  <w:style w:type="character" w:customStyle="1" w:styleId="ZnakZnak10">
    <w:name w:val="Znak Znak1"/>
    <w:basedOn w:val="Domylnaczcionkaakapitu"/>
    <w:semiHidden/>
    <w:rsid w:val="00670D5E"/>
  </w:style>
  <w:style w:type="character" w:customStyle="1" w:styleId="ZnakZnak">
    <w:name w:val="Znak Znak"/>
    <w:semiHidden/>
    <w:rsid w:val="00670D5E"/>
    <w:rPr>
      <w:b/>
      <w:bCs/>
    </w:rPr>
  </w:style>
  <w:style w:type="character" w:customStyle="1" w:styleId="postbody1">
    <w:name w:val="postbody1"/>
    <w:rsid w:val="00670D5E"/>
    <w:rPr>
      <w:sz w:val="18"/>
      <w:szCs w:val="18"/>
    </w:rPr>
  </w:style>
  <w:style w:type="character" w:customStyle="1" w:styleId="ZnakZnak5">
    <w:name w:val="Znak Znak5"/>
    <w:rsid w:val="00670D5E"/>
    <w:rPr>
      <w:sz w:val="24"/>
      <w:szCs w:val="24"/>
    </w:rPr>
  </w:style>
  <w:style w:type="character" w:customStyle="1" w:styleId="ZnakZnak7">
    <w:name w:val="Znak Znak7"/>
    <w:rsid w:val="00670D5E"/>
    <w:rPr>
      <w:rFonts w:ascii="Cambria" w:hAnsi="Cambria"/>
      <w:b/>
      <w:bCs/>
      <w:sz w:val="26"/>
      <w:szCs w:val="26"/>
    </w:rPr>
  </w:style>
  <w:style w:type="paragraph" w:customStyle="1" w:styleId="ABC">
    <w:name w:val="ABC"/>
    <w:basedOn w:val="Normalny"/>
    <w:rsid w:val="00670D5E"/>
    <w:pPr>
      <w:numPr>
        <w:numId w:val="2"/>
      </w:numPr>
      <w:tabs>
        <w:tab w:val="clear" w:pos="720"/>
      </w:tabs>
      <w:spacing w:before="120" w:after="120" w:line="240" w:lineRule="auto"/>
      <w:jc w:val="both"/>
    </w:pPr>
    <w:rPr>
      <w:rFonts w:ascii="Arial Narrow" w:hAnsi="Arial Narrow"/>
      <w:szCs w:val="20"/>
      <w:lang w:eastAsia="pl-PL"/>
    </w:rPr>
  </w:style>
  <w:style w:type="paragraph" w:customStyle="1" w:styleId="123Znak">
    <w:name w:val="123 Znak"/>
    <w:basedOn w:val="Normalny"/>
    <w:rsid w:val="00670D5E"/>
    <w:pPr>
      <w:numPr>
        <w:numId w:val="3"/>
      </w:numPr>
      <w:tabs>
        <w:tab w:val="clear" w:pos="397"/>
      </w:tabs>
      <w:spacing w:before="40" w:after="120" w:line="240" w:lineRule="auto"/>
      <w:jc w:val="both"/>
    </w:pPr>
    <w:rPr>
      <w:rFonts w:ascii="Arial Narrow" w:hAnsi="Arial Narrow"/>
      <w:szCs w:val="20"/>
      <w:lang w:eastAsia="pl-PL"/>
    </w:rPr>
  </w:style>
  <w:style w:type="character" w:customStyle="1" w:styleId="123ZnakZnak">
    <w:name w:val="123 Znak Znak"/>
    <w:rsid w:val="00670D5E"/>
    <w:rPr>
      <w:rFonts w:ascii="Arial Narrow" w:hAnsi="Arial Narrow"/>
      <w:sz w:val="24"/>
      <w:lang w:val="pl-PL" w:eastAsia="pl-PL" w:bidi="ar-SA"/>
    </w:rPr>
  </w:style>
  <w:style w:type="character" w:customStyle="1" w:styleId="ZnakZnak4">
    <w:name w:val="Znak Znak4"/>
    <w:rsid w:val="00670D5E"/>
    <w:rPr>
      <w:sz w:val="24"/>
      <w:szCs w:val="24"/>
    </w:rPr>
  </w:style>
  <w:style w:type="character" w:customStyle="1" w:styleId="ZnakZnak8">
    <w:name w:val="Znak Znak8"/>
    <w:semiHidden/>
    <w:rsid w:val="00670D5E"/>
    <w:rPr>
      <w:rFonts w:ascii="Cambria" w:eastAsia="Times New Roman" w:hAnsi="Cambria" w:cs="Times New Roman"/>
      <w:b/>
      <w:bCs/>
      <w:i/>
      <w:iCs/>
      <w:sz w:val="28"/>
      <w:szCs w:val="28"/>
    </w:rPr>
  </w:style>
  <w:style w:type="character" w:customStyle="1" w:styleId="ZnakZnak6">
    <w:name w:val="Znak Znak6"/>
    <w:rsid w:val="00670D5E"/>
    <w:rPr>
      <w:b/>
      <w:bCs/>
      <w:sz w:val="24"/>
      <w:szCs w:val="24"/>
      <w:u w:val="single"/>
    </w:rPr>
  </w:style>
  <w:style w:type="character" w:customStyle="1" w:styleId="text">
    <w:name w:val="text"/>
    <w:basedOn w:val="Domylnaczcionkaakapitu"/>
    <w:rsid w:val="00670D5E"/>
  </w:style>
  <w:style w:type="paragraph" w:styleId="Lista">
    <w:name w:val="List"/>
    <w:basedOn w:val="Normalny"/>
    <w:uiPriority w:val="99"/>
    <w:rsid w:val="00670D5E"/>
    <w:pPr>
      <w:spacing w:before="0" w:after="0" w:line="240" w:lineRule="auto"/>
      <w:ind w:left="283" w:hanging="283"/>
      <w:contextualSpacing/>
    </w:pPr>
    <w:rPr>
      <w:rFonts w:ascii="Times New Roman" w:hAnsi="Times New Roman"/>
      <w:lang w:eastAsia="pl-PL"/>
    </w:rPr>
  </w:style>
  <w:style w:type="paragraph" w:styleId="Lista2">
    <w:name w:val="List 2"/>
    <w:basedOn w:val="Normalny"/>
    <w:uiPriority w:val="99"/>
    <w:rsid w:val="00670D5E"/>
    <w:pPr>
      <w:spacing w:before="0" w:after="0" w:line="240" w:lineRule="auto"/>
      <w:ind w:left="566" w:hanging="283"/>
      <w:contextualSpacing/>
    </w:pPr>
    <w:rPr>
      <w:rFonts w:ascii="Times New Roman" w:hAnsi="Times New Roman"/>
      <w:lang w:eastAsia="pl-PL"/>
    </w:rPr>
  </w:style>
  <w:style w:type="paragraph" w:styleId="Lista3">
    <w:name w:val="List 3"/>
    <w:basedOn w:val="Normalny"/>
    <w:uiPriority w:val="99"/>
    <w:rsid w:val="00670D5E"/>
    <w:pPr>
      <w:spacing w:before="0" w:after="0" w:line="240" w:lineRule="auto"/>
      <w:ind w:left="849" w:hanging="283"/>
      <w:contextualSpacing/>
    </w:pPr>
    <w:rPr>
      <w:rFonts w:ascii="Times New Roman" w:hAnsi="Times New Roman"/>
      <w:lang w:eastAsia="pl-PL"/>
    </w:rPr>
  </w:style>
  <w:style w:type="paragraph" w:styleId="Lista4">
    <w:name w:val="List 4"/>
    <w:basedOn w:val="Normalny"/>
    <w:rsid w:val="00670D5E"/>
    <w:pPr>
      <w:spacing w:before="0" w:after="0" w:line="240" w:lineRule="auto"/>
      <w:ind w:left="1132" w:hanging="283"/>
      <w:contextualSpacing/>
    </w:pPr>
    <w:rPr>
      <w:rFonts w:ascii="Times New Roman" w:hAnsi="Times New Roman"/>
      <w:lang w:eastAsia="pl-PL"/>
    </w:rPr>
  </w:style>
  <w:style w:type="paragraph" w:styleId="Lista5">
    <w:name w:val="List 5"/>
    <w:basedOn w:val="Normalny"/>
    <w:rsid w:val="00670D5E"/>
    <w:pPr>
      <w:spacing w:before="0" w:after="0" w:line="240" w:lineRule="auto"/>
      <w:ind w:left="1415" w:hanging="283"/>
      <w:contextualSpacing/>
    </w:pPr>
    <w:rPr>
      <w:rFonts w:ascii="Times New Roman" w:hAnsi="Times New Roman"/>
      <w:lang w:eastAsia="pl-PL"/>
    </w:rPr>
  </w:style>
  <w:style w:type="paragraph" w:styleId="Listapunktowana2">
    <w:name w:val="List Bullet 2"/>
    <w:basedOn w:val="Normalny"/>
    <w:uiPriority w:val="99"/>
    <w:rsid w:val="00670D5E"/>
    <w:pPr>
      <w:numPr>
        <w:numId w:val="4"/>
      </w:numPr>
      <w:tabs>
        <w:tab w:val="clear" w:pos="643"/>
      </w:tabs>
      <w:spacing w:before="0" w:after="0" w:line="240" w:lineRule="auto"/>
      <w:contextualSpacing/>
    </w:pPr>
    <w:rPr>
      <w:rFonts w:ascii="Times New Roman" w:hAnsi="Times New Roman"/>
      <w:lang w:eastAsia="pl-PL"/>
    </w:rPr>
  </w:style>
  <w:style w:type="paragraph" w:styleId="Listapunktowana3">
    <w:name w:val="List Bullet 3"/>
    <w:basedOn w:val="Normalny"/>
    <w:uiPriority w:val="99"/>
    <w:rsid w:val="00670D5E"/>
    <w:pPr>
      <w:numPr>
        <w:numId w:val="5"/>
      </w:numPr>
      <w:tabs>
        <w:tab w:val="clear" w:pos="926"/>
      </w:tabs>
      <w:spacing w:before="0" w:after="0" w:line="240" w:lineRule="auto"/>
      <w:contextualSpacing/>
    </w:pPr>
    <w:rPr>
      <w:rFonts w:ascii="Times New Roman" w:hAnsi="Times New Roman"/>
      <w:lang w:eastAsia="pl-PL"/>
    </w:rPr>
  </w:style>
  <w:style w:type="paragraph" w:styleId="Listapunktowana5">
    <w:name w:val="List Bullet 5"/>
    <w:basedOn w:val="Normalny"/>
    <w:rsid w:val="00670D5E"/>
    <w:pPr>
      <w:numPr>
        <w:numId w:val="6"/>
      </w:numPr>
      <w:tabs>
        <w:tab w:val="clear" w:pos="1492"/>
      </w:tabs>
      <w:spacing w:before="0" w:after="0" w:line="240" w:lineRule="auto"/>
      <w:contextualSpacing/>
    </w:pPr>
    <w:rPr>
      <w:rFonts w:ascii="Times New Roman" w:hAnsi="Times New Roman"/>
      <w:lang w:eastAsia="pl-PL"/>
    </w:rPr>
  </w:style>
  <w:style w:type="paragraph" w:styleId="Lista-kontynuacja">
    <w:name w:val="List Continue"/>
    <w:basedOn w:val="Normalny"/>
    <w:uiPriority w:val="99"/>
    <w:rsid w:val="00670D5E"/>
    <w:pPr>
      <w:spacing w:before="0" w:after="120" w:line="240" w:lineRule="auto"/>
      <w:ind w:left="283"/>
      <w:contextualSpacing/>
    </w:pPr>
    <w:rPr>
      <w:rFonts w:ascii="Times New Roman" w:hAnsi="Times New Roman"/>
      <w:lang w:eastAsia="pl-PL"/>
    </w:rPr>
  </w:style>
  <w:style w:type="paragraph" w:styleId="Lista-kontynuacja2">
    <w:name w:val="List Continue 2"/>
    <w:basedOn w:val="Normalny"/>
    <w:uiPriority w:val="99"/>
    <w:rsid w:val="00670D5E"/>
    <w:pPr>
      <w:spacing w:before="0" w:after="120" w:line="240" w:lineRule="auto"/>
      <w:ind w:left="566"/>
      <w:contextualSpacing/>
    </w:pPr>
    <w:rPr>
      <w:rFonts w:ascii="Times New Roman" w:hAnsi="Times New Roman"/>
      <w:lang w:eastAsia="pl-PL"/>
    </w:rPr>
  </w:style>
  <w:style w:type="paragraph" w:styleId="Lista-kontynuacja3">
    <w:name w:val="List Continue 3"/>
    <w:basedOn w:val="Normalny"/>
    <w:uiPriority w:val="99"/>
    <w:rsid w:val="00670D5E"/>
    <w:pPr>
      <w:spacing w:before="0" w:after="120" w:line="240" w:lineRule="auto"/>
      <w:ind w:left="849"/>
      <w:contextualSpacing/>
    </w:pPr>
    <w:rPr>
      <w:rFonts w:ascii="Times New Roman" w:hAnsi="Times New Roman"/>
      <w:lang w:eastAsia="pl-PL"/>
    </w:rPr>
  </w:style>
  <w:style w:type="paragraph" w:styleId="Lista-kontynuacja5">
    <w:name w:val="List Continue 5"/>
    <w:basedOn w:val="Normalny"/>
    <w:rsid w:val="00670D5E"/>
    <w:pPr>
      <w:spacing w:before="0" w:after="120" w:line="240" w:lineRule="auto"/>
      <w:ind w:left="1415"/>
      <w:contextualSpacing/>
    </w:pPr>
    <w:rPr>
      <w:rFonts w:ascii="Times New Roman" w:hAnsi="Times New Roman"/>
      <w:lang w:eastAsia="pl-PL"/>
    </w:rPr>
  </w:style>
  <w:style w:type="paragraph" w:styleId="Legenda">
    <w:name w:val="caption"/>
    <w:basedOn w:val="Normalny"/>
    <w:next w:val="Normalny"/>
    <w:uiPriority w:val="35"/>
    <w:unhideWhenUsed/>
    <w:qFormat/>
    <w:rsid w:val="00670D5E"/>
    <w:pPr>
      <w:spacing w:before="0" w:after="0" w:line="240" w:lineRule="auto"/>
    </w:pPr>
    <w:rPr>
      <w:rFonts w:ascii="Times New Roman" w:hAnsi="Times New Roman"/>
      <w:b/>
      <w:bCs/>
      <w:sz w:val="20"/>
      <w:szCs w:val="20"/>
      <w:lang w:eastAsia="pl-PL"/>
    </w:rPr>
  </w:style>
  <w:style w:type="paragraph" w:styleId="Tekstpodstawowyzwciciem">
    <w:name w:val="Body Text First Indent"/>
    <w:basedOn w:val="Tekstpodstawowy"/>
    <w:link w:val="TekstpodstawowyzwciciemZnak"/>
    <w:rsid w:val="00670D5E"/>
    <w:pPr>
      <w:ind w:firstLine="210"/>
    </w:pPr>
  </w:style>
  <w:style w:type="character" w:customStyle="1" w:styleId="TekstpodstawowyzwciciemZnak">
    <w:name w:val="Tekst podstawowy z wcięciem Znak"/>
    <w:basedOn w:val="TekstpodstawowyZnak"/>
    <w:link w:val="Tekstpodstawowyzwciciem"/>
    <w:rsid w:val="00670D5E"/>
    <w:rPr>
      <w:rFonts w:ascii="Times New Roman" w:hAnsi="Times New Roman"/>
      <w:lang w:eastAsia="pl-PL"/>
    </w:rPr>
  </w:style>
  <w:style w:type="paragraph" w:styleId="Tekstpodstawowyzwciciem2">
    <w:name w:val="Body Text First Indent 2"/>
    <w:basedOn w:val="Tekstpodstawowywcity"/>
    <w:link w:val="Tekstpodstawowyzwciciem2Znak"/>
    <w:rsid w:val="00670D5E"/>
    <w:pPr>
      <w:spacing w:after="120"/>
      <w:ind w:left="283" w:firstLine="210"/>
    </w:pPr>
    <w:rPr>
      <w:b w:val="0"/>
      <w:bCs w:val="0"/>
    </w:rPr>
  </w:style>
  <w:style w:type="character" w:customStyle="1" w:styleId="Tekstpodstawowyzwciciem2Znak">
    <w:name w:val="Tekst podstawowy z wcięciem 2 Znak"/>
    <w:basedOn w:val="TekstpodstawowywcityZnak"/>
    <w:link w:val="Tekstpodstawowyzwciciem2"/>
    <w:rsid w:val="00670D5E"/>
    <w:rPr>
      <w:rFonts w:ascii="Times New Roman" w:hAnsi="Times New Roman"/>
      <w:b w:val="0"/>
      <w:bCs w:val="0"/>
      <w:lang w:eastAsia="pl-PL"/>
    </w:rPr>
  </w:style>
  <w:style w:type="character" w:customStyle="1" w:styleId="Nierozpoznanawzmianka1">
    <w:name w:val="Nierozpoznana wzmianka1"/>
    <w:uiPriority w:val="99"/>
    <w:semiHidden/>
    <w:unhideWhenUsed/>
    <w:rsid w:val="00670D5E"/>
    <w:rPr>
      <w:color w:val="605E5C"/>
      <w:shd w:val="clear" w:color="auto" w:fill="E1DFDD"/>
    </w:rPr>
  </w:style>
  <w:style w:type="character" w:customStyle="1" w:styleId="WW8Num8z0">
    <w:name w:val="WW8Num8z0"/>
    <w:qFormat/>
    <w:rsid w:val="00670D5E"/>
  </w:style>
  <w:style w:type="paragraph" w:customStyle="1" w:styleId="Default">
    <w:name w:val="Default"/>
    <w:qFormat/>
    <w:rsid w:val="00670D5E"/>
    <w:pPr>
      <w:autoSpaceDE w:val="0"/>
      <w:autoSpaceDN w:val="0"/>
      <w:adjustRightInd w:val="0"/>
    </w:pPr>
    <w:rPr>
      <w:rFonts w:ascii="Times New Roman" w:hAnsi="Times New Roman"/>
      <w:color w:val="000000"/>
      <w:lang w:eastAsia="pl-PL"/>
    </w:rPr>
  </w:style>
  <w:style w:type="paragraph" w:styleId="Tekstprzypisukocowego">
    <w:name w:val="endnote text"/>
    <w:basedOn w:val="Normalny"/>
    <w:link w:val="TekstprzypisukocowegoZnak"/>
    <w:semiHidden/>
    <w:unhideWhenUsed/>
    <w:rsid w:val="009B5E0A"/>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9B5E0A"/>
    <w:rPr>
      <w:sz w:val="20"/>
      <w:szCs w:val="20"/>
    </w:rPr>
  </w:style>
  <w:style w:type="character" w:styleId="Odwoanieprzypisukocowego">
    <w:name w:val="endnote reference"/>
    <w:basedOn w:val="Domylnaczcionkaakapitu"/>
    <w:semiHidden/>
    <w:unhideWhenUsed/>
    <w:rsid w:val="009B5E0A"/>
    <w:rPr>
      <w:vertAlign w:val="superscript"/>
    </w:rPr>
  </w:style>
  <w:style w:type="paragraph" w:styleId="Tekstprzypisudolnego">
    <w:name w:val="footnote text"/>
    <w:basedOn w:val="Normalny"/>
    <w:link w:val="TekstprzypisudolnegoZnak"/>
    <w:uiPriority w:val="99"/>
    <w:rsid w:val="00334A65"/>
    <w:pPr>
      <w:suppressAutoHyphens/>
      <w:spacing w:before="0" w:after="0" w:line="240" w:lineRule="auto"/>
    </w:pPr>
    <w:rPr>
      <w:rFonts w:ascii="Times New Roman" w:hAnsi="Times New Roman"/>
      <w:sz w:val="20"/>
      <w:szCs w:val="20"/>
      <w:lang w:eastAsia="ar-SA"/>
    </w:rPr>
  </w:style>
  <w:style w:type="character" w:customStyle="1" w:styleId="TekstprzypisudolnegoZnak">
    <w:name w:val="Tekst przypisu dolnego Znak"/>
    <w:basedOn w:val="Domylnaczcionkaakapitu"/>
    <w:link w:val="Tekstprzypisudolnego"/>
    <w:uiPriority w:val="99"/>
    <w:rsid w:val="00334A65"/>
    <w:rPr>
      <w:rFonts w:ascii="Times New Roman" w:hAnsi="Times New Roman"/>
      <w:sz w:val="20"/>
      <w:szCs w:val="20"/>
      <w:lang w:eastAsia="ar-SA"/>
    </w:rPr>
  </w:style>
  <w:style w:type="table" w:customStyle="1" w:styleId="TableGrid">
    <w:name w:val="TableGrid"/>
    <w:rsid w:val="00653161"/>
    <w:rPr>
      <w:rFonts w:ascii="Arial" w:eastAsiaTheme="minorEastAsia" w:hAnsi="Arial" w:cs="Arial"/>
      <w:sz w:val="20"/>
      <w:szCs w:val="22"/>
      <w:lang w:eastAsia="pl-PL"/>
    </w:rPr>
    <w:tblPr>
      <w:tblCellMar>
        <w:top w:w="0" w:type="dxa"/>
        <w:left w:w="0" w:type="dxa"/>
        <w:bottom w:w="0" w:type="dxa"/>
        <w:right w:w="0" w:type="dxa"/>
      </w:tblCellMar>
    </w:tblPr>
  </w:style>
  <w:style w:type="paragraph" w:customStyle="1" w:styleId="StylInterliniaWielokrotne115wrs">
    <w:name w:val="Styl Interlinia:  Wielokrotne 115 wrs"/>
    <w:basedOn w:val="Normalny"/>
    <w:rsid w:val="00FD10FD"/>
    <w:pPr>
      <w:spacing w:before="120" w:after="120" w:line="276" w:lineRule="auto"/>
    </w:pPr>
    <w:rPr>
      <w:szCs w:val="20"/>
    </w:rPr>
  </w:style>
  <w:style w:type="paragraph" w:styleId="Listanumerowana">
    <w:name w:val="List Number"/>
    <w:basedOn w:val="Normalny"/>
    <w:uiPriority w:val="99"/>
    <w:rsid w:val="00446ABE"/>
    <w:pPr>
      <w:numPr>
        <w:numId w:val="8"/>
      </w:numPr>
      <w:contextualSpacing/>
    </w:pPr>
  </w:style>
  <w:style w:type="character" w:styleId="Nierozpoznanawzmianka">
    <w:name w:val="Unresolved Mention"/>
    <w:basedOn w:val="Domylnaczcionkaakapitu"/>
    <w:uiPriority w:val="99"/>
    <w:semiHidden/>
    <w:unhideWhenUsed/>
    <w:rsid w:val="00446ABE"/>
    <w:rPr>
      <w:color w:val="605E5C"/>
      <w:shd w:val="clear" w:color="auto" w:fill="E1DFDD"/>
    </w:rPr>
  </w:style>
  <w:style w:type="paragraph" w:customStyle="1" w:styleId="Normalny1">
    <w:name w:val="Normalny1"/>
    <w:basedOn w:val="Normalny"/>
    <w:pPr>
      <w:spacing w:before="120" w:after="120" w:line="240" w:lineRule="atLeast"/>
    </w:pPr>
    <w:rPr>
      <w:rFonts w:ascii="Arial" w:hAnsi="Arial" w:cs="Arial"/>
      <w:kern w:val="2"/>
      <w:sz w:val="20"/>
      <w:lang w:eastAsia="pl-PL"/>
      <w14:ligatures w14:val="standardContextual"/>
    </w:rPr>
  </w:style>
  <w:style w:type="table" w:styleId="Tabelasiatki4akcent1">
    <w:name w:val="Grid Table 4 Accent 1"/>
    <w:basedOn w:val="Standardowy"/>
    <w:uiPriority w:val="49"/>
    <w:rsid w:val="005E1D2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rmalny2">
    <w:name w:val="Normalny2"/>
    <w:basedOn w:val="Normalny"/>
    <w:rsid w:val="00F2602C"/>
    <w:rPr>
      <w:rFonts w:cs="Calibri"/>
      <w:kern w:val="2"/>
      <w:lang w:eastAsia="pl-PL"/>
      <w14:ligatures w14:val="standardContextual"/>
    </w:rPr>
  </w:style>
  <w:style w:type="paragraph" w:customStyle="1" w:styleId="Normalny3">
    <w:name w:val="Normalny3"/>
    <w:basedOn w:val="Normalny"/>
    <w:rsid w:val="003A7178"/>
    <w:rPr>
      <w:rFonts w:cs="Calibri"/>
      <w:kern w:val="2"/>
      <w:lang w:eastAsia="pl-PL"/>
      <w14:ligatures w14:val="standardContextual"/>
    </w:rPr>
  </w:style>
  <w:style w:type="paragraph" w:styleId="Listapunktowana">
    <w:name w:val="List Bullet"/>
    <w:basedOn w:val="Normalny"/>
    <w:uiPriority w:val="99"/>
    <w:unhideWhenUsed/>
    <w:rsid w:val="00831382"/>
    <w:pPr>
      <w:numPr>
        <w:numId w:val="23"/>
      </w:numPr>
      <w:contextualSpacing/>
    </w:pPr>
  </w:style>
  <w:style w:type="character" w:customStyle="1" w:styleId="Nagwek7Znak">
    <w:name w:val="Nagłówek 7 Znak"/>
    <w:basedOn w:val="Domylnaczcionkaakapitu"/>
    <w:link w:val="Nagwek7"/>
    <w:uiPriority w:val="9"/>
    <w:semiHidden/>
    <w:rsid w:val="00831382"/>
    <w:rPr>
      <w:rFonts w:ascii="Arial" w:eastAsia="Arial" w:hAnsi="Arial" w:cs="Arial"/>
      <w:i/>
      <w:iCs/>
      <w:color w:val="404040" w:themeColor="text1" w:themeTint="BF"/>
      <w:lang w:val="en-US"/>
    </w:rPr>
  </w:style>
  <w:style w:type="character" w:customStyle="1" w:styleId="Nagwek8Znak">
    <w:name w:val="Nagłówek 8 Znak"/>
    <w:basedOn w:val="Domylnaczcionkaakapitu"/>
    <w:link w:val="Nagwek8"/>
    <w:uiPriority w:val="9"/>
    <w:semiHidden/>
    <w:rsid w:val="00831382"/>
    <w:rPr>
      <w:rFonts w:ascii="Arial" w:eastAsia="Arial" w:hAnsi="Arial" w:cs="Arial"/>
      <w:color w:val="5B9BD5" w:themeColor="accent1"/>
      <w:lang w:val="en-US"/>
    </w:rPr>
  </w:style>
  <w:style w:type="character" w:customStyle="1" w:styleId="Nagwek9Znak">
    <w:name w:val="Nagłówek 9 Znak"/>
    <w:basedOn w:val="Domylnaczcionkaakapitu"/>
    <w:link w:val="Nagwek9"/>
    <w:uiPriority w:val="9"/>
    <w:semiHidden/>
    <w:rsid w:val="00831382"/>
    <w:rPr>
      <w:rFonts w:ascii="Arial" w:eastAsia="Arial" w:hAnsi="Arial" w:cs="Arial"/>
      <w:i/>
      <w:iCs/>
      <w:color w:val="404040" w:themeColor="text1" w:themeTint="BF"/>
      <w:lang w:val="en-US"/>
    </w:rPr>
  </w:style>
  <w:style w:type="paragraph" w:styleId="Bezodstpw">
    <w:name w:val="No Spacing"/>
    <w:uiPriority w:val="1"/>
    <w:qFormat/>
    <w:rsid w:val="00831382"/>
    <w:rPr>
      <w:rFonts w:ascii="Arial" w:eastAsia="Arial" w:hAnsi="Arial" w:cs="Arial"/>
      <w:lang w:val="en-US"/>
    </w:rPr>
  </w:style>
  <w:style w:type="paragraph" w:styleId="Podtytu">
    <w:name w:val="Subtitle"/>
    <w:basedOn w:val="Normalny"/>
    <w:next w:val="Normalny"/>
    <w:link w:val="PodtytuZnak"/>
    <w:uiPriority w:val="11"/>
    <w:qFormat/>
    <w:rsid w:val="00831382"/>
    <w:pPr>
      <w:numPr>
        <w:ilvl w:val="1"/>
      </w:numPr>
      <w:spacing w:before="0" w:after="120" w:line="360" w:lineRule="exact"/>
      <w:jc w:val="both"/>
    </w:pPr>
    <w:rPr>
      <w:rFonts w:ascii="Arial" w:eastAsia="Arial" w:hAnsi="Arial" w:cs="Arial"/>
      <w:i/>
      <w:iCs/>
      <w:color w:val="5B9BD5" w:themeColor="accent1"/>
      <w:spacing w:val="15"/>
      <w:lang w:val="en-US"/>
    </w:rPr>
  </w:style>
  <w:style w:type="character" w:customStyle="1" w:styleId="PodtytuZnak">
    <w:name w:val="Podtytuł Znak"/>
    <w:basedOn w:val="Domylnaczcionkaakapitu"/>
    <w:link w:val="Podtytu"/>
    <w:uiPriority w:val="11"/>
    <w:rsid w:val="00831382"/>
    <w:rPr>
      <w:rFonts w:ascii="Arial" w:eastAsia="Arial" w:hAnsi="Arial" w:cs="Arial"/>
      <w:i/>
      <w:iCs/>
      <w:color w:val="5B9BD5" w:themeColor="accent1"/>
      <w:spacing w:val="15"/>
      <w:lang w:val="en-US"/>
    </w:rPr>
  </w:style>
  <w:style w:type="paragraph" w:styleId="Listanumerowana2">
    <w:name w:val="List Number 2"/>
    <w:basedOn w:val="Normalny"/>
    <w:uiPriority w:val="99"/>
    <w:unhideWhenUsed/>
    <w:rsid w:val="00831382"/>
    <w:pPr>
      <w:numPr>
        <w:numId w:val="25"/>
      </w:numPr>
      <w:tabs>
        <w:tab w:val="clear" w:pos="720"/>
      </w:tabs>
      <w:spacing w:before="0" w:after="120" w:line="360" w:lineRule="exact"/>
      <w:ind w:left="0" w:firstLine="0"/>
      <w:contextualSpacing/>
      <w:jc w:val="both"/>
    </w:pPr>
    <w:rPr>
      <w:rFonts w:ascii="Arial" w:eastAsia="Arial" w:hAnsi="Arial" w:cs="Arial"/>
      <w:lang w:val="en-US"/>
    </w:rPr>
  </w:style>
  <w:style w:type="paragraph" w:styleId="Listanumerowana3">
    <w:name w:val="List Number 3"/>
    <w:basedOn w:val="Normalny"/>
    <w:uiPriority w:val="99"/>
    <w:unhideWhenUsed/>
    <w:rsid w:val="00831382"/>
    <w:pPr>
      <w:numPr>
        <w:numId w:val="26"/>
      </w:numPr>
      <w:tabs>
        <w:tab w:val="clear" w:pos="1080"/>
      </w:tabs>
      <w:spacing w:before="0" w:after="120" w:line="360" w:lineRule="exact"/>
      <w:ind w:left="0" w:firstLine="0"/>
      <w:contextualSpacing/>
      <w:jc w:val="both"/>
    </w:pPr>
    <w:rPr>
      <w:rFonts w:ascii="Arial" w:eastAsia="Arial" w:hAnsi="Arial" w:cs="Arial"/>
      <w:lang w:val="en-US"/>
    </w:rPr>
  </w:style>
  <w:style w:type="paragraph" w:styleId="Tekstmakra">
    <w:name w:val="macro"/>
    <w:link w:val="TekstmakraZnak"/>
    <w:uiPriority w:val="99"/>
    <w:unhideWhenUsed/>
    <w:rsid w:val="00831382"/>
    <w:pPr>
      <w:tabs>
        <w:tab w:val="left" w:pos="576"/>
        <w:tab w:val="left" w:pos="1152"/>
        <w:tab w:val="left" w:pos="1728"/>
        <w:tab w:val="left" w:pos="2304"/>
        <w:tab w:val="left" w:pos="2880"/>
        <w:tab w:val="left" w:pos="3456"/>
        <w:tab w:val="left" w:pos="4032"/>
      </w:tabs>
      <w:spacing w:after="120" w:line="360" w:lineRule="auto"/>
    </w:pPr>
    <w:rPr>
      <w:rFonts w:ascii="Arial" w:eastAsia="Arial" w:hAnsi="Arial" w:cs="Arial"/>
      <w:lang w:val="en-US"/>
    </w:rPr>
  </w:style>
  <w:style w:type="character" w:customStyle="1" w:styleId="TekstmakraZnak">
    <w:name w:val="Tekst makra Znak"/>
    <w:basedOn w:val="Domylnaczcionkaakapitu"/>
    <w:link w:val="Tekstmakra"/>
    <w:uiPriority w:val="99"/>
    <w:rsid w:val="00831382"/>
    <w:rPr>
      <w:rFonts w:ascii="Arial" w:eastAsia="Arial" w:hAnsi="Arial" w:cs="Arial"/>
      <w:lang w:val="en-US"/>
    </w:rPr>
  </w:style>
  <w:style w:type="paragraph" w:styleId="Cytat">
    <w:name w:val="Quote"/>
    <w:basedOn w:val="Normalny"/>
    <w:next w:val="Normalny"/>
    <w:link w:val="CytatZnak"/>
    <w:uiPriority w:val="29"/>
    <w:qFormat/>
    <w:rsid w:val="00831382"/>
    <w:pPr>
      <w:spacing w:before="0" w:after="120" w:line="360" w:lineRule="exact"/>
      <w:jc w:val="both"/>
    </w:pPr>
    <w:rPr>
      <w:rFonts w:ascii="Arial" w:eastAsia="Arial" w:hAnsi="Arial" w:cs="Arial"/>
      <w:i/>
      <w:iCs/>
      <w:color w:val="000000" w:themeColor="text1"/>
      <w:lang w:val="en-US"/>
    </w:rPr>
  </w:style>
  <w:style w:type="character" w:customStyle="1" w:styleId="CytatZnak">
    <w:name w:val="Cytat Znak"/>
    <w:basedOn w:val="Domylnaczcionkaakapitu"/>
    <w:link w:val="Cytat"/>
    <w:uiPriority w:val="29"/>
    <w:rsid w:val="00831382"/>
    <w:rPr>
      <w:rFonts w:ascii="Arial" w:eastAsia="Arial" w:hAnsi="Arial" w:cs="Arial"/>
      <w:i/>
      <w:iCs/>
      <w:color w:val="000000" w:themeColor="text1"/>
      <w:lang w:val="en-US"/>
    </w:rPr>
  </w:style>
  <w:style w:type="character" w:styleId="Uwydatnienie">
    <w:name w:val="Emphasis"/>
    <w:basedOn w:val="Domylnaczcionkaakapitu"/>
    <w:uiPriority w:val="20"/>
    <w:qFormat/>
    <w:rsid w:val="00831382"/>
    <w:rPr>
      <w:rFonts w:ascii="Arial" w:eastAsia="Arial" w:hAnsi="Arial" w:cs="Arial"/>
      <w:i/>
      <w:iCs/>
      <w:sz w:val="24"/>
      <w:szCs w:val="24"/>
    </w:rPr>
  </w:style>
  <w:style w:type="paragraph" w:styleId="Cytatintensywny">
    <w:name w:val="Intense Quote"/>
    <w:basedOn w:val="Normalny"/>
    <w:next w:val="Normalny"/>
    <w:link w:val="CytatintensywnyZnak"/>
    <w:uiPriority w:val="30"/>
    <w:qFormat/>
    <w:rsid w:val="00831382"/>
    <w:pPr>
      <w:pBdr>
        <w:bottom w:val="single" w:sz="4" w:space="4" w:color="5B9BD5" w:themeColor="accent1"/>
      </w:pBdr>
      <w:spacing w:before="200" w:after="280" w:line="360" w:lineRule="exact"/>
      <w:ind w:left="936" w:right="936"/>
      <w:jc w:val="both"/>
    </w:pPr>
    <w:rPr>
      <w:rFonts w:ascii="Arial" w:eastAsia="Arial" w:hAnsi="Arial" w:cs="Arial"/>
      <w:b/>
      <w:bCs/>
      <w:i/>
      <w:iCs/>
      <w:color w:val="5B9BD5" w:themeColor="accent1"/>
      <w:lang w:val="en-US"/>
    </w:rPr>
  </w:style>
  <w:style w:type="character" w:customStyle="1" w:styleId="CytatintensywnyZnak">
    <w:name w:val="Cytat intensywny Znak"/>
    <w:basedOn w:val="Domylnaczcionkaakapitu"/>
    <w:link w:val="Cytatintensywny"/>
    <w:uiPriority w:val="30"/>
    <w:rsid w:val="00831382"/>
    <w:rPr>
      <w:rFonts w:ascii="Arial" w:eastAsia="Arial" w:hAnsi="Arial" w:cs="Arial"/>
      <w:b/>
      <w:bCs/>
      <w:i/>
      <w:iCs/>
      <w:color w:val="5B9BD5" w:themeColor="accent1"/>
      <w:lang w:val="en-US"/>
    </w:rPr>
  </w:style>
  <w:style w:type="character" w:styleId="Wyrnieniedelikatne">
    <w:name w:val="Subtle Emphasis"/>
    <w:basedOn w:val="Domylnaczcionkaakapitu"/>
    <w:uiPriority w:val="19"/>
    <w:qFormat/>
    <w:rsid w:val="00831382"/>
    <w:rPr>
      <w:rFonts w:ascii="Arial" w:eastAsia="Arial" w:hAnsi="Arial" w:cs="Arial"/>
      <w:i/>
      <w:iCs/>
      <w:color w:val="808080" w:themeColor="text1" w:themeTint="7F"/>
      <w:sz w:val="24"/>
      <w:szCs w:val="24"/>
    </w:rPr>
  </w:style>
  <w:style w:type="character" w:styleId="Wyrnienieintensywne">
    <w:name w:val="Intense Emphasis"/>
    <w:basedOn w:val="Domylnaczcionkaakapitu"/>
    <w:uiPriority w:val="21"/>
    <w:qFormat/>
    <w:rsid w:val="00831382"/>
    <w:rPr>
      <w:rFonts w:ascii="Arial" w:eastAsia="Arial" w:hAnsi="Arial" w:cs="Arial"/>
      <w:b/>
      <w:bCs/>
      <w:i/>
      <w:iCs/>
      <w:color w:val="5B9BD5" w:themeColor="accent1"/>
      <w:sz w:val="24"/>
      <w:szCs w:val="24"/>
    </w:rPr>
  </w:style>
  <w:style w:type="character" w:styleId="Odwoaniedelikatne">
    <w:name w:val="Subtle Reference"/>
    <w:basedOn w:val="Domylnaczcionkaakapitu"/>
    <w:uiPriority w:val="31"/>
    <w:qFormat/>
    <w:rsid w:val="00831382"/>
    <w:rPr>
      <w:rFonts w:ascii="Arial" w:eastAsia="Arial" w:hAnsi="Arial" w:cs="Arial"/>
      <w:smallCaps/>
      <w:color w:val="ED7D31" w:themeColor="accent2"/>
      <w:sz w:val="24"/>
      <w:szCs w:val="24"/>
      <w:u w:val="single"/>
    </w:rPr>
  </w:style>
  <w:style w:type="character" w:styleId="Odwoanieintensywne">
    <w:name w:val="Intense Reference"/>
    <w:basedOn w:val="Domylnaczcionkaakapitu"/>
    <w:uiPriority w:val="32"/>
    <w:qFormat/>
    <w:rsid w:val="00831382"/>
    <w:rPr>
      <w:rFonts w:ascii="Arial" w:eastAsia="Arial" w:hAnsi="Arial" w:cs="Arial"/>
      <w:b/>
      <w:bCs/>
      <w:smallCaps/>
      <w:color w:val="ED7D31" w:themeColor="accent2"/>
      <w:spacing w:val="5"/>
      <w:sz w:val="24"/>
      <w:szCs w:val="24"/>
      <w:u w:val="single"/>
    </w:rPr>
  </w:style>
  <w:style w:type="character" w:styleId="Tytuksiki">
    <w:name w:val="Book Title"/>
    <w:basedOn w:val="Domylnaczcionkaakapitu"/>
    <w:uiPriority w:val="33"/>
    <w:qFormat/>
    <w:rsid w:val="00831382"/>
    <w:rPr>
      <w:rFonts w:ascii="Arial" w:eastAsia="Arial" w:hAnsi="Arial" w:cs="Arial"/>
      <w:b/>
      <w:bCs/>
      <w:smallCaps/>
      <w:spacing w:val="5"/>
      <w:sz w:val="24"/>
      <w:szCs w:val="24"/>
    </w:rPr>
  </w:style>
  <w:style w:type="table" w:styleId="Jasnecieniowanie">
    <w:name w:val="Light Shading"/>
    <w:basedOn w:val="Standardowy"/>
    <w:uiPriority w:val="60"/>
    <w:rsid w:val="00831382"/>
    <w:rPr>
      <w:rFonts w:ascii="Arial" w:eastAsia="Arial" w:hAnsi="Arial" w:cs="Arial"/>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831382"/>
    <w:rPr>
      <w:rFonts w:ascii="Arial" w:eastAsia="Arial" w:hAnsi="Arial" w:cs="Arial"/>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Jasnecieniowanieakcent2">
    <w:name w:val="Light Shading Accent 2"/>
    <w:basedOn w:val="Standardowy"/>
    <w:uiPriority w:val="60"/>
    <w:rsid w:val="00831382"/>
    <w:rPr>
      <w:rFonts w:ascii="Arial" w:eastAsia="Arial" w:hAnsi="Arial" w:cs="Arial"/>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Jasnecieniowanieakcent3">
    <w:name w:val="Light Shading Accent 3"/>
    <w:basedOn w:val="Standardowy"/>
    <w:uiPriority w:val="60"/>
    <w:rsid w:val="00831382"/>
    <w:rPr>
      <w:rFonts w:ascii="Arial" w:eastAsia="Arial" w:hAnsi="Arial" w:cs="Arial"/>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4">
    <w:name w:val="Light Shading Accent 4"/>
    <w:basedOn w:val="Standardowy"/>
    <w:uiPriority w:val="60"/>
    <w:rsid w:val="00831382"/>
    <w:rPr>
      <w:rFonts w:ascii="Arial" w:eastAsia="Arial" w:hAnsi="Arial" w:cs="Arial"/>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Jasnecieniowanieakcent5">
    <w:name w:val="Light Shading Accent 5"/>
    <w:basedOn w:val="Standardowy"/>
    <w:uiPriority w:val="60"/>
    <w:rsid w:val="00831382"/>
    <w:rPr>
      <w:rFonts w:ascii="Arial" w:eastAsia="Arial" w:hAnsi="Arial" w:cs="Arial"/>
      <w:color w:val="2F5496" w:themeColor="accent5" w:themeShade="BF"/>
      <w:lang w:val="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Jasnecieniowanieakcent6">
    <w:name w:val="Light Shading Accent 6"/>
    <w:basedOn w:val="Standardowy"/>
    <w:uiPriority w:val="60"/>
    <w:rsid w:val="00831382"/>
    <w:rPr>
      <w:rFonts w:ascii="Arial" w:eastAsia="Arial" w:hAnsi="Arial" w:cs="Arial"/>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Jasnalista">
    <w:name w:val="Light List"/>
    <w:basedOn w:val="Standardowy"/>
    <w:uiPriority w:val="61"/>
    <w:rsid w:val="00831382"/>
    <w:rPr>
      <w:rFonts w:ascii="Arial" w:eastAsia="Arial" w:hAnsi="Arial" w:cs="Arial"/>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831382"/>
    <w:rPr>
      <w:rFonts w:ascii="Arial" w:eastAsia="Arial" w:hAnsi="Arial" w:cs="Arial"/>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tblPr/>
      <w:tcPr>
        <w:shd w:val="clear" w:color="auto" w:fill="5B9BD5" w:themeFill="accent1"/>
      </w:tcPr>
    </w:tblStylePr>
    <w:tblStylePr w:type="lastRow">
      <w:pPr>
        <w:spacing w:before="0" w:after="0" w:line="240" w:lineRule="auto"/>
      </w:p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Jasnalistaakcent2">
    <w:name w:val="Light List Accent 2"/>
    <w:basedOn w:val="Standardowy"/>
    <w:uiPriority w:val="61"/>
    <w:rsid w:val="00831382"/>
    <w:rPr>
      <w:rFonts w:ascii="Arial" w:eastAsia="Arial" w:hAnsi="Arial" w:cs="Arial"/>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tblPr/>
      <w:tcPr>
        <w:shd w:val="clear" w:color="auto" w:fill="ED7D31" w:themeFill="accent2"/>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Jasnalistaakcent3">
    <w:name w:val="Light List Accent 3"/>
    <w:basedOn w:val="Standardowy"/>
    <w:uiPriority w:val="61"/>
    <w:rsid w:val="00831382"/>
    <w:rPr>
      <w:rFonts w:ascii="Arial" w:eastAsia="Arial" w:hAnsi="Arial" w:cs="Arial"/>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tblPr/>
      <w:tcPr>
        <w:shd w:val="clear" w:color="auto" w:fill="A5A5A5" w:themeFill="accent3"/>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Jasnalistaakcent4">
    <w:name w:val="Light List Accent 4"/>
    <w:basedOn w:val="Standardowy"/>
    <w:uiPriority w:val="61"/>
    <w:rsid w:val="00831382"/>
    <w:rPr>
      <w:rFonts w:ascii="Arial" w:eastAsia="Arial" w:hAnsi="Arial" w:cs="Arial"/>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tblPr/>
      <w:tcPr>
        <w:shd w:val="clear" w:color="auto" w:fill="FFC000" w:themeFill="accent4"/>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Jasnalistaakcent5">
    <w:name w:val="Light List Accent 5"/>
    <w:basedOn w:val="Standardowy"/>
    <w:uiPriority w:val="61"/>
    <w:rsid w:val="00831382"/>
    <w:rPr>
      <w:rFonts w:ascii="Arial" w:eastAsia="Arial" w:hAnsi="Arial" w:cs="Arial"/>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tblPr/>
      <w:tcPr>
        <w:shd w:val="clear" w:color="auto" w:fill="4472C4" w:themeFill="accent5"/>
      </w:tcPr>
    </w:tblStylePr>
    <w:tblStylePr w:type="lastRow">
      <w:pPr>
        <w:spacing w:before="0" w:after="0" w:line="240" w:lineRule="auto"/>
      </w:p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Jasnalistaakcent6">
    <w:name w:val="Light List Accent 6"/>
    <w:basedOn w:val="Standardowy"/>
    <w:uiPriority w:val="61"/>
    <w:rsid w:val="00831382"/>
    <w:rPr>
      <w:rFonts w:ascii="Arial" w:eastAsia="Arial" w:hAnsi="Arial" w:cs="Arial"/>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tblPr/>
      <w:tcPr>
        <w:shd w:val="clear" w:color="auto" w:fill="70AD47" w:themeFill="accent6"/>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Jasnasiatka">
    <w:name w:val="Light Grid"/>
    <w:basedOn w:val="Standardowy"/>
    <w:uiPriority w:val="62"/>
    <w:rsid w:val="00831382"/>
    <w:rPr>
      <w:rFonts w:ascii="Arial" w:eastAsia="Arial" w:hAnsi="Arial" w:cs="Arial"/>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831382"/>
    <w:rPr>
      <w:rFonts w:ascii="Arial" w:eastAsia="Arial" w:hAnsi="Arial" w:cs="Arial"/>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lastCol">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Jasnasiatkaakcent2">
    <w:name w:val="Light Grid Accent 2"/>
    <w:basedOn w:val="Standardowy"/>
    <w:uiPriority w:val="62"/>
    <w:rsid w:val="00831382"/>
    <w:rPr>
      <w:rFonts w:ascii="Arial" w:eastAsia="Arial" w:hAnsi="Arial" w:cs="Arial"/>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lastCol">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Jasnasiatkaakcent3">
    <w:name w:val="Light Grid Accent 3"/>
    <w:basedOn w:val="Standardowy"/>
    <w:uiPriority w:val="62"/>
    <w:rsid w:val="00831382"/>
    <w:rPr>
      <w:rFonts w:ascii="Arial" w:eastAsia="Arial" w:hAnsi="Arial" w:cs="Arial"/>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Jasnasiatkaakcent4">
    <w:name w:val="Light Grid Accent 4"/>
    <w:basedOn w:val="Standardowy"/>
    <w:uiPriority w:val="62"/>
    <w:rsid w:val="00831382"/>
    <w:rPr>
      <w:rFonts w:ascii="Arial" w:eastAsia="Arial" w:hAnsi="Arial" w:cs="Arial"/>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lastCol">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Jasnasiatkaakcent5">
    <w:name w:val="Light Grid Accent 5"/>
    <w:basedOn w:val="Standardowy"/>
    <w:uiPriority w:val="62"/>
    <w:rsid w:val="00831382"/>
    <w:rPr>
      <w:rFonts w:ascii="Arial" w:eastAsia="Arial" w:hAnsi="Arial" w:cs="Arial"/>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lastCol">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Jasnasiatkaakcent6">
    <w:name w:val="Light Grid Accent 6"/>
    <w:basedOn w:val="Standardowy"/>
    <w:uiPriority w:val="62"/>
    <w:rsid w:val="00831382"/>
    <w:rPr>
      <w:rFonts w:ascii="Arial" w:eastAsia="Arial" w:hAnsi="Arial" w:cs="Arial"/>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lastCol">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redniecieniowanie1">
    <w:name w:val="Medium Shading 1"/>
    <w:basedOn w:val="Standardowy"/>
    <w:uiPriority w:val="63"/>
    <w:rsid w:val="00831382"/>
    <w:rPr>
      <w:rFonts w:ascii="Arial" w:eastAsia="Arial" w:hAnsi="Arial" w:cs="Arial"/>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831382"/>
    <w:rPr>
      <w:rFonts w:ascii="Arial" w:eastAsia="Arial" w:hAnsi="Arial" w:cs="Arial"/>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831382"/>
    <w:rPr>
      <w:rFonts w:ascii="Arial" w:eastAsia="Arial" w:hAnsi="Arial" w:cs="Arial"/>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831382"/>
    <w:rPr>
      <w:rFonts w:ascii="Arial" w:eastAsia="Arial" w:hAnsi="Arial" w:cs="Arial"/>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831382"/>
    <w:rPr>
      <w:rFonts w:ascii="Arial" w:eastAsia="Arial" w:hAnsi="Arial" w:cs="Arial"/>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831382"/>
    <w:rPr>
      <w:rFonts w:ascii="Arial" w:eastAsia="Arial" w:hAnsi="Arial" w:cs="Arial"/>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831382"/>
    <w:rPr>
      <w:rFonts w:ascii="Arial" w:eastAsia="Arial" w:hAnsi="Arial" w:cs="Arial"/>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5B9BD5" w:themeFill="accent1"/>
      </w:tcPr>
    </w:tblStylePr>
    <w:tblStylePr w:type="lastCol">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D7D31" w:themeFill="accent2"/>
      </w:tcPr>
    </w:tblStylePr>
    <w:tblStylePr w:type="lastCol">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5A5A5" w:themeFill="accent3"/>
      </w:tcPr>
    </w:tblStylePr>
    <w:tblStylePr w:type="lastCol">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FC000" w:themeFill="accent4"/>
      </w:tcPr>
    </w:tblStylePr>
    <w:tblStylePr w:type="lastCol">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472C4" w:themeFill="accent5"/>
      </w:tcPr>
    </w:tblStylePr>
    <w:tblStylePr w:type="lastCol">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70AD47" w:themeFill="accent6"/>
      </w:tcPr>
    </w:tblStylePr>
    <w:tblStylePr w:type="lastCol">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5B9BD5" w:themeColor="accent1"/>
        <w:bottom w:val="single" w:sz="8" w:space="0" w:color="5B9BD5" w:themeColor="accent1"/>
      </w:tblBorders>
    </w:tblPr>
    <w:tblStylePr w:type="firstRow">
      <w:rPr>
        <w:rFonts w:ascii="Arial" w:eastAsia="Arial" w:hAnsi="Arial" w:cs="Arial"/>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rednialista1akcent2">
    <w:name w:val="Medium List 1 Accent 2"/>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Arial" w:eastAsia="Arial" w:hAnsi="Arial" w:cs="Arial"/>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rednialista1akcent3">
    <w:name w:val="Medium List 1 Accent 3"/>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Arial" w:eastAsia="Arial" w:hAnsi="Arial" w:cs="Arial"/>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rednialista1akcent4">
    <w:name w:val="Medium List 1 Accent 4"/>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Arial" w:eastAsia="Arial" w:hAnsi="Arial" w:cs="Arial"/>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rednialista1akcent5">
    <w:name w:val="Medium List 1 Accent 5"/>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4472C4" w:themeColor="accent5"/>
        <w:bottom w:val="single" w:sz="8" w:space="0" w:color="4472C4" w:themeColor="accent5"/>
      </w:tblBorders>
    </w:tblPr>
    <w:tblStylePr w:type="firstRow">
      <w:rPr>
        <w:rFonts w:ascii="Arial" w:eastAsia="Arial" w:hAnsi="Arial" w:cs="Arial"/>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rednialista1akcent6">
    <w:name w:val="Medium List 1 Accent 6"/>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Arial" w:eastAsia="Arial" w:hAnsi="Arial" w:cs="Arial"/>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rednialista2">
    <w:name w:val="Medium List 2"/>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831382"/>
    <w:rPr>
      <w:rFonts w:ascii="Arial" w:eastAsia="Arial" w:hAnsi="Arial" w:cs="Arial"/>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831382"/>
    <w:rPr>
      <w:rFonts w:ascii="Arial" w:eastAsia="Arial" w:hAnsi="Arial" w:cs="Arial"/>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lastRow">
      <w:tblPr/>
      <w:tcPr>
        <w:tcBorders>
          <w:top w:val="single" w:sz="18" w:space="0" w:color="84B3DF" w:themeColor="accent1" w:themeTint="BF"/>
        </w:tcBorders>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redniasiatka1akcent2">
    <w:name w:val="Medium Grid 1 Accent 2"/>
    <w:basedOn w:val="Standardowy"/>
    <w:uiPriority w:val="67"/>
    <w:rsid w:val="00831382"/>
    <w:rPr>
      <w:rFonts w:ascii="Arial" w:eastAsia="Arial" w:hAnsi="Arial" w:cs="Arial"/>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dniasiatka1akcent3">
    <w:name w:val="Medium Grid 1 Accent 3"/>
    <w:basedOn w:val="Standardowy"/>
    <w:uiPriority w:val="67"/>
    <w:rsid w:val="00831382"/>
    <w:rPr>
      <w:rFonts w:ascii="Arial" w:eastAsia="Arial" w:hAnsi="Arial" w:cs="Arial"/>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lastRow">
      <w:tblPr/>
      <w:tcPr>
        <w:tcBorders>
          <w:top w:val="single" w:sz="18" w:space="0" w:color="BBBBBB" w:themeColor="accent3" w:themeTint="BF"/>
        </w:tcBorders>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dniasiatka1akcent4">
    <w:name w:val="Medium Grid 1 Accent 4"/>
    <w:basedOn w:val="Standardowy"/>
    <w:uiPriority w:val="67"/>
    <w:rsid w:val="00831382"/>
    <w:rPr>
      <w:rFonts w:ascii="Arial" w:eastAsia="Arial" w:hAnsi="Arial" w:cs="Arial"/>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dniasiatka1akcent5">
    <w:name w:val="Medium Grid 1 Accent 5"/>
    <w:basedOn w:val="Standardowy"/>
    <w:uiPriority w:val="67"/>
    <w:rsid w:val="00831382"/>
    <w:rPr>
      <w:rFonts w:ascii="Arial" w:eastAsia="Arial" w:hAnsi="Arial" w:cs="Arial"/>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lastRow">
      <w:tblPr/>
      <w:tcPr>
        <w:tcBorders>
          <w:top w:val="single" w:sz="18" w:space="0" w:color="7295D2" w:themeColor="accent5" w:themeTint="BF"/>
        </w:tcBorders>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redniasiatka1akcent6">
    <w:name w:val="Medium Grid 1 Accent 6"/>
    <w:basedOn w:val="Standardowy"/>
    <w:uiPriority w:val="67"/>
    <w:rsid w:val="00831382"/>
    <w:rPr>
      <w:rFonts w:ascii="Arial" w:eastAsia="Arial" w:hAnsi="Arial" w:cs="Arial"/>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lastRow">
      <w:tblPr/>
      <w:tcPr>
        <w:tcBorders>
          <w:top w:val="single" w:sz="18" w:space="0" w:color="93C571" w:themeColor="accent6" w:themeTint="BF"/>
        </w:tcBorders>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redniasiatka2">
    <w:name w:val="Medium Grid 2"/>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redniasiatka3akcent2">
    <w:name w:val="Medium Grid 3 Accent 2"/>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redniasiatka3akcent3">
    <w:name w:val="Medium Grid 3 Accent 3"/>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4">
    <w:name w:val="Medium Grid 3 Accent 4"/>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redniasiatka3akcent5">
    <w:name w:val="Medium Grid 3 Accent 5"/>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redniasiatka3akcent6">
    <w:name w:val="Medium Grid 3 Accent 6"/>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Ciemnalista">
    <w:name w:val="Dark List"/>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Ciemnalistaakcent2">
    <w:name w:val="Dark List Accent 2"/>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iemnalistaakcent3">
    <w:name w:val="Dark List Accent 3"/>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iemnalistaakcent4">
    <w:name w:val="Dark List Accent 4"/>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iemnalistaakcent5">
    <w:name w:val="Dark List Accent 5"/>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Ciemnalistaakcent6">
    <w:name w:val="Dark List Accent 6"/>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Kolorowecieniowanie">
    <w:name w:val="Colorful Shading"/>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olorowecieniowanieakcent4">
    <w:name w:val="Colorful Shading Accent 4"/>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olorowalistaakcent2">
    <w:name w:val="Colorful List Accent 2"/>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olorowalistaakcent3">
    <w:name w:val="Colorful List Accent 3"/>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olorowalistaakcent4">
    <w:name w:val="Colorful List Accent 4"/>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olorowalistaakcent5">
    <w:name w:val="Colorful List Accent 5"/>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olorowalistaakcent6">
    <w:name w:val="Colorful List Accent 6"/>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Kolorowasiatka">
    <w:name w:val="Colorful Grid"/>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olorowasiatkaakcent2">
    <w:name w:val="Colorful Grid Accent 2"/>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siatkaakcent3">
    <w:name w:val="Colorful Grid Accent 3"/>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4">
    <w:name w:val="Colorful Grid Accent 4"/>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olorowasiatkaakcent5">
    <w:name w:val="Colorful Grid Accent 5"/>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olorowasiatkaakcent6">
    <w:name w:val="Colorful Grid Accent 6"/>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Spistreci4">
    <w:name w:val="toc 4"/>
    <w:basedOn w:val="Normalny"/>
    <w:next w:val="Normalny"/>
    <w:autoRedefine/>
    <w:uiPriority w:val="39"/>
    <w:unhideWhenUsed/>
    <w:rsid w:val="00831382"/>
    <w:pPr>
      <w:spacing w:before="0" w:after="100" w:line="278" w:lineRule="auto"/>
      <w:ind w:left="720"/>
    </w:pPr>
    <w:rPr>
      <w:rFonts w:ascii="Arial" w:eastAsia="Arial" w:hAnsi="Arial" w:cs="Arial"/>
      <w:kern w:val="2"/>
      <w:sz w:val="22"/>
      <w:szCs w:val="22"/>
      <w:lang w:eastAsia="pl-PL"/>
      <w14:ligatures w14:val="standardContextual"/>
    </w:rPr>
  </w:style>
  <w:style w:type="paragraph" w:styleId="Spistreci5">
    <w:name w:val="toc 5"/>
    <w:basedOn w:val="Normalny"/>
    <w:next w:val="Normalny"/>
    <w:autoRedefine/>
    <w:uiPriority w:val="39"/>
    <w:unhideWhenUsed/>
    <w:rsid w:val="00831382"/>
    <w:pPr>
      <w:spacing w:before="0" w:after="100" w:line="278" w:lineRule="auto"/>
      <w:ind w:left="960"/>
    </w:pPr>
    <w:rPr>
      <w:rFonts w:ascii="Arial" w:eastAsia="Arial" w:hAnsi="Arial" w:cs="Arial"/>
      <w:kern w:val="2"/>
      <w:sz w:val="22"/>
      <w:szCs w:val="22"/>
      <w:lang w:eastAsia="pl-PL"/>
      <w14:ligatures w14:val="standardContextual"/>
    </w:rPr>
  </w:style>
  <w:style w:type="paragraph" w:styleId="Spistreci6">
    <w:name w:val="toc 6"/>
    <w:basedOn w:val="Normalny"/>
    <w:next w:val="Normalny"/>
    <w:autoRedefine/>
    <w:uiPriority w:val="39"/>
    <w:unhideWhenUsed/>
    <w:rsid w:val="00831382"/>
    <w:pPr>
      <w:spacing w:before="0" w:after="100" w:line="278" w:lineRule="auto"/>
      <w:ind w:left="1200"/>
    </w:pPr>
    <w:rPr>
      <w:rFonts w:ascii="Arial" w:eastAsia="Arial" w:hAnsi="Arial" w:cs="Arial"/>
      <w:kern w:val="2"/>
      <w:sz w:val="22"/>
      <w:szCs w:val="22"/>
      <w:lang w:eastAsia="pl-PL"/>
      <w14:ligatures w14:val="standardContextual"/>
    </w:rPr>
  </w:style>
  <w:style w:type="paragraph" w:styleId="Spistreci7">
    <w:name w:val="toc 7"/>
    <w:basedOn w:val="Normalny"/>
    <w:next w:val="Normalny"/>
    <w:autoRedefine/>
    <w:uiPriority w:val="39"/>
    <w:unhideWhenUsed/>
    <w:rsid w:val="00831382"/>
    <w:pPr>
      <w:spacing w:before="0" w:after="100" w:line="278" w:lineRule="auto"/>
      <w:ind w:left="1440"/>
    </w:pPr>
    <w:rPr>
      <w:rFonts w:ascii="Arial" w:eastAsia="Arial" w:hAnsi="Arial" w:cs="Arial"/>
      <w:kern w:val="2"/>
      <w:sz w:val="22"/>
      <w:szCs w:val="22"/>
      <w:lang w:eastAsia="pl-PL"/>
      <w14:ligatures w14:val="standardContextual"/>
    </w:rPr>
  </w:style>
  <w:style w:type="paragraph" w:styleId="Spistreci8">
    <w:name w:val="toc 8"/>
    <w:basedOn w:val="Normalny"/>
    <w:next w:val="Normalny"/>
    <w:autoRedefine/>
    <w:uiPriority w:val="39"/>
    <w:unhideWhenUsed/>
    <w:rsid w:val="00831382"/>
    <w:pPr>
      <w:spacing w:before="0" w:after="100" w:line="278" w:lineRule="auto"/>
      <w:ind w:left="1680"/>
    </w:pPr>
    <w:rPr>
      <w:rFonts w:ascii="Arial" w:eastAsia="Arial" w:hAnsi="Arial" w:cs="Arial"/>
      <w:kern w:val="2"/>
      <w:sz w:val="22"/>
      <w:szCs w:val="22"/>
      <w:lang w:eastAsia="pl-PL"/>
      <w14:ligatures w14:val="standardContextual"/>
    </w:rPr>
  </w:style>
  <w:style w:type="paragraph" w:styleId="Spistreci9">
    <w:name w:val="toc 9"/>
    <w:basedOn w:val="Normalny"/>
    <w:next w:val="Normalny"/>
    <w:autoRedefine/>
    <w:uiPriority w:val="39"/>
    <w:unhideWhenUsed/>
    <w:rsid w:val="00831382"/>
    <w:pPr>
      <w:spacing w:before="0" w:after="100" w:line="278" w:lineRule="auto"/>
      <w:ind w:left="1920"/>
    </w:pPr>
    <w:rPr>
      <w:rFonts w:ascii="Arial" w:eastAsia="Arial" w:hAnsi="Arial" w:cs="Arial"/>
      <w:kern w:val="2"/>
      <w:sz w:val="22"/>
      <w:szCs w:val="22"/>
      <w:lang w:eastAsia="pl-PL"/>
      <w14:ligatures w14:val="standardContextual"/>
    </w:rPr>
  </w:style>
  <w:style w:type="paragraph" w:customStyle="1" w:styleId="Normalny4">
    <w:name w:val="Normalny4"/>
    <w:basedOn w:val="Normalny"/>
    <w:rsid w:val="00545C78"/>
    <w:pPr>
      <w:spacing w:before="0" w:after="120"/>
    </w:pPr>
    <w:rPr>
      <w:rFonts w:ascii="Arial" w:eastAsia="Arial" w:hAnsi="Arial" w:cs="Arial"/>
      <w:color w:val="000000"/>
      <w:kern w:val="2"/>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18999">
      <w:marLeft w:val="0"/>
      <w:marRight w:val="0"/>
      <w:marTop w:val="0"/>
      <w:marBottom w:val="0"/>
      <w:divBdr>
        <w:top w:val="none" w:sz="0" w:space="0" w:color="auto"/>
        <w:left w:val="none" w:sz="0" w:space="0" w:color="auto"/>
        <w:bottom w:val="none" w:sz="0" w:space="0" w:color="auto"/>
        <w:right w:val="none" w:sz="0" w:space="0" w:color="auto"/>
      </w:divBdr>
    </w:div>
    <w:div w:id="222494900">
      <w:marLeft w:val="0"/>
      <w:marRight w:val="0"/>
      <w:marTop w:val="0"/>
      <w:marBottom w:val="0"/>
      <w:divBdr>
        <w:top w:val="none" w:sz="0" w:space="0" w:color="auto"/>
        <w:left w:val="none" w:sz="0" w:space="0" w:color="auto"/>
        <w:bottom w:val="none" w:sz="0" w:space="0" w:color="auto"/>
        <w:right w:val="none" w:sz="0" w:space="0" w:color="auto"/>
      </w:divBdr>
    </w:div>
    <w:div w:id="297495582">
      <w:marLeft w:val="0"/>
      <w:marRight w:val="0"/>
      <w:marTop w:val="0"/>
      <w:marBottom w:val="0"/>
      <w:divBdr>
        <w:top w:val="none" w:sz="0" w:space="0" w:color="auto"/>
        <w:left w:val="none" w:sz="0" w:space="0" w:color="auto"/>
        <w:bottom w:val="none" w:sz="0" w:space="0" w:color="auto"/>
        <w:right w:val="none" w:sz="0" w:space="0" w:color="auto"/>
      </w:divBdr>
    </w:div>
    <w:div w:id="368604523">
      <w:marLeft w:val="0"/>
      <w:marRight w:val="0"/>
      <w:marTop w:val="0"/>
      <w:marBottom w:val="0"/>
      <w:divBdr>
        <w:top w:val="none" w:sz="0" w:space="0" w:color="auto"/>
        <w:left w:val="none" w:sz="0" w:space="0" w:color="auto"/>
        <w:bottom w:val="none" w:sz="0" w:space="0" w:color="auto"/>
        <w:right w:val="none" w:sz="0" w:space="0" w:color="auto"/>
      </w:divBdr>
    </w:div>
    <w:div w:id="382295308">
      <w:marLeft w:val="0"/>
      <w:marRight w:val="0"/>
      <w:marTop w:val="0"/>
      <w:marBottom w:val="0"/>
      <w:divBdr>
        <w:top w:val="none" w:sz="0" w:space="0" w:color="auto"/>
        <w:left w:val="none" w:sz="0" w:space="0" w:color="auto"/>
        <w:bottom w:val="none" w:sz="0" w:space="0" w:color="auto"/>
        <w:right w:val="none" w:sz="0" w:space="0" w:color="auto"/>
      </w:divBdr>
    </w:div>
    <w:div w:id="548078032">
      <w:marLeft w:val="0"/>
      <w:marRight w:val="0"/>
      <w:marTop w:val="0"/>
      <w:marBottom w:val="0"/>
      <w:divBdr>
        <w:top w:val="none" w:sz="0" w:space="0" w:color="auto"/>
        <w:left w:val="none" w:sz="0" w:space="0" w:color="auto"/>
        <w:bottom w:val="none" w:sz="0" w:space="0" w:color="auto"/>
        <w:right w:val="none" w:sz="0" w:space="0" w:color="auto"/>
      </w:divBdr>
    </w:div>
    <w:div w:id="577135394">
      <w:marLeft w:val="0"/>
      <w:marRight w:val="0"/>
      <w:marTop w:val="0"/>
      <w:marBottom w:val="0"/>
      <w:divBdr>
        <w:top w:val="none" w:sz="0" w:space="0" w:color="auto"/>
        <w:left w:val="none" w:sz="0" w:space="0" w:color="auto"/>
        <w:bottom w:val="none" w:sz="0" w:space="0" w:color="auto"/>
        <w:right w:val="none" w:sz="0" w:space="0" w:color="auto"/>
      </w:divBdr>
    </w:div>
    <w:div w:id="900365525">
      <w:marLeft w:val="0"/>
      <w:marRight w:val="0"/>
      <w:marTop w:val="0"/>
      <w:marBottom w:val="0"/>
      <w:divBdr>
        <w:top w:val="none" w:sz="0" w:space="0" w:color="auto"/>
        <w:left w:val="none" w:sz="0" w:space="0" w:color="auto"/>
        <w:bottom w:val="none" w:sz="0" w:space="0" w:color="auto"/>
        <w:right w:val="none" w:sz="0" w:space="0" w:color="auto"/>
      </w:divBdr>
    </w:div>
    <w:div w:id="930745023">
      <w:marLeft w:val="0"/>
      <w:marRight w:val="0"/>
      <w:marTop w:val="0"/>
      <w:marBottom w:val="0"/>
      <w:divBdr>
        <w:top w:val="none" w:sz="0" w:space="0" w:color="auto"/>
        <w:left w:val="none" w:sz="0" w:space="0" w:color="auto"/>
        <w:bottom w:val="none" w:sz="0" w:space="0" w:color="auto"/>
        <w:right w:val="none" w:sz="0" w:space="0" w:color="auto"/>
      </w:divBdr>
    </w:div>
    <w:div w:id="966660785">
      <w:marLeft w:val="0"/>
      <w:marRight w:val="0"/>
      <w:marTop w:val="0"/>
      <w:marBottom w:val="0"/>
      <w:divBdr>
        <w:top w:val="none" w:sz="0" w:space="0" w:color="auto"/>
        <w:left w:val="none" w:sz="0" w:space="0" w:color="auto"/>
        <w:bottom w:val="none" w:sz="0" w:space="0" w:color="auto"/>
        <w:right w:val="none" w:sz="0" w:space="0" w:color="auto"/>
      </w:divBdr>
    </w:div>
    <w:div w:id="994064111">
      <w:marLeft w:val="0"/>
      <w:marRight w:val="0"/>
      <w:marTop w:val="0"/>
      <w:marBottom w:val="0"/>
      <w:divBdr>
        <w:top w:val="none" w:sz="0" w:space="0" w:color="auto"/>
        <w:left w:val="none" w:sz="0" w:space="0" w:color="auto"/>
        <w:bottom w:val="none" w:sz="0" w:space="0" w:color="auto"/>
        <w:right w:val="none" w:sz="0" w:space="0" w:color="auto"/>
      </w:divBdr>
    </w:div>
    <w:div w:id="1359619168">
      <w:marLeft w:val="0"/>
      <w:marRight w:val="0"/>
      <w:marTop w:val="0"/>
      <w:marBottom w:val="0"/>
      <w:divBdr>
        <w:top w:val="none" w:sz="0" w:space="0" w:color="auto"/>
        <w:left w:val="none" w:sz="0" w:space="0" w:color="auto"/>
        <w:bottom w:val="none" w:sz="0" w:space="0" w:color="auto"/>
        <w:right w:val="none" w:sz="0" w:space="0" w:color="auto"/>
      </w:divBdr>
    </w:div>
    <w:div w:id="1642298059">
      <w:marLeft w:val="0"/>
      <w:marRight w:val="0"/>
      <w:marTop w:val="0"/>
      <w:marBottom w:val="0"/>
      <w:divBdr>
        <w:top w:val="none" w:sz="0" w:space="0" w:color="auto"/>
        <w:left w:val="none" w:sz="0" w:space="0" w:color="auto"/>
        <w:bottom w:val="none" w:sz="0" w:space="0" w:color="auto"/>
        <w:right w:val="none" w:sz="0" w:space="0" w:color="auto"/>
      </w:divBdr>
    </w:div>
    <w:div w:id="18720644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16" Type="http://schemas.openxmlformats.org/officeDocument/2006/relationships/footer" Target="footer3.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8612</Words>
  <Characters>51675</Characters>
  <Application>Microsoft Office Word</Application>
  <DocSecurity>0</DocSecurity>
  <Lines>430</Lines>
  <Paragraphs>120</Paragraphs>
  <ScaleCrop>false</ScaleCrop>
  <HeadingPairs>
    <vt:vector size="2" baseType="variant">
      <vt:variant>
        <vt:lpstr>Tytuł</vt:lpstr>
      </vt:variant>
      <vt:variant>
        <vt:i4>1</vt:i4>
      </vt:variant>
    </vt:vector>
  </HeadingPairs>
  <TitlesOfParts>
    <vt:vector size="1" baseType="lpstr">
      <vt:lpstr>Pismo CPPC_FERC</vt:lpstr>
    </vt:vector>
  </TitlesOfParts>
  <Company/>
  <LinksUpToDate>false</LinksUpToDate>
  <CharactersWithSpaces>60167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2026-10-22T16:04:23Z</dcterms:created>
  <dcterms:modified xsi:type="dcterms:W3CDTF">2026-10-22T16:04:23Z</dcterms:modified>
</cp:coreProperties>
</file>