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F85" w:rsidRDefault="00D50872">
      <w:pPr>
        <w:pStyle w:val="Tytu1"/>
      </w:pPr>
      <w:r>
        <w:t>Opis przedmiotu zamówienia</w:t>
      </w:r>
    </w:p>
    <w:p w:rsidR="001C3F85" w:rsidRDefault="00D50872">
      <w:r>
        <w:rPr>
          <w:b/>
        </w:rPr>
        <w:t>Zabezpieczenie logistyczne – zakup środków trwałych: ciągnik – 2 szt., mobilny zbiornik na wodę – 1 szt.</w:t>
      </w:r>
    </w:p>
    <w:p w:rsidR="001C3F85" w:rsidRDefault="00D50872">
      <w:r>
        <w:t>Zamówienie realizowane w ramach Programu ochrony ludności i obrony cywilnej na lata 2025–2026.</w:t>
      </w:r>
    </w:p>
    <w:p w:rsidR="001C3F85" w:rsidRDefault="00D50872">
      <w:pPr>
        <w:pStyle w:val="Nagwek11"/>
      </w:pPr>
      <w:r>
        <w:t>1 Zakres zamówienia</w:t>
      </w:r>
    </w:p>
    <w:p w:rsidR="001C3F85" w:rsidRDefault="00D50872">
      <w:r>
        <w:t>Przedmiotem zamówienia jest dostawa fabrycznie nowych ciągników rolniczych oraz kompletnego mobilnego zestawu do magazynowania i transportu wody pitnej. Zamówienie podzielono na trzy części, które mogą być oferowane niezależnie.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/>
      </w:tblPr>
      <w:tblGrid>
        <w:gridCol w:w="567"/>
        <w:gridCol w:w="2154"/>
        <w:gridCol w:w="6917"/>
      </w:tblGrid>
      <w:tr w:rsidR="001C3F85">
        <w:trPr>
          <w:cantSplit/>
          <w:tblHeader/>
          <w:jc w:val="center"/>
        </w:trPr>
        <w:tc>
          <w:tcPr>
            <w:tcW w:w="567" w:type="dxa"/>
            <w:shd w:val="clear" w:color="auto" w:fill="E8E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keepNext/>
              <w:spacing w:after="0" w:line="240" w:lineRule="auto"/>
              <w:jc w:val="center"/>
            </w:pPr>
            <w:r>
              <w:rPr>
                <w:b/>
                <w:sz w:val="21"/>
              </w:rPr>
              <w:t>Lp.</w:t>
            </w:r>
          </w:p>
        </w:tc>
        <w:tc>
          <w:tcPr>
            <w:tcW w:w="2154" w:type="dxa"/>
            <w:shd w:val="clear" w:color="auto" w:fill="E8E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keepNext/>
              <w:spacing w:after="0" w:line="240" w:lineRule="auto"/>
            </w:pPr>
            <w:r>
              <w:rPr>
                <w:b/>
                <w:sz w:val="21"/>
              </w:rPr>
              <w:t>Parametr</w:t>
            </w:r>
          </w:p>
        </w:tc>
        <w:tc>
          <w:tcPr>
            <w:tcW w:w="6917" w:type="dxa"/>
            <w:shd w:val="clear" w:color="auto" w:fill="E8E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keepNext/>
              <w:spacing w:after="0" w:line="240" w:lineRule="auto"/>
            </w:pPr>
            <w:r>
              <w:rPr>
                <w:b/>
                <w:sz w:val="21"/>
              </w:rPr>
              <w:t>Wymaganie Zamawiającego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1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Część I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Ciągnik rolniczy lekki – 1 sztuka. CPV 16700000-2 – Ciągniki.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2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Część II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Ciągnik rolniczy ciężki – 1 sztuka. CPV 16700000-2 – Ciągniki.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3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Część III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Mobilny zbiornik na wodę pitną z przyczepą – 1 kompletny zestaw. CPV 34223340-1 – Przyczepy cysterny; 44611500-1 – Zbiorniki na wodę.</w:t>
            </w:r>
          </w:p>
        </w:tc>
      </w:tr>
    </w:tbl>
    <w:p w:rsidR="001C3F85" w:rsidRDefault="00D50872">
      <w:pPr>
        <w:pStyle w:val="Nagwek11"/>
      </w:pPr>
      <w:r>
        <w:t>2 Wymagania wspólne</w:t>
      </w:r>
    </w:p>
    <w:p w:rsidR="001C3F85" w:rsidRDefault="00D50872">
      <w:r>
        <w:t>Sprzęt musi być fabrycznie nowy, kompletny, wolny od wad oraz nieużytkowany w pracach eksploatacyjnych. Dopuszcza się wyłącznie przebieg wynikający z prób fabrycznych, przygotowania do sprzedaży i czynności dostawczych.</w:t>
      </w:r>
    </w:p>
    <w:p w:rsidR="001C3F85" w:rsidRDefault="00D50872">
      <w:r>
        <w:t>Wszystkie elementy wymagane w opisie muszą wchodzić w skład oferowanej konfiguracji i być objęte ceną dostawy. Sprzęt należy przekazać po przeglądzie przedsprzedażnym, z płynami eksploatacyjnymi i wyposażeniem niezbędnym do uruchomienia.</w:t>
      </w:r>
    </w:p>
    <w:p w:rsidR="001C3F85" w:rsidRDefault="00D50872">
      <w:r>
        <w:t>Ciągniki i przyczepa muszą spełniać wymagania dopuszczenia do ruchu drogowego oraz umożliwiać rejestrację w Polsce na dzień dostawy. Dokumenty muszą dotyczyć rzeczywiście dostarczonej konfiguracji.</w:t>
      </w:r>
    </w:p>
    <w:p w:rsidR="001C3F85" w:rsidRDefault="00D50872">
      <w:r>
        <w:t>Podane wymagania liczbowe oznaczone „minimum” są wartościami minimalnymi. Wymagania oznaczone „maksimum” są wartościami nieprzekraczalnymi. Pozostałe cechy są wymaganiami obowiązkowymi.</w:t>
      </w:r>
    </w:p>
    <w:p w:rsidR="001C3F85" w:rsidRDefault="00D50872">
      <w:r>
        <w:t>Producent i model oferowanego sprzętu są wskazywane w formularzu oferty.</w:t>
      </w:r>
    </w:p>
    <w:p w:rsidR="001C3F85" w:rsidRDefault="00D50872">
      <w:r>
        <w:t>Termin wykonania każdej części: do 7 dni od dnia zawarcia umowy, zgodnie z SWZ i projektem umowy. Dostawa obejmuje transport, rozładunek, uruchomienie i instruktaż obsługi.</w:t>
      </w:r>
    </w:p>
    <w:p w:rsidR="00CA7DB1" w:rsidRDefault="00CA7DB1">
      <w:r>
        <w:t>Minimalny okres gwarancji na każdą część zamówienia wynosi 24 miesiące od dnia podpisania protokołu zdawczo-odbiorczego, chyba że gwarancja producenta jest dłuższa.</w:t>
      </w:r>
    </w:p>
    <w:p w:rsidR="001C3F85" w:rsidRDefault="00D50872">
      <w:pPr>
        <w:pStyle w:val="Nagwek11"/>
        <w:pageBreakBefore/>
      </w:pPr>
      <w:r>
        <w:lastRenderedPageBreak/>
        <w:t>3 Część I Ciągnik rolniczy lekki</w:t>
      </w:r>
    </w:p>
    <w:p w:rsidR="001C3F85" w:rsidRDefault="00D50872">
      <w:r>
        <w:rPr>
          <w:b/>
        </w:rPr>
        <w:t>Ilość: 1 sztuka. Przeznaczenie: uniwersalne prace gospodarcze, komunalne i transportowe oraz współpraca z narzędziami zawieszanymi na tylnym TUZ.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/>
      </w:tblPr>
      <w:tblGrid>
        <w:gridCol w:w="567"/>
        <w:gridCol w:w="2154"/>
        <w:gridCol w:w="6917"/>
      </w:tblGrid>
      <w:tr w:rsidR="001C3F85">
        <w:trPr>
          <w:cantSplit/>
          <w:tblHeader/>
          <w:jc w:val="center"/>
        </w:trPr>
        <w:tc>
          <w:tcPr>
            <w:tcW w:w="567" w:type="dxa"/>
            <w:shd w:val="clear" w:color="auto" w:fill="E8E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keepNext/>
              <w:spacing w:after="0" w:line="240" w:lineRule="auto"/>
              <w:jc w:val="center"/>
            </w:pPr>
            <w:r>
              <w:rPr>
                <w:b/>
                <w:sz w:val="21"/>
              </w:rPr>
              <w:t>Lp.</w:t>
            </w:r>
          </w:p>
        </w:tc>
        <w:tc>
          <w:tcPr>
            <w:tcW w:w="2154" w:type="dxa"/>
            <w:shd w:val="clear" w:color="auto" w:fill="E8E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keepNext/>
              <w:spacing w:after="0" w:line="240" w:lineRule="auto"/>
            </w:pPr>
            <w:r>
              <w:rPr>
                <w:b/>
                <w:sz w:val="21"/>
              </w:rPr>
              <w:t>Parametr</w:t>
            </w:r>
          </w:p>
        </w:tc>
        <w:tc>
          <w:tcPr>
            <w:tcW w:w="6917" w:type="dxa"/>
            <w:shd w:val="clear" w:color="auto" w:fill="E8E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keepNext/>
              <w:spacing w:after="0" w:line="240" w:lineRule="auto"/>
            </w:pPr>
            <w:r>
              <w:rPr>
                <w:b/>
                <w:sz w:val="21"/>
              </w:rPr>
              <w:t>Wymaganie Zamawiającego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1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Silnik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Wysokoprężny, chłodzony cieczą, z turbodoładowaniem; minimum 3 cylindry.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2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Moc silnika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Moc znamionowa minimum 60 KM (44,1 kW), według ECE R120 lub ISO 14396, lub normy równoważnej dla porównywalnej mocy silnika. Moc chwilowa typu boost nie zastępuje mocy znamionowej.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3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Emisja spalin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Spełnienie wymagań Stage V oraz wymagań obowiązujących dla wprowadzenia pojazdu do obrotu i jego rejestracji na dzień dostawy.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4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Napęd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Napęd na cztery koła; blokada mechanizmu różnicowego tylnego mostu.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5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Przekładnia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Mechaniczna synchronizowana, mechaniczna z przełożeniami zmienianymi pod obciążeniem albo bezstopniowa. Dla przekładni stopniowej minimum 12 przełożeń do przodu i 12 do tyłu.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6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Rewers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Możliwość zmiany kierunku jazdy za pomocą rewersu mechanicznego lub elektrohydraulicznego, obsługiwanego z miejsca operatora.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7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Hydraulika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Wydajność pompy obsługującej podnośnik i hydraulikę zewnętrzną: minimum 40 l/min, bez doliczania wydajności pompy układu kierowniczego.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8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Wyjścia hydrauliczne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Minimum 2 pary tylnych szybkozłączy hydraulicznych dwustronnego działania, sterowanych z miejsca operatora.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9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Tylny TUZ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Trzypunktowy układ zawieszenia kategorii II, z hydraulicznym podnośnikiem, regulacją położenia, kompletem cięgieł i stabilizatorów.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10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Tylny WOM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Niezależny tylny WOM 540 obr./min i dodatkowo co najmniej jedna prędkość: 540E albo 1000 obr./min; osłona i zabezpieczenia wymagane dla bezpiecznej obsługi.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11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Zaczep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Dolny zaczep rolniczy lub transportowy, dobrany do konstrukcji i dopuszczalnych obciążeń pojazdu.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12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Kabina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Fabryczna, zamknięta kabina z ogrzewaniem, wentylacją i klimatyzacją, wycieraczką przedniej szyby oraz lusterkami zewnętrznymi.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13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Stanowisko operatora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Amortyzowany, regulowany fotel z pasem bezpieczeństwa. Wspomaganie układu kierowniczego.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14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Hamulce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Hamulce zasadnicze tarczowe w kąpieli olejowej oraz hamulec postojowy.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15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Oświetlenie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Pełne oświetlenie drogowe, światła robocze z przodu i z tyłu oraz żółta lampa ostrzegawcza.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16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Instalacja elektryczna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Instalacja 12 V, gniazdo elektryczne przyczepy oraz wskaźniki podstawowych parametrów pracy i licznik motogodzin.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17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Ogumienie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Ogumienie rolnicze dobrane przez producenta do napędu, dopuszczalnych obciążeń i prędkości ciągnika; błotniki osłaniające koła.</w:t>
            </w:r>
          </w:p>
        </w:tc>
      </w:tr>
    </w:tbl>
    <w:p w:rsidR="001C3F85" w:rsidRDefault="00D50872">
      <w:pPr>
        <w:pStyle w:val="Nagwek11"/>
        <w:pageBreakBefore/>
      </w:pPr>
      <w:r>
        <w:lastRenderedPageBreak/>
        <w:t>4 Część II Ciągnik rolniczy ciężki</w:t>
      </w:r>
    </w:p>
    <w:p w:rsidR="001C3F85" w:rsidRDefault="00D50872">
      <w:r>
        <w:rPr>
          <w:b/>
        </w:rPr>
        <w:t>Ilość: 1 sztuka. Przeznaczenie: prace transportowe, gospodarcze i komunalne oraz współpraca z osprzętem i przyczepą do przewozu wody pitnej.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/>
      </w:tblPr>
      <w:tblGrid>
        <w:gridCol w:w="567"/>
        <w:gridCol w:w="2154"/>
        <w:gridCol w:w="6917"/>
      </w:tblGrid>
      <w:tr w:rsidR="001C3F85">
        <w:trPr>
          <w:cantSplit/>
          <w:tblHeader/>
          <w:jc w:val="center"/>
        </w:trPr>
        <w:tc>
          <w:tcPr>
            <w:tcW w:w="567" w:type="dxa"/>
            <w:shd w:val="clear" w:color="auto" w:fill="E8E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keepNext/>
              <w:spacing w:after="0" w:line="240" w:lineRule="auto"/>
              <w:jc w:val="center"/>
            </w:pPr>
            <w:r>
              <w:rPr>
                <w:b/>
                <w:sz w:val="21"/>
              </w:rPr>
              <w:t>Lp.</w:t>
            </w:r>
          </w:p>
        </w:tc>
        <w:tc>
          <w:tcPr>
            <w:tcW w:w="2154" w:type="dxa"/>
            <w:shd w:val="clear" w:color="auto" w:fill="E8E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keepNext/>
              <w:spacing w:after="0" w:line="240" w:lineRule="auto"/>
            </w:pPr>
            <w:r>
              <w:rPr>
                <w:b/>
                <w:sz w:val="21"/>
              </w:rPr>
              <w:t>Parametr</w:t>
            </w:r>
          </w:p>
        </w:tc>
        <w:tc>
          <w:tcPr>
            <w:tcW w:w="6917" w:type="dxa"/>
            <w:shd w:val="clear" w:color="auto" w:fill="E8E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keepNext/>
              <w:spacing w:after="0" w:line="240" w:lineRule="auto"/>
            </w:pPr>
            <w:r>
              <w:rPr>
                <w:b/>
                <w:sz w:val="21"/>
              </w:rPr>
              <w:t>Wymaganie Zamawiającego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1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Silnik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Wysokoprężny, chłodzony cieczą, z turbodoładowaniem; minimum 4 cylindry.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2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Moc silnika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Moc maksymalna bez czasowego zwiększania mocy typu boost: minimum 110 KM (80,9 kW), według ECE R120 lub ISO 14396, lub normy równoważnej dla porównywalnej mocy silnika.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3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Emisja spalin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Spełnienie wymagań Stage V oraz wymagań obowiązujących dla wprowadzenia pojazdu do obrotu i jego rejestracji na dzień dostawy.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4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Napęd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Napęd na cztery koła, włączany z miejsca operatora; blokada mechanizmu różnicowego tylnego mostu.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5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Przekładnia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Minimum 24 przełożenia do przodu i 12 do tyłu; minimum 3 przełożenia zmieniane pod obciążeniem bez użycia pedału sprzęgła. Dopuszcza się przekładnię bezstopniową zapewniającą płynną zmianę prędkości pod obciążeniem.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6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Rewers i prędkość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Rewers sterowany z miejsca operatora. Prędkość konstrukcyjna umożliwiająca jazdę 40 km/h, z zachowaniem ograniczeń wynikających z przepisów ruchu drogowego.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7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Hydraulika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Wydajność pompy obsługującej podnośnik i hydraulikę zewnętrzną: minimum 60 l/min. Wydajności pompy układu kierowniczego nie wlicza się do tej wartości.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8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Wyjścia hydrauliczne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Minimum 2 pary tylnych szybkozłączy hydraulicznych dwustronnego działania, sterowanych z kabiny; możliwość pracy co najmniej jednej sekcji w położeniu pływającym.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9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Tylny TUZ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Trzypunktowy układ zawieszenia narzędzi kategorii II lub III, z hydraulicznym podnośnikiem, regulacją położenia i końcówkami hakowymi; komplet cięgieł i elementów łączących odpowiednich dla dostarczonej kategorii.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10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Przedni TUZ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Kompletny przedni trzypunktowy układ zawieszenia z hydraulicznym podnoszeniem i sterowaniem z kabiny.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11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Tylny WOM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Niezależny wał odbioru mocy, z prędkościami minimum 540 i 540E obr./min, załączany z miejsca operatora.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12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Zaczep transportowy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Zaczep z regulacją wysokości, przystosowany do współpracy z uchem dyszla o średnicy wewnętrznej 40 mm. Dopuszczalna masa przyczepy hamowanej: minimum 10 000 kg, potwierdzona dokumentacją pojazdu.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13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Hamulce przyczepy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Kompletna dwuprzewodowa instalacja pneumatyczna do hamowania przyczepy, z przyłączami i elementami sterowania.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14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Kabina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Fabryczna, zamknięta kabina z ogrzewaniem, wentylacją i klimatyzacją; wycieraczka szyby przedniej i tylnej oraz lusterka zewnętrzne.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15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Stanowisko operatora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Fotel z amortyzacją pneumatyczną, regulacją i pasem bezpieczeństwa; wspomaganie kierownicy i regulowana kolumna kierownicza.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16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Oświetlenie i instalacja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Pełne oświetlenie drogowe, światła robocze z przodu i z tyłu, żółta lampa ostrzegawcza. Instalacja 12 V i 7-biegunowe gniazdo elektryczne przyczepy.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17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Koła i wyposażenie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Ogumienie rolnicze dopasowane do masy i prędkości pojazdu, błotniki, hamulec postojowy, sygnał dźwiękowy oraz wyposażenie wymagane do ruchu drogowego.</w:t>
            </w:r>
          </w:p>
        </w:tc>
      </w:tr>
    </w:tbl>
    <w:p w:rsidR="001C3F85" w:rsidRDefault="00D50872">
      <w:pPr>
        <w:pStyle w:val="Nagwek11"/>
        <w:pageBreakBefore/>
      </w:pPr>
      <w:r>
        <w:lastRenderedPageBreak/>
        <w:t>5 Część III Mobilny zbiornik na wodę pitną</w:t>
      </w:r>
    </w:p>
    <w:p w:rsidR="001C3F85" w:rsidRDefault="00D50872">
      <w:r>
        <w:rPr>
          <w:b/>
        </w:rPr>
        <w:t>Ilość: 1 kompletny zestaw obejmujący zbiornik, przyczepę, układ mocowania, zabezpieczenie przeciwfalowe i armaturę. Zestaw przeznaczony do magazynowania oraz transportu wody przeznaczonej do spożycia przez ludzi.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/>
      </w:tblPr>
      <w:tblGrid>
        <w:gridCol w:w="567"/>
        <w:gridCol w:w="2154"/>
        <w:gridCol w:w="6917"/>
      </w:tblGrid>
      <w:tr w:rsidR="001C3F85">
        <w:trPr>
          <w:cantSplit/>
          <w:tblHeader/>
          <w:jc w:val="center"/>
        </w:trPr>
        <w:tc>
          <w:tcPr>
            <w:tcW w:w="567" w:type="dxa"/>
            <w:shd w:val="clear" w:color="auto" w:fill="E8E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keepNext/>
              <w:spacing w:after="0" w:line="240" w:lineRule="auto"/>
              <w:jc w:val="center"/>
            </w:pPr>
            <w:r>
              <w:rPr>
                <w:b/>
                <w:sz w:val="21"/>
              </w:rPr>
              <w:t>Lp.</w:t>
            </w:r>
          </w:p>
        </w:tc>
        <w:tc>
          <w:tcPr>
            <w:tcW w:w="2154" w:type="dxa"/>
            <w:shd w:val="clear" w:color="auto" w:fill="E8E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keepNext/>
              <w:spacing w:after="0" w:line="240" w:lineRule="auto"/>
            </w:pPr>
            <w:r>
              <w:rPr>
                <w:b/>
                <w:sz w:val="21"/>
              </w:rPr>
              <w:t>Parametr</w:t>
            </w:r>
          </w:p>
        </w:tc>
        <w:tc>
          <w:tcPr>
            <w:tcW w:w="6917" w:type="dxa"/>
            <w:shd w:val="clear" w:color="auto" w:fill="E8E8E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keepNext/>
              <w:spacing w:after="0" w:line="240" w:lineRule="auto"/>
            </w:pPr>
            <w:r>
              <w:rPr>
                <w:b/>
                <w:sz w:val="21"/>
              </w:rPr>
              <w:t>Wymaganie Zamawiającego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1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Pojemność użytkowa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Minimum 6 000 litrów. Przyczepa i mocowanie muszą umożliwiać transport zbiornika z 6 000 litrami wody bez przekraczania dopuszczalnych mas i nacisków.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2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Zbiornik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Jednopłaszczowy, wykonany z polietylenu przeznaczonego do kontaktu z wodą pitną, stabilizowanego UV, odpornego na warunki atmosferyczne.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3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Bezpieczeństwo higieniczne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Ważny atest higieniczny PZH lub dokument równoważny wydany przez niezależną uprawnioną jednostkę, potwierdzający przydatność do magazynowania i transportu wody pitnej. Wymaganie obejmuje elementy mające kontakt z wodą.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4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Stabilność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Konstrukcja o obniżonym profilu oraz zabezpieczenie ograniczające falowanie cieczy: przegrody, elementy przeciwfalowe lub inne rozwiązanie zapewniające bezpieczny transport pełnego i częściowo napełnionego zbiornika.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5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Właz rewizyjny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Zamykany właz o średnicy minimum 400 mm, z uszczelnieniem i osłoną chroniącą przed zanieczyszczeniem, umożliwiający mycie i kontrolę wnętrza.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6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Odpowietrzenie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Układ odpowietrzania, z zabezpieczeniem pływakowym lub rozwiązaniem równoważnym ograniczającym wyciek podczas transportu i wnikanie zanieczyszczeń.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7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Pobór i opróżnianie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Dolny króciec minimum 2 cale, ze stali nierdzewnej, z zaworem kulowym i zamknięciem zabezpieczającym. Możliwość grawitacyjnego poboru wody i opróżnienia zbiornika.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8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Mocowanie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Kompletny system mocowania do przyczepy, dobrany i zatwierdzony przez producenta zestawu do transportu zbiornika z wodą; zabezpieczenie przed przesunięciem i odłączeniem.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9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Konstrukcja przyczepy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Rama stalowa zabezpieczona antykorozyjnie. Osie, zawieszenie, koła i ogumienie dobrane do przewozu pełnego zbiornika. Dopuszczalna masa całkowita zestawu przyczepy ze zbiornikiem: maksimum 10 000 kg.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10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Dyszel i zaczep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Dyszel z uchem o średnicy wewnętrznej 40 mm, odpowiednim do zaczepu ciągnika z części II. Podpora umożliwiająca bezpieczne odłączenie i postój zestawu.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11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Hamulce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Dwuprzewodowy pneumatyczny układ hamulcowy ze sterowaniem, hamulcem postojowym i automatycznym hamowaniem przy zaniku ciśnienia w przewodzie zasilającym.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12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Oświetlenie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Kompletne oświetlenie drogowe LED, elementy odblaskowe, miejsce na tablicę rejestracyjną z oświetleniem oraz 7-biegunowa wtyczka instalacji 12 V.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13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Prędkość konstrukcyjna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Przyczepa przystosowana konstrukcyjnie do jazdy z prędkością minimum 40 km/h, z zachowaniem obowiązujących ograniczeń prędkości dla zestawu.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14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Dopuszczenie do ruchu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Dokumenty homologacyjne lub inne właściwe dokumenty dopuszczenia, umożliwiające rejestrację w Polsce i legalny transport wody po drogach publicznych.</w:t>
            </w:r>
          </w:p>
        </w:tc>
      </w:tr>
      <w:tr w:rsidR="001C3F85">
        <w:trPr>
          <w:cantSplit/>
          <w:jc w:val="center"/>
        </w:trPr>
        <w:tc>
          <w:tcPr>
            <w:tcW w:w="56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  <w:jc w:val="center"/>
            </w:pPr>
            <w:r>
              <w:rPr>
                <w:sz w:val="21"/>
              </w:rPr>
              <w:t>15</w:t>
            </w:r>
          </w:p>
        </w:tc>
        <w:tc>
          <w:tcPr>
            <w:tcW w:w="2154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Czystość przy dostawie</w:t>
            </w:r>
          </w:p>
        </w:tc>
        <w:tc>
          <w:tcPr>
            <w:tcW w:w="69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3F85" w:rsidRDefault="00D50872">
            <w:pPr>
              <w:spacing w:after="0" w:line="240" w:lineRule="auto"/>
            </w:pPr>
            <w:r>
              <w:rPr>
                <w:sz w:val="21"/>
              </w:rPr>
              <w:t>Zbiornik i armatura czyste, zabezpieczone przed zanieczyszczeniem; instrukcja mycia, dezynfekcji, napełniania, opróżniania i przechowywania.</w:t>
            </w:r>
          </w:p>
        </w:tc>
      </w:tr>
    </w:tbl>
    <w:p w:rsidR="001C3F85" w:rsidRDefault="00D50872">
      <w:pPr>
        <w:pStyle w:val="Nagwek11"/>
        <w:pageBreakBefore/>
      </w:pPr>
      <w:r>
        <w:lastRenderedPageBreak/>
        <w:t>6 Dostawa dokumentacja i odbiór</w:t>
      </w:r>
    </w:p>
    <w:p w:rsidR="001C3F85" w:rsidRDefault="00D50872">
      <w:r>
        <w:t>Miejsce dostawy: …………………………………………………………………………………</w:t>
      </w:r>
    </w:p>
    <w:p w:rsidR="001C3F85" w:rsidRDefault="00D50872">
      <w:r>
        <w:t>W cenie oferty należy uwzględnić wszystkie koszty dostawy, rozładunku, montażu wyposażenia, przygotowania do eksploatacji, uruchomienia i instruktażu użytkowników.</w:t>
      </w:r>
    </w:p>
    <w:p w:rsidR="001C3F85" w:rsidRDefault="00D50872">
      <w:pPr>
        <w:pStyle w:val="Nagwek11"/>
      </w:pPr>
      <w:r>
        <w:t>Dokumenty przekazywane przy odbiorze</w:t>
      </w:r>
    </w:p>
    <w:p w:rsidR="001C3F85" w:rsidRDefault="00D50872">
      <w:r>
        <w:t>1. Dokument sprzedaży, karta gwarancyjna oraz instrukcja obsługi i konserwacji w języku polskim; harmonogram wymaganych przeglądów i wskazanie punktów serwisowych.</w:t>
      </w:r>
    </w:p>
    <w:p w:rsidR="001C3F85" w:rsidRDefault="00D50872">
      <w:r>
        <w:t>2. Dokumentacja techniczna oferowanego modelu i konfiguracji, umożliwiająca sprawdzenie parametrów wymaganych w niniejszym opisie. Dla ciągników: dane mocy z oznaczeniem normy pomiaru oraz dane układu hydraulicznego.</w:t>
      </w:r>
    </w:p>
    <w:p w:rsidR="001C3F85" w:rsidRDefault="00D50872">
      <w:r>
        <w:t>3. Dokumenty wymagane do rejestracji ciągnika lub przyczepy w Polsce, odpowiednie świadectwo zgodności albo inne właściwe dokumenty dopuszczenia oraz identyfikacja pojazdu i jego numer VIN.</w:t>
      </w:r>
    </w:p>
    <w:p w:rsidR="001C3F85" w:rsidRDefault="00D50872">
      <w:r>
        <w:t>4. Dla zbiornika: dokument potwierdzający przydatność do kontaktu z wodą pitną, pojemność użytkową, dopuszczalną masę i sposób mocowania oraz instrukcja bezpiecznego transportu przy różnym stopniu napełnienia.</w:t>
      </w:r>
    </w:p>
    <w:p w:rsidR="001C3F85" w:rsidRDefault="00D50872">
      <w:r>
        <w:t>5. Dla części II i III: dokumentacja zgodności zaczepu i ucha dyszla, połączeń pneumatycznych i elektrycznych oraz dopuszczalnych obciążeń. Elementy dopasowujące, jeżeli są potrzebne, muszą być dopuszczone przez producenta i objęte dostawą.</w:t>
      </w:r>
    </w:p>
    <w:p w:rsidR="001C3F85" w:rsidRDefault="00D50872">
      <w:pPr>
        <w:pStyle w:val="Nagwek11"/>
      </w:pPr>
      <w:r>
        <w:t>Sprawdzenie dostawy</w:t>
      </w:r>
    </w:p>
    <w:p w:rsidR="001C3F85" w:rsidRDefault="00D50872">
      <w:r>
        <w:t>Odbiór obejmuje kontrolę kompletności, stanu technicznego, numerów identyfikacyjnych, dokumentacji i zgodności z ofertą oraz próbę działania wyposażenia. W przypadku części III należy dodatkowo sprawdzić mocowanie zbiornika, działanie armatury, szczelność, układ hamulcowy i oświetlenie przyczepy.</w:t>
      </w:r>
    </w:p>
    <w:p w:rsidR="001C3F85" w:rsidRDefault="00D50872">
      <w:r>
        <w:t>Wykonawca przeprowadzi instruktaż użytkowników z obsługi, bezpieczeństwa, konserwacji i przeglądów. Dla zbiornika instruktaż obejmuje także higienę, dezynfekcję oraz bezpieczne napełnianie, transport i opróżnianie.</w:t>
      </w:r>
    </w:p>
    <w:p w:rsidR="001C3F85" w:rsidRDefault="00D50872">
      <w:r>
        <w:t>Okres gwarancji, zasady serwisu, terminy usuwania wad i odpowiedzialność wykonawcy określają SWZ oraz projekt umowy. Podstawę odbioru stanowi podpisany protokół.</w:t>
      </w:r>
    </w:p>
    <w:p w:rsidR="001C3F85" w:rsidRDefault="00D50872">
      <w:pPr>
        <w:pStyle w:val="Nagwek11"/>
      </w:pPr>
      <w:r>
        <w:t>7 Rozwiązania równoważne</w:t>
      </w:r>
    </w:p>
    <w:p w:rsidR="001C3F85" w:rsidRDefault="00D50872">
      <w:r>
        <w:t>Opis określa wymagania techniczne i funkcjonalne bez wskazywania producenta. Odwołaniom do norm, świadectw i dokumentów towarzyszy dopuszczenie rozwiązań równoważnych. Równoważność wymaga spełnienia wszystkich przypisanych danemu parametrowi wymagań liczbowych, użytkowych, bezpieczeństwa, kompatybilności i higieny.</w:t>
      </w:r>
    </w:p>
    <w:p w:rsidR="001C3F85" w:rsidRDefault="00D50872">
      <w:r>
        <w:t>Dla mocy silnika należy porównywać moc tego samego rodzaju: znamionową w części I oraz maksymalną bez boost w części II, z uwzględnieniem normy i warunków pomiaru. Nie dopuszcza się zastępowania mocy silnika mocą na WOM ani sumowania wydajności pompy roboczej z pompą układu kierowniczego.</w:t>
      </w:r>
    </w:p>
    <w:p w:rsidR="001C3F85" w:rsidRDefault="00D50872">
      <w:r>
        <w:t>Dokument równoważny atestowi higienicznemu musi dotyczyć oferowanego wyrobu lub zastosowanych materiałów w zakresie kontaktu z wodą pitną i potwierdzać ich przydatność w warunkach przewidzianego użytkowania. Sama deklaracja handlowa nie zastępuje takiego potwierdzenia.</w:t>
      </w:r>
    </w:p>
    <w:sectPr w:rsidR="001C3F85" w:rsidSect="001C3F85">
      <w:footerReference w:type="default" r:id="rId7"/>
      <w:pgSz w:w="11906" w:h="16838"/>
      <w:pgMar w:top="1020" w:right="1134" w:bottom="1020" w:left="1134" w:header="454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3F85" w:rsidRDefault="001C3F85" w:rsidP="001C3F85">
      <w:pPr>
        <w:spacing w:after="0" w:line="240" w:lineRule="auto"/>
      </w:pPr>
      <w:r>
        <w:separator/>
      </w:r>
    </w:p>
  </w:endnote>
  <w:endnote w:type="continuationSeparator" w:id="1">
    <w:p w:rsidR="001C3F85" w:rsidRDefault="001C3F85" w:rsidP="001C3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F85" w:rsidRDefault="007819FA">
    <w:pPr>
      <w:jc w:val="right"/>
    </w:pPr>
    <w:fldSimple w:instr="PAGE">
      <w:r w:rsidR="005A0728">
        <w:rPr>
          <w:noProof/>
        </w:rPr>
        <w:t>5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3F85" w:rsidRDefault="001C3F85" w:rsidP="001C3F85">
      <w:pPr>
        <w:spacing w:after="0" w:line="240" w:lineRule="auto"/>
      </w:pPr>
      <w:r>
        <w:separator/>
      </w:r>
    </w:p>
  </w:footnote>
  <w:footnote w:type="continuationSeparator" w:id="1">
    <w:p w:rsidR="001C3F85" w:rsidRDefault="001C3F85" w:rsidP="001C3F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66FC9"/>
    <w:multiLevelType w:val="hybridMultilevel"/>
    <w:tmpl w:val="674C26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4562A9"/>
    <w:multiLevelType w:val="hybridMultilevel"/>
    <w:tmpl w:val="78526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DD0D9B"/>
    <w:multiLevelType w:val="hybridMultilevel"/>
    <w:tmpl w:val="2FF8C1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FE5C18"/>
    <w:multiLevelType w:val="hybridMultilevel"/>
    <w:tmpl w:val="83E0BF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BD389A"/>
    <w:multiLevelType w:val="hybridMultilevel"/>
    <w:tmpl w:val="5F140A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25DDA"/>
    <w:rsid w:val="00034798"/>
    <w:rsid w:val="000562A0"/>
    <w:rsid w:val="00092660"/>
    <w:rsid w:val="001C3F85"/>
    <w:rsid w:val="001D118F"/>
    <w:rsid w:val="001D4688"/>
    <w:rsid w:val="002E6B07"/>
    <w:rsid w:val="002E7644"/>
    <w:rsid w:val="0035350B"/>
    <w:rsid w:val="00423181"/>
    <w:rsid w:val="00476009"/>
    <w:rsid w:val="00551170"/>
    <w:rsid w:val="005A0728"/>
    <w:rsid w:val="00712863"/>
    <w:rsid w:val="007819FA"/>
    <w:rsid w:val="009B5230"/>
    <w:rsid w:val="00A25DDA"/>
    <w:rsid w:val="00A615F2"/>
    <w:rsid w:val="00AE3792"/>
    <w:rsid w:val="00BD66AD"/>
    <w:rsid w:val="00C20C60"/>
    <w:rsid w:val="00C408ED"/>
    <w:rsid w:val="00CA7DB1"/>
    <w:rsid w:val="00D50872"/>
    <w:rsid w:val="00D929AD"/>
    <w:rsid w:val="00DA01CD"/>
    <w:rsid w:val="00E72E7D"/>
    <w:rsid w:val="00F176C5"/>
    <w:rsid w:val="00F25FF0"/>
    <w:rsid w:val="00FC1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3F85"/>
    <w:pPr>
      <w:spacing w:after="120" w:line="252" w:lineRule="auto"/>
    </w:pPr>
    <w:rPr>
      <w:rFonts w:ascii="Times New Roman" w:hAnsi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25DD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72E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2E7D"/>
    <w:rPr>
      <w:rFonts w:ascii="Segoe UI" w:hAnsi="Segoe UI" w:cs="Segoe UI"/>
      <w:sz w:val="18"/>
      <w:szCs w:val="18"/>
    </w:rPr>
  </w:style>
  <w:style w:type="paragraph" w:customStyle="1" w:styleId="Tytu1">
    <w:name w:val="Tytuł1"/>
    <w:rsid w:val="001C3F85"/>
    <w:pPr>
      <w:spacing w:after="120" w:line="252" w:lineRule="auto"/>
    </w:pPr>
    <w:rPr>
      <w:rFonts w:ascii="Times New Roman" w:hAnsi="Times New Roman"/>
      <w:b/>
      <w:color w:val="000000"/>
      <w:sz w:val="32"/>
    </w:rPr>
  </w:style>
  <w:style w:type="paragraph" w:customStyle="1" w:styleId="Nagwek11">
    <w:name w:val="Nagłówek 11"/>
    <w:rsid w:val="001C3F85"/>
    <w:pPr>
      <w:spacing w:after="120" w:line="252" w:lineRule="auto"/>
    </w:pPr>
    <w:rPr>
      <w:rFonts w:ascii="Times New Roman" w:hAnsi="Times New Roman"/>
      <w:b/>
      <w:color w:val="000000"/>
      <w:sz w:val="26"/>
    </w:rPr>
  </w:style>
  <w:style w:type="paragraph" w:customStyle="1" w:styleId="Nagwek21">
    <w:name w:val="Nagłówek 21"/>
    <w:rsid w:val="001C3F85"/>
    <w:pPr>
      <w:spacing w:after="120" w:line="252" w:lineRule="auto"/>
    </w:pPr>
    <w:rPr>
      <w:rFonts w:ascii="Times New Roman" w:hAnsi="Times New Roman"/>
      <w:b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3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9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4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2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4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63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8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0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138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572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995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908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87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973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56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107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958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848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598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27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86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157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987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55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368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73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757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772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32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08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59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41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039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501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635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33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231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85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435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17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3338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7057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70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926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695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46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46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136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9457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178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34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629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359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26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92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267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282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65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37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976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50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65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92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87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62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704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17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91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403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221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7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44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164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8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9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8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9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6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1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5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8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6989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3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01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486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741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9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8928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315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70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9323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023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62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406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766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360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38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13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004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115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68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195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13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27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252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82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83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66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00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69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79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19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356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2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84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13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632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702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02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796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4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738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995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405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94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61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020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693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244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23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001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638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58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39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531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467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62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935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24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94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593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9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6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4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5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1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1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03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7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1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1920</Words>
  <Characters>11526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13420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Customer</cp:lastModifiedBy>
  <cp:revision>2</cp:revision>
  <cp:lastPrinted>2026-10-06T11:33:00Z</cp:lastPrinted>
  <dcterms:created xsi:type="dcterms:W3CDTF">2026-10-14T17:00:00Z</dcterms:created>
  <dcterms:modified xsi:type="dcterms:W3CDTF">2026-10-14T17:00:00Z</dcterms:modified>
</cp:coreProperties>
</file>