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59" w:rsidRPr="00287E94" w:rsidRDefault="007A77DA" w:rsidP="00C70759">
      <w:pPr>
        <w:rPr>
          <w:rFonts w:cstheme="minorHAnsi"/>
          <w:sz w:val="22"/>
          <w:szCs w:val="22"/>
        </w:rPr>
      </w:pPr>
      <w:r w:rsidRPr="00287E94">
        <w:rPr>
          <w:rFonts w:cstheme="minorHAnsi"/>
          <w:sz w:val="22"/>
          <w:szCs w:val="22"/>
        </w:rPr>
        <w:t>S</w:t>
      </w:r>
      <w:r w:rsidR="00844E9C" w:rsidRPr="00287E94">
        <w:rPr>
          <w:rFonts w:cstheme="minorHAnsi"/>
          <w:sz w:val="22"/>
          <w:szCs w:val="22"/>
        </w:rPr>
        <w:t xml:space="preserve">ystem wspomagania i automatyzacji procesów – 1 zestaw </w:t>
      </w:r>
      <w:r w:rsidR="00844E9C" w:rsidRPr="00287E94">
        <w:rPr>
          <w:rFonts w:cstheme="minorHAnsi"/>
          <w:sz w:val="22"/>
          <w:szCs w:val="22"/>
        </w:rPr>
        <w:br/>
        <w:t>z nielicencjonowanym dostępem</w:t>
      </w:r>
    </w:p>
    <w:tbl>
      <w:tblPr>
        <w:tblW w:w="9776" w:type="dxa"/>
        <w:shd w:val="clear" w:color="auto" w:fill="FFFFFF"/>
        <w:tblLook w:val="04A0"/>
      </w:tblPr>
      <w:tblGrid>
        <w:gridCol w:w="2125"/>
        <w:gridCol w:w="7651"/>
      </w:tblGrid>
      <w:tr w:rsidR="00844E9C" w:rsidRPr="00287E94" w:rsidTr="00844E9C">
        <w:trPr>
          <w:trHeight w:val="35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b/>
                <w:bCs/>
                <w:sz w:val="22"/>
                <w:szCs w:val="22"/>
              </w:rPr>
              <w:t>Opis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b/>
                <w:bCs/>
                <w:sz w:val="22"/>
                <w:szCs w:val="22"/>
              </w:rPr>
              <w:t xml:space="preserve">Wymagane minimalne parametry techniczne </w:t>
            </w:r>
            <w:r w:rsidRPr="00287E94">
              <w:rPr>
                <w:rFonts w:cstheme="minorHAnsi"/>
                <w:b/>
                <w:bCs/>
                <w:sz w:val="22"/>
                <w:szCs w:val="22"/>
              </w:rPr>
              <w:br/>
              <w:t>i funkcjonalne: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Przedmiot usługi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służący do centralnego zbierania, agregacji, analizy i korelacji logów oraz zdarzeń bezpieczeństwa z urządzeń i systemów IT.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Model świadczenia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działać lokalnie w infrastrukturze Zamawiającego. Niedopuszczalne jest uzależnienie podstawowego działania systemu od korzystania z zewnętrznej usługi chmurowej.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Instalacja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Wykonawca musi przeprowadzić instalację wszystkich komponentów wymaganych do prawidłowego działania systemu.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Konfiguracja środowiska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Wykonawca musi skonfigurować komponenty centralne systemu, repozytorium danych, mechanizmy analizy zdarzeń oraz konsolę administracyjną.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Centralne zarządzanie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Wdrożony system musi posiadać centralną konsolę umożliwiającą zarządzanie monitorowanymi urządzeniami oraz przeglądanie zdarzeń, alertów i stanu środowiska.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Konsola WWW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Dostęp administracyjny do systemu musi być możliwy za pomocą graficznego interfejsu dostępnego przez przeglądarkę internetową.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Monitorowane systemy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monitorowanie co najmniej urządzeń pracujących pod kontrolą systemów Microsoft Windows oraz Linux.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Agenci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 ramach usługi Wykonawca musi skonfigurować możliwość instalacji agentów na monitorowanych serwerach i stacjach roboczych.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Zarządzanie agentami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zapewniać centralną rejestrację, konfigurację oraz monitorowanie stanu agentów.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Zbieranie logów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ciągłe zbieranie i centralne przetwarzanie logów oraz zdarzeń pochodzących z monitorowanych systemów.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Źródła danych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zbieranie logów z systemów operacyjnych, aplikacji, serwerów, urządzeń sieciowych oraz urządzeń bezpieczeństwa.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287E94">
              <w:rPr>
                <w:rFonts w:cstheme="minorHAnsi"/>
                <w:sz w:val="22"/>
                <w:szCs w:val="22"/>
              </w:rPr>
              <w:t>Syslog</w:t>
            </w:r>
            <w:proofErr w:type="spellEnd"/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System musi umożliwiać odbieranie komunikatów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Syslog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z urządzeń, na których instalacja agenta nie jest możliwa lub nie jest wymagana.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Logi Windows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zbieranie i analizowanie zdarzeń systemowych Microsoft Windows.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Logi Linux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zbieranie i analizowanie logów systemowych Linux.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lastRenderedPageBreak/>
              <w:t>Normalizacja danych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Wdrożone rozwiązanie musi posiadać mechanizmy dekodowania, interpretowania i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strukturyzowania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odbieranych logów.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Analiza zdarzeń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automatycznie analizować zbierane zdarzenia w oparciu o zdefiniowane reguły bezpieczeństwa.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Reguły detekcji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posiadać gotowe reguły detekcji oraz umożliwiać administratorowi tworzenie i modyfikowanie własnych reguł.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Korelacja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korelowanie wielu zdarzeń oraz generowanie alertów po spełnieniu określonych warunków.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Alerty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klasyfikowanie i prezentowanie alertów według poziomu istotności lub zagrożenia.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Wyszukiwanie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Administrator musi mieć możliwość wyszukiwania i filtrowania zgromadzonych logów, zdarzeń i alertów.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Historia zdarzeń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Wdrożone rozwiązanie musi umożliwiać przechowywanie i późniejszą analizę historycznych zdarzeń bezpieczeństwa.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287E94">
              <w:rPr>
                <w:rFonts w:cstheme="minorHAnsi"/>
                <w:sz w:val="22"/>
                <w:szCs w:val="22"/>
              </w:rPr>
              <w:t>Dashboardy</w:t>
            </w:r>
            <w:proofErr w:type="spellEnd"/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Wykonawca musi skonfigurować graficzne pulpity prezentujące co najmniej stan bezpieczeństwa, alerty oraz podstawowe informacje o monitorowanych urządzeniach.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Wizualizacja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prezentację danych w formie tabel, zestawień oraz wykresów.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Monitoring integralności plików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monitorowanie wskazanych plików i katalogów oraz wykrywanie ich utworzenia, modyfikacji i usunięcia.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Monitoring rejestru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Dla systemów Microsoft Windows rozwiązanie musi umożliwiać monitorowanie wskazanych zmian w rejestrze systemowym.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Inwentaryzacja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gromadzenie informacji o monitorowanych urządzeniach, systemach operacyjnych, interfejsach sieciowych oraz zainstalowanym oprogramowaniu.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Wykrywanie podatności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identyfikację znanych podatności dotyczących oprogramowania zainstalowanego na monitorowanych urządzeniach.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CVE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System musi umożliwiać prezentowanie identyfikatorów CVE związanych z wykrytymi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podatnościami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Ocena konfiguracji bezpieczeństwa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automatyczną ocenę konfiguracji monitorowanych systemów pod kątem zgodności z określonymi politykami lub zaleceniami bezpieczeństwa.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lastRenderedPageBreak/>
              <w:t xml:space="preserve">MITRE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ATT&amp;CK</w:t>
            </w:r>
            <w:proofErr w:type="spellEnd"/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Wykrywane zdarzenia bezpieczeństwa muszą mieć możliwość przyporządkowania do taktyk lub technik MITRE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ATT&amp;CK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Uwierzytelnianie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analizowanie zdarzeń związanych z logowaniem użytkowników oraz nieudanymi próbami uwierzytelnienia.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Aktywna reakcja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automatyczne wykonanie zdefiniowanej reakcji po wykryciu określonego zdarzenia bezpieczeństwa.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Powiadomienia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generowanie powiadomień o określonych zdarzeniach bezpieczeństwa, w tym wysyłanie powiadomień pocztą elektroniczną.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API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Wdrożone rozwiązanie musi udostępniać udokumentowane API pozwalające na integrację z innymi systemami.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RBAC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tworzenie użytkowników i ról oraz różnicowanie poziomów dostępu do jego funkcjonalności.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Bezpieczeństwo komunikacji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Komunikacja pomiędzy agentami a komponentami centralnymi musi być zabezpieczona kryptograficznie.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Skalowalność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Wdrożone rozwiązanie musi umożliwiać zwiększanie liczby monitorowanych urządzeń bez konieczności zmiany całej platformy.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Architektura klastrowa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umożliwiać rozbudowę do architektury wielowęzłowej lub klastrowej.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Aktualizacje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Wykonawca musi skonfigurować możliwość aktualizacji komponentów centralnych oraz agentów.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Oprogramowanie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Do realizacji usługi dopuszcza się zastosowanie oprogramowania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open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source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, pod warunkiem zapewnienia wszystkich funkcjonalności wymaganych w OPZ.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Brak dodatkowych opłat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Korzystanie z funkcjonalności wymaganych w OPZ nie może wymagać od Zamawiającego zakupu dodatkowych modułów lub odpłatnych licencji funkcjonalnych.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Integracja źródeł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 ramach wdrożenia Wykonawca musi skonfigurować integrację systemu ze wskazanymi przez Zamawiającego źródłami logów.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Analiza wspomagana AI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wykonywać analizę zebranych zdarzeń z wykorzystaniem modelu językowego uruchamianego lokalnie w infrastrukturze Zamawiającego. Przekazywanie danych o zdarzeniach do usług zewnętrznych jest niedopuszczalne.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Wydajność analizy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Czas wygenerowania kompletnego raportu dobowego wraz z analizą AI nie może przekraczać 15 minut na dostarczonym sprzęcie.</w:t>
            </w:r>
            <w:r w:rsidR="00DF3E07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DF3E07" w:rsidRPr="00DF3E07" w:rsidRDefault="00DF3E07" w:rsidP="00C70759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F3E07">
              <w:rPr>
                <w:rFonts w:cstheme="minorHAnsi"/>
                <w:b/>
                <w:bCs/>
                <w:sz w:val="22"/>
                <w:szCs w:val="22"/>
              </w:rPr>
              <w:t xml:space="preserve">Spełnienie wymagania wykaże test przeprowadzony przez Wykonawcę w </w:t>
            </w:r>
            <w:r w:rsidRPr="00DF3E07">
              <w:rPr>
                <w:rFonts w:cstheme="minorHAnsi"/>
                <w:b/>
                <w:bCs/>
                <w:sz w:val="22"/>
                <w:szCs w:val="22"/>
              </w:rPr>
              <w:lastRenderedPageBreak/>
              <w:t>obecności Zamawiającego na wdrożonym środowisku.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lastRenderedPageBreak/>
              <w:t>Zakres analizy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Wynik analizy musi zawierać co najmniej: jednoznaczny werdykt o stanie bezpieczeństwa doby, poziom ryzyka, streszczenie dla kierownictwa, ustalenia kluczowe, listę incydentów krytycznych, odniesienie do taktyk/technik MITRE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ATT&amp;CK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, rekomendowane działania oraz wskazanie prawdopodobnych fałszywych alarmów.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Raportowanie cykliczne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automatycznie generować raporty bezpieczeństwa w cyklu dobowym oraz cząstkowym w trakcie dnia pracy, bez udziału operatora, wg harmonogramu ustalonego z Zamawiającym.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Ciągłość pokrycia raportów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Kolejne raporty cząstkowe muszą pokrywać okno „od poprzedniego raportu do chwili bieżącej", bez luk czasowych i bez powielania zdarzeń.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Format raportu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Raport musi powstawać w formacie PDF oraz edytowalnym DOCX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Determinizm oceny ryzyka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Poziom ryzyka raportu musi być wyznaczany regułą deterministyczną na podstawie danych o zdarzeniach, niezależnie od treści wygenerowanej przez model językowy.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287E94">
              <w:rPr>
                <w:rFonts w:cstheme="minorHAnsi"/>
                <w:sz w:val="22"/>
                <w:szCs w:val="22"/>
              </w:rPr>
              <w:t>Priorytetyzacja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oparta na ryzyku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System musi wyznaczać priorytet naprawy podatności (co najmniej 4 poziomy) na podstawie łącznej oceny: CVSS, prawdopodobieństwa eksploatacji (EPSS) oraz potwierdzonej aktywnej eksploatacji (katalog CISA KEV). Sama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severity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/CVSS jest niewystarczająca.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Automatyczna weryfikacja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musi automatycznie potwierdzać naprawę na podstawie danych ze skanera i zamykać pozycję, zachowując jednocześnie decyzje podjęte przez człowieka (nie nadpisując ich).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b/>
                <w:bCs/>
                <w:sz w:val="22"/>
                <w:szCs w:val="22"/>
              </w:rPr>
              <w:t>Wdrożenie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instalację centralnych komponentów systemu na maszynie wirtualnej działającej na serwerze Zamawiającego</w:t>
            </w:r>
            <w:r w:rsidR="00E35E7E">
              <w:rPr>
                <w:rFonts w:cstheme="minorHAnsi"/>
                <w:sz w:val="22"/>
                <w:szCs w:val="22"/>
              </w:rPr>
              <w:t xml:space="preserve"> z </w:t>
            </w:r>
            <w:proofErr w:type="spellStart"/>
            <w:r w:rsidR="00E35E7E">
              <w:rPr>
                <w:rFonts w:cstheme="minorHAnsi"/>
                <w:sz w:val="22"/>
                <w:szCs w:val="22"/>
              </w:rPr>
              <w:t>możliwościa</w:t>
            </w:r>
            <w:proofErr w:type="spellEnd"/>
            <w:r w:rsidR="00E35E7E">
              <w:rPr>
                <w:rFonts w:cstheme="minorHAnsi"/>
                <w:sz w:val="22"/>
                <w:szCs w:val="22"/>
              </w:rPr>
              <w:t xml:space="preserve"> wyskalowania do posiadanych zasobów przez zamawiającego</w:t>
            </w:r>
            <w:r w:rsidRPr="00287E94">
              <w:rPr>
                <w:rFonts w:cstheme="minorHAnsi"/>
                <w:sz w:val="22"/>
                <w:szCs w:val="22"/>
              </w:rPr>
              <w:t>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konfigurację komponentów centralnych, repozytorium danych, konsoli WWW, API, RBAC, komunikacji, certyfikatów, synchronizacji czasu i retencji,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integrację co najmniej </w:t>
            </w:r>
            <w:r w:rsidR="00E35E7E">
              <w:rPr>
                <w:rFonts w:cstheme="minorHAnsi"/>
                <w:sz w:val="22"/>
                <w:szCs w:val="22"/>
              </w:rPr>
              <w:t>35</w:t>
            </w:r>
            <w:r w:rsidRPr="00287E94">
              <w:rPr>
                <w:rFonts w:cstheme="minorHAnsi"/>
                <w:sz w:val="22"/>
                <w:szCs w:val="22"/>
              </w:rPr>
              <w:t xml:space="preserve"> urządzeń infrastruktury sieciowej i bezpieczeństwa obejmujących bramy, punkty dostępowe, urządzenia UTM i przełączniki</w:t>
            </w:r>
            <w:r w:rsidR="00E35E7E">
              <w:rPr>
                <w:rFonts w:cstheme="minorHAnsi"/>
                <w:sz w:val="22"/>
                <w:szCs w:val="22"/>
              </w:rPr>
              <w:t xml:space="preserve"> brzegowe w jednostkach </w:t>
            </w:r>
            <w:r w:rsidR="001F0B33">
              <w:rPr>
                <w:rFonts w:cstheme="minorHAnsi"/>
                <w:sz w:val="22"/>
                <w:szCs w:val="22"/>
              </w:rPr>
              <w:t>organizacyjnych na terenie miasta</w:t>
            </w:r>
            <w:r w:rsidRPr="00287E94">
              <w:rPr>
                <w:rFonts w:cstheme="minorHAnsi"/>
                <w:sz w:val="22"/>
                <w:szCs w:val="22"/>
              </w:rPr>
              <w:t>,</w:t>
            </w:r>
            <w:r w:rsidR="00E35E7E">
              <w:rPr>
                <w:rFonts w:cstheme="minorHAnsi"/>
                <w:sz w:val="22"/>
                <w:szCs w:val="22"/>
              </w:rPr>
              <w:t xml:space="preserve"> </w:t>
            </w:r>
            <w:r w:rsidR="0088078C">
              <w:rPr>
                <w:rFonts w:cstheme="minorHAnsi"/>
                <w:sz w:val="22"/>
                <w:szCs w:val="22"/>
              </w:rPr>
              <w:t>- urządzenia zainstalowane w jednostkach organizacyjnych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konfigurację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Syslog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/ innych natywnych mechanizmów przekazywania zdarzeń dla każdego urządzenia,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normalizację, dekodowanie i klasyfikowanie logów z tych urządzeń,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instalację i konfigurację agentów na 2</w:t>
            </w:r>
            <w:r w:rsidR="009C760A" w:rsidRPr="00287E94">
              <w:rPr>
                <w:rFonts w:cstheme="minorHAnsi"/>
                <w:sz w:val="22"/>
                <w:szCs w:val="22"/>
              </w:rPr>
              <w:t>5</w:t>
            </w:r>
            <w:r w:rsidRPr="00287E94">
              <w:rPr>
                <w:rFonts w:cstheme="minorHAnsi"/>
                <w:sz w:val="22"/>
                <w:szCs w:val="22"/>
              </w:rPr>
              <w:t xml:space="preserve"> stacjach roboczych,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lastRenderedPageBreak/>
              <w:t>na stacjach: logi systemowe, FIM, monitoring rejestru Windows, inwentaryzację, ocenę konfiguracji bezpieczeństwa i wykrywanie podatności,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obowiązek sprawdzenia każdej z 2</w:t>
            </w:r>
            <w:r w:rsidR="000729E0" w:rsidRPr="00287E94">
              <w:rPr>
                <w:rFonts w:cstheme="minorHAnsi"/>
                <w:sz w:val="22"/>
                <w:szCs w:val="22"/>
              </w:rPr>
              <w:t>5</w:t>
            </w:r>
            <w:r w:rsidRPr="00287E94">
              <w:rPr>
                <w:rFonts w:cstheme="minorHAnsi"/>
                <w:sz w:val="22"/>
                <w:szCs w:val="22"/>
              </w:rPr>
              <w:t xml:space="preserve"> stacji pod kątem aktywnej komunikacji z serwerem,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test każdego źródła logów,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testy odbiorcze całego środowiska,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lastRenderedPageBreak/>
              <w:t>Dokumentacja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Wykonawca musi przekazać dokumentację powdrożeniową zawierającą co najmniej opis architektury, konfiguracji, podłączonych źródeł logów oraz podstawowych czynności administracyjnych.</w:t>
            </w:r>
          </w:p>
        </w:tc>
      </w:tr>
    </w:tbl>
    <w:tbl>
      <w:tblPr>
        <w:tblStyle w:val="Tabela-Siatka"/>
        <w:tblW w:w="9634" w:type="dxa"/>
        <w:tblLook w:val="04A0"/>
      </w:tblPr>
      <w:tblGrid>
        <w:gridCol w:w="2122"/>
        <w:gridCol w:w="7512"/>
      </w:tblGrid>
      <w:tr w:rsidR="009B48ED" w:rsidRPr="00287E94" w:rsidTr="00DF1795">
        <w:tc>
          <w:tcPr>
            <w:tcW w:w="2122" w:type="dxa"/>
          </w:tcPr>
          <w:p w:rsidR="009B48ED" w:rsidRPr="00287E94" w:rsidRDefault="009B48ED" w:rsidP="00DF1795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Szkolenia</w:t>
            </w:r>
          </w:p>
        </w:tc>
        <w:tc>
          <w:tcPr>
            <w:tcW w:w="7512" w:type="dxa"/>
          </w:tcPr>
          <w:p w:rsidR="009B48ED" w:rsidRPr="00287E94" w:rsidRDefault="009B48ED" w:rsidP="00DF1795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Zamawiający wymaga co najmniej 16 h roboczych szkolenia dla minimum 4 administratorów wykonanych w formie szkolenia stacjonarnego na wdrożonym rozwiązaniu w siedzibie zamawiającego</w:t>
            </w:r>
            <w:r w:rsidR="00563CE3" w:rsidRPr="00563CE3">
              <w:rPr>
                <w:rFonts w:cstheme="minorHAnsi"/>
                <w:sz w:val="22"/>
                <w:szCs w:val="22"/>
              </w:rPr>
              <w:t> w terminie uzgodnionym w harmonogramie wdrożenia, w języku polskim</w:t>
            </w:r>
            <w:r w:rsidR="00563CE3">
              <w:rPr>
                <w:rFonts w:cstheme="minorHAnsi"/>
                <w:sz w:val="22"/>
                <w:szCs w:val="22"/>
              </w:rPr>
              <w:t>.</w:t>
            </w:r>
          </w:p>
        </w:tc>
      </w:tr>
    </w:tbl>
    <w:tbl>
      <w:tblPr>
        <w:tblW w:w="9776" w:type="dxa"/>
        <w:shd w:val="clear" w:color="auto" w:fill="FFFFFF"/>
        <w:tblLook w:val="04A0"/>
      </w:tblPr>
      <w:tblGrid>
        <w:gridCol w:w="2125"/>
        <w:gridCol w:w="7651"/>
      </w:tblGrid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Przekazanie systemu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Po zakończeniu wdrożenia Wykonawca musi przekazać Zamawiającemu dane administracyjne oraz pełny dostęp do konfiguracji wdrożonego rozwiązania.</w:t>
            </w:r>
          </w:p>
        </w:tc>
      </w:tr>
      <w:tr w:rsidR="00844E9C" w:rsidRPr="00287E94" w:rsidTr="00844E9C"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Wymagania sprzętowe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Zintegrowana platforma dedykowana dla klasy tego urządzenia, zapewniająca</w:t>
            </w:r>
            <w:r w:rsidR="00D97828">
              <w:rPr>
                <w:rFonts w:cstheme="minorHAnsi"/>
                <w:sz w:val="22"/>
                <w:szCs w:val="22"/>
              </w:rPr>
              <w:t xml:space="preserve"> możliwość skalowalności </w:t>
            </w:r>
            <w:r w:rsidRPr="00287E94">
              <w:rPr>
                <w:rFonts w:cstheme="minorHAnsi"/>
                <w:sz w:val="22"/>
                <w:szCs w:val="22"/>
              </w:rPr>
              <w:t>: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>Pamięć masowa: obsługa min. jednego dysku M.2.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 xml:space="preserve">Łączność: min. dwa porty QSFP 200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Gbps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do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niskolatencyjnego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klastrowania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„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node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to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node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”.</w:t>
            </w:r>
            <w:r w:rsidR="00D97828">
              <w:rPr>
                <w:rFonts w:cstheme="minorHAnsi"/>
                <w:sz w:val="22"/>
                <w:szCs w:val="22"/>
              </w:rPr>
              <w:t xml:space="preserve"> 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>Sieć przewodowa: min. 1 × RJ 45 10GbE.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 xml:space="preserve">Wyjście obrazu / USB C: min. trzy porty USB C Gen 2x2 (20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Gbps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) z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DisplayPort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1.4a Alt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mode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; min. jeden port HDMI 2.1b.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Procesor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Min. 20 rdzeniowy procesor klasy CPU ARM w ramach heterogenicznego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superchipa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; L2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cache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min. 16 MB; zintegrowany akcelerator tensorowy dla obciążeń AI.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Wydajność obliczeniowa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•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>Pojedyncza jednostka powinna umożliwiać min. 1 PFLOP (1 000 TFLOPS) FP4; zdolność uruchamiania dużych modeli min. 200 mld parametrów lokalnie</w:t>
            </w:r>
            <w:r w:rsidR="00E35E7E">
              <w:rPr>
                <w:rFonts w:cstheme="minorHAnsi"/>
                <w:sz w:val="22"/>
                <w:szCs w:val="22"/>
              </w:rPr>
              <w:t xml:space="preserve"> z możliwością wyskalowana do potrzeb zamawiającego</w:t>
            </w:r>
            <w:r w:rsidRPr="00287E94">
              <w:rPr>
                <w:rFonts w:cstheme="minorHAnsi"/>
                <w:sz w:val="22"/>
                <w:szCs w:val="22"/>
              </w:rPr>
              <w:t>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•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>Możliwość spięcia min. dwóch jednostek po przez interfejs wysokiej przepustowości, obsługa min. 400 mld parametrów, z zachowaniem lokalności danych.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lastRenderedPageBreak/>
              <w:t>•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 xml:space="preserve">Warunki testowe: weryfikacja funkcjonalności obciążeń AI w natywnej konfiguracji; zakazane podkręcanie, nieobsługiwane modyfikacje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firmware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oraz ingerencje w OS, które zmieniają bazową funkcjonalność.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Pamięć RAM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Min. 128 GB LPDDR5x koherentnej pamięci systemowej współdzielonej przez CPU/akcelerator; szczytowa przepustowość min. 273 GB/s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Pamięć masowa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Min. 4 TB M.2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PCIe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Gen4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NVMe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SSD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Karta graficzna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  <w:r w:rsidRPr="00287E94">
              <w:rPr>
                <w:rFonts w:cstheme="minorHAnsi"/>
                <w:sz w:val="22"/>
                <w:szCs w:val="22"/>
              </w:rPr>
              <w:t xml:space="preserve">Zintegrowany akcelerator zaprojektowany pod FP4 tensor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compute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, zoptymalizowany do lokalnej inferencji i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fine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tuningu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>; sprzętowe silniki kodowania/dekodowania.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Łączność bezprzewodowa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Min.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Wi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Fi 7 (802.11be) +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Bluetooth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5</w:t>
            </w:r>
            <w:r w:rsidR="00D97828">
              <w:rPr>
                <w:rFonts w:cstheme="minorHAnsi"/>
                <w:sz w:val="22"/>
                <w:szCs w:val="22"/>
              </w:rPr>
              <w:t xml:space="preserve"> </w:t>
            </w:r>
            <w:r w:rsidRPr="00287E94">
              <w:rPr>
                <w:rFonts w:cstheme="minorHAnsi"/>
                <w:sz w:val="22"/>
                <w:szCs w:val="22"/>
              </w:rPr>
              <w:t>, antena wewnętrzna.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Zasilanie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proofErr w:type="spellStart"/>
            <w:r w:rsidRPr="00287E94">
              <w:rPr>
                <w:rFonts w:cstheme="minorHAnsi"/>
                <w:sz w:val="22"/>
                <w:szCs w:val="22"/>
              </w:rPr>
              <w:t>Max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. 300 W zasilacz AC przez USB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Type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C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Obudowa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Kompaktowy form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factor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biurkowy z tylnym panelem I/O.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System operacyjny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System operacyjny zoptymalizowany do rozwoju AI ze spójnym, przetestowanym stosem oprogramowania AI, zapewniającym przenośność modeli i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workflowów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między środowiskami.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Zainstalowany system operacyjny dla AI, wspierający konteneryzowane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frameworki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i biblioteki; spójne środowisko od rozwoju biurkowego do skali produkcyjnej.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Deklaracja zgodności CE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Bezpieczeństwo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TPM min. 2.0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Warunki gwarancyjne, wsparcie techniczne</w:t>
            </w:r>
            <w:r w:rsidRPr="00287E94">
              <w:rPr>
                <w:rFonts w:cstheme="minorHAnsi"/>
                <w:sz w:val="22"/>
                <w:szCs w:val="22"/>
              </w:rPr>
              <w:t> 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Dedykowany portal techniczny producenta, umożliwiający Zamawiającemu zgłaszanie awarii oraz samodzielne zamawianie zamiennych komponentów. 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Możliwość sprawdzenia kompletnych danych 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 xml:space="preserve">o urządzeniu na jednej witrynie internetowej prowadzonej przez producenta </w:t>
            </w:r>
            <w:r w:rsidRPr="00287E94">
              <w:rPr>
                <w:rFonts w:cstheme="minorHAnsi"/>
                <w:sz w:val="22"/>
                <w:szCs w:val="22"/>
              </w:rPr>
              <w:lastRenderedPageBreak/>
              <w:t xml:space="preserve">(automatyczna identyfikacja komputera, konfiguracja fabryczna, konfiguracja bieżąca, rodzaj gwarancji, data wygaśnięcia gwarancji, data produkcji komputera, aktualizacje, diagnostyka, dedykowane oprogramowanie, tworzenie dysku </w:t>
            </w:r>
            <w:proofErr w:type="spellStart"/>
            <w:r w:rsidRPr="00287E94">
              <w:rPr>
                <w:rFonts w:cstheme="minorHAnsi"/>
                <w:sz w:val="22"/>
                <w:szCs w:val="22"/>
              </w:rPr>
              <w:t>recovery</w:t>
            </w:r>
            <w:proofErr w:type="spellEnd"/>
            <w:r w:rsidRPr="00287E94">
              <w:rPr>
                <w:rFonts w:cstheme="minorHAnsi"/>
                <w:sz w:val="22"/>
                <w:szCs w:val="22"/>
              </w:rPr>
              <w:t xml:space="preserve"> systemu operacyjnego)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Min. 36 miesięczna gwarancja producenta świadczona na miejscu u klienta, czas reakcji serwisu - do końca następnego dnia roboczego.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 przypadku awarii dysków twardych dysk pozostaje u Zamawiającego – wymagane jest dołączenie do oferty oświadczenia podmiotu realizującego serwis lub producenta sprzętu o spełnieniu tego warunku.</w:t>
            </w:r>
          </w:p>
          <w:p w:rsidR="00844E9C" w:rsidRPr="00287E94" w:rsidRDefault="00844E9C" w:rsidP="00C70759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Serwis urządzeń musi być realizowany przez Producenta lub Autoryzowanego Partnera Serwisowego Producenta – wymagane dołączenie do oferty oświadczenia Wykonawcy potwierdzającego, że serwis będzie realizowany przez Autoryzowanego Partnera Serwisowego Producenta lub bezpośrednio przez Producenta</w:t>
            </w:r>
          </w:p>
        </w:tc>
      </w:tr>
    </w:tbl>
    <w:p w:rsidR="00CF2775" w:rsidRPr="00287E94" w:rsidRDefault="00CF2775">
      <w:pPr>
        <w:rPr>
          <w:rFonts w:cstheme="minorHAnsi"/>
          <w:sz w:val="22"/>
          <w:szCs w:val="22"/>
        </w:rPr>
      </w:pPr>
    </w:p>
    <w:p w:rsidR="00844E9C" w:rsidRPr="00287E94" w:rsidRDefault="00844E9C">
      <w:pPr>
        <w:rPr>
          <w:rFonts w:cstheme="minorHAnsi"/>
          <w:sz w:val="22"/>
          <w:szCs w:val="22"/>
        </w:rPr>
      </w:pPr>
      <w:r w:rsidRPr="00287E94">
        <w:rPr>
          <w:rFonts w:cstheme="minorHAnsi"/>
          <w:sz w:val="22"/>
          <w:szCs w:val="22"/>
        </w:rPr>
        <w:t xml:space="preserve">Stanowisko do obsługi systemu bez monitora </w:t>
      </w:r>
      <w:r w:rsidR="00E2673E" w:rsidRPr="00287E94">
        <w:rPr>
          <w:rFonts w:cstheme="minorHAnsi"/>
          <w:sz w:val="22"/>
          <w:szCs w:val="22"/>
        </w:rPr>
        <w:t>25</w:t>
      </w:r>
      <w:r w:rsidRPr="00287E94">
        <w:rPr>
          <w:rFonts w:cstheme="minorHAnsi"/>
          <w:sz w:val="22"/>
          <w:szCs w:val="22"/>
        </w:rPr>
        <w:t xml:space="preserve"> </w:t>
      </w:r>
      <w:proofErr w:type="spellStart"/>
      <w:r w:rsidRPr="00287E94">
        <w:rPr>
          <w:rFonts w:cstheme="minorHAnsi"/>
          <w:sz w:val="22"/>
          <w:szCs w:val="22"/>
        </w:rPr>
        <w:t>szt</w:t>
      </w:r>
      <w:proofErr w:type="spellEnd"/>
      <w:r w:rsidR="00CD66E3">
        <w:rPr>
          <w:rFonts w:cstheme="minorHAnsi"/>
          <w:sz w:val="22"/>
          <w:szCs w:val="22"/>
        </w:rPr>
        <w:t xml:space="preserve"> ( dostawa komputerów)</w:t>
      </w:r>
    </w:p>
    <w:tbl>
      <w:tblPr>
        <w:tblStyle w:val="Tabela-Siatka"/>
        <w:tblW w:w="9634" w:type="dxa"/>
        <w:tblLook w:val="04A0"/>
      </w:tblPr>
      <w:tblGrid>
        <w:gridCol w:w="2122"/>
        <w:gridCol w:w="7512"/>
      </w:tblGrid>
      <w:tr w:rsidR="00844E9C" w:rsidRPr="00287E94" w:rsidTr="007A77DA">
        <w:tc>
          <w:tcPr>
            <w:tcW w:w="2122" w:type="dxa"/>
            <w:shd w:val="clear" w:color="auto" w:fill="D9D9D9" w:themeFill="background1" w:themeFillShade="D9"/>
          </w:tcPr>
          <w:p w:rsidR="00844E9C" w:rsidRPr="00287E94" w:rsidRDefault="007A77D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87E94">
              <w:rPr>
                <w:rFonts w:cstheme="minorHAnsi"/>
                <w:b/>
                <w:bCs/>
                <w:sz w:val="22"/>
                <w:szCs w:val="22"/>
              </w:rPr>
              <w:t>Sprzęt</w:t>
            </w:r>
          </w:p>
        </w:tc>
        <w:tc>
          <w:tcPr>
            <w:tcW w:w="7512" w:type="dxa"/>
            <w:shd w:val="clear" w:color="auto" w:fill="D9D9D9" w:themeFill="background1" w:themeFillShade="D9"/>
          </w:tcPr>
          <w:p w:rsidR="00844E9C" w:rsidRPr="00287E94" w:rsidRDefault="007A77D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87E94">
              <w:rPr>
                <w:rFonts w:cstheme="minorHAnsi"/>
                <w:b/>
                <w:bCs/>
                <w:sz w:val="22"/>
                <w:szCs w:val="22"/>
              </w:rPr>
              <w:t>Parametry minimalne</w:t>
            </w:r>
          </w:p>
        </w:tc>
      </w:tr>
      <w:tr w:rsidR="00844E9C" w:rsidRPr="00287E94" w:rsidTr="00844E9C">
        <w:tc>
          <w:tcPr>
            <w:tcW w:w="2122" w:type="dxa"/>
          </w:tcPr>
          <w:p w:rsidR="00844E9C" w:rsidRPr="00287E94" w:rsidRDefault="00844E9C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Stanowisko do obsługi systemu bez monitora</w:t>
            </w:r>
          </w:p>
        </w:tc>
        <w:tc>
          <w:tcPr>
            <w:tcW w:w="7512" w:type="dxa"/>
          </w:tcPr>
          <w:p w:rsidR="00844E9C" w:rsidRPr="00482A2A" w:rsidRDefault="00844E9C">
            <w:pPr>
              <w:rPr>
                <w:rFonts w:cstheme="minorHAnsi"/>
                <w:sz w:val="20"/>
                <w:szCs w:val="20"/>
              </w:rPr>
            </w:pPr>
            <w:r w:rsidRPr="00482A2A">
              <w:rPr>
                <w:rFonts w:cstheme="minorHAnsi"/>
                <w:sz w:val="20"/>
                <w:szCs w:val="20"/>
              </w:rPr>
              <w:t xml:space="preserve">komputer stacjonarny </w:t>
            </w:r>
          </w:p>
          <w:p w:rsidR="00844E9C" w:rsidRPr="00482A2A" w:rsidRDefault="00844E9C">
            <w:pPr>
              <w:rPr>
                <w:rFonts w:cstheme="minorHAnsi"/>
                <w:sz w:val="20"/>
                <w:szCs w:val="20"/>
              </w:rPr>
            </w:pPr>
            <w:r w:rsidRPr="00482A2A">
              <w:rPr>
                <w:rFonts w:cstheme="minorHAnsi"/>
                <w:sz w:val="20"/>
                <w:szCs w:val="20"/>
              </w:rPr>
              <w:t xml:space="preserve">Procesor: </w:t>
            </w:r>
            <w:r w:rsidR="000834C6" w:rsidRPr="00482A2A">
              <w:rPr>
                <w:rFonts w:cstheme="minorHAnsi"/>
                <w:sz w:val="20"/>
                <w:szCs w:val="20"/>
              </w:rPr>
              <w:t>Procesor</w:t>
            </w:r>
            <w:r w:rsidR="009C7BD1" w:rsidRPr="00482A2A">
              <w:rPr>
                <w:rFonts w:cstheme="minorHAnsi"/>
                <w:sz w:val="20"/>
                <w:szCs w:val="20"/>
              </w:rPr>
              <w:t xml:space="preserve"> os</w:t>
            </w:r>
            <w:r w:rsidR="000834C6" w:rsidRPr="00482A2A">
              <w:rPr>
                <w:rFonts w:cstheme="minorHAnsi"/>
                <w:sz w:val="20"/>
                <w:szCs w:val="20"/>
              </w:rPr>
              <w:t>iągaj</w:t>
            </w:r>
            <w:r w:rsidR="00E065DE" w:rsidRPr="00482A2A">
              <w:rPr>
                <w:rFonts w:cstheme="minorHAnsi"/>
                <w:sz w:val="20"/>
                <w:szCs w:val="20"/>
              </w:rPr>
              <w:t>ący wynik nie mniejszy niż 24</w:t>
            </w:r>
            <w:r w:rsidR="00CB7FE8" w:rsidRPr="00482A2A">
              <w:rPr>
                <w:rFonts w:cstheme="minorHAnsi"/>
                <w:sz w:val="20"/>
                <w:szCs w:val="20"/>
              </w:rPr>
              <w:t>0</w:t>
            </w:r>
            <w:r w:rsidR="00E065DE" w:rsidRPr="00482A2A">
              <w:rPr>
                <w:rFonts w:cstheme="minorHAnsi"/>
                <w:sz w:val="20"/>
                <w:szCs w:val="20"/>
              </w:rPr>
              <w:t>00-</w:t>
            </w:r>
            <w:r w:rsidR="000834C6" w:rsidRPr="00482A2A">
              <w:rPr>
                <w:rFonts w:cstheme="minorHAnsi"/>
                <w:sz w:val="20"/>
                <w:szCs w:val="20"/>
              </w:rPr>
              <w:t xml:space="preserve"> punktów w teście </w:t>
            </w:r>
            <w:proofErr w:type="spellStart"/>
            <w:r w:rsidR="000834C6" w:rsidRPr="00482A2A">
              <w:rPr>
                <w:rFonts w:cstheme="minorHAnsi"/>
                <w:sz w:val="20"/>
                <w:szCs w:val="20"/>
              </w:rPr>
              <w:t>PassMark</w:t>
            </w:r>
            <w:proofErr w:type="spellEnd"/>
            <w:r w:rsidR="000834C6" w:rsidRPr="00482A2A">
              <w:rPr>
                <w:rFonts w:cstheme="minorHAnsi"/>
                <w:sz w:val="20"/>
                <w:szCs w:val="20"/>
              </w:rPr>
              <w:t xml:space="preserve">, według rankingu CPUBenchmark.net. </w:t>
            </w:r>
            <w:r w:rsidR="004A3487" w:rsidRPr="00482A2A">
              <w:rPr>
                <w:rFonts w:cstheme="minorHAnsi"/>
                <w:sz w:val="20"/>
                <w:szCs w:val="20"/>
              </w:rPr>
              <w:t>na dzień 08.10.2026</w:t>
            </w:r>
          </w:p>
          <w:p w:rsidR="000834C6" w:rsidRPr="00482A2A" w:rsidRDefault="00E065DE" w:rsidP="009C7BD1">
            <w:pPr>
              <w:rPr>
                <w:rFonts w:cstheme="minorHAnsi"/>
                <w:sz w:val="20"/>
                <w:szCs w:val="20"/>
              </w:rPr>
            </w:pPr>
            <w:r w:rsidRPr="00482A2A">
              <w:rPr>
                <w:rFonts w:cstheme="minorHAnsi"/>
                <w:sz w:val="20"/>
                <w:szCs w:val="20"/>
              </w:rPr>
              <w:t>Typ pamięci operacyjnej: DDR5 SDRAM</w:t>
            </w:r>
            <w:r w:rsidR="00844E9C" w:rsidRPr="00482A2A">
              <w:rPr>
                <w:rFonts w:cstheme="minorHAnsi"/>
                <w:sz w:val="20"/>
                <w:szCs w:val="20"/>
              </w:rPr>
              <w:t xml:space="preserve"> Pamięć operacyjna: </w:t>
            </w:r>
            <w:r w:rsidR="005A4B38" w:rsidRPr="00482A2A">
              <w:rPr>
                <w:rFonts w:cstheme="minorHAnsi"/>
                <w:sz w:val="20"/>
                <w:szCs w:val="20"/>
              </w:rPr>
              <w:t xml:space="preserve">min </w:t>
            </w:r>
            <w:r w:rsidR="00844E9C" w:rsidRPr="00482A2A">
              <w:rPr>
                <w:rFonts w:cstheme="minorHAnsi"/>
                <w:sz w:val="20"/>
                <w:szCs w:val="20"/>
              </w:rPr>
              <w:t xml:space="preserve">16 GB </w:t>
            </w:r>
            <w:r w:rsidR="00844E9C" w:rsidRPr="00482A2A">
              <w:rPr>
                <w:rFonts w:cstheme="minorHAnsi"/>
                <w:sz w:val="20"/>
                <w:szCs w:val="20"/>
              </w:rPr>
              <w:br/>
              <w:t>Typ dysku: SSD Pojemność dysku</w:t>
            </w:r>
            <w:r w:rsidRPr="00482A2A">
              <w:rPr>
                <w:rFonts w:cstheme="minorHAnsi"/>
                <w:sz w:val="20"/>
                <w:szCs w:val="20"/>
              </w:rPr>
              <w:t xml:space="preserve"> min</w:t>
            </w:r>
            <w:r w:rsidR="00844E9C" w:rsidRPr="00482A2A">
              <w:rPr>
                <w:rFonts w:cstheme="minorHAnsi"/>
                <w:sz w:val="20"/>
                <w:szCs w:val="20"/>
              </w:rPr>
              <w:t xml:space="preserve">: 480 GB </w:t>
            </w:r>
            <w:r w:rsidRPr="00482A2A">
              <w:rPr>
                <w:rFonts w:cstheme="minorHAnsi"/>
                <w:sz w:val="20"/>
                <w:szCs w:val="20"/>
              </w:rPr>
              <w:t xml:space="preserve">SSD – M.2 </w:t>
            </w:r>
          </w:p>
          <w:p w:rsidR="000834C6" w:rsidRPr="00482A2A" w:rsidRDefault="00844E9C" w:rsidP="009C7BD1">
            <w:pPr>
              <w:rPr>
                <w:rFonts w:cstheme="minorHAnsi"/>
                <w:sz w:val="20"/>
                <w:szCs w:val="20"/>
              </w:rPr>
            </w:pPr>
            <w:r w:rsidRPr="00482A2A">
              <w:rPr>
                <w:rFonts w:cstheme="minorHAnsi"/>
                <w:sz w:val="20"/>
                <w:szCs w:val="20"/>
              </w:rPr>
              <w:t xml:space="preserve">Rodzaj karty graficznej: Zintegrowana Karta </w:t>
            </w:r>
            <w:r w:rsidR="00E065DE" w:rsidRPr="00482A2A">
              <w:rPr>
                <w:rFonts w:cstheme="minorHAnsi"/>
                <w:sz w:val="20"/>
                <w:szCs w:val="20"/>
              </w:rPr>
              <w:t xml:space="preserve">graficzna: min </w:t>
            </w:r>
            <w:r w:rsidR="00776954" w:rsidRPr="00482A2A">
              <w:rPr>
                <w:rFonts w:cstheme="minorHAnsi"/>
                <w:sz w:val="20"/>
                <w:szCs w:val="20"/>
              </w:rPr>
              <w:t xml:space="preserve">zintegrowanego układu graficznego z obsługą dwóch wyjść wideo, </w:t>
            </w:r>
            <w:r w:rsidR="00E065DE" w:rsidRPr="00482A2A">
              <w:rPr>
                <w:sz w:val="20"/>
                <w:szCs w:val="20"/>
              </w:rPr>
              <w:t xml:space="preserve">1 x LAN (Gigabit Ethernet) 2 x USB 2.0 (2 przód) 2 x USB 2.0 (2 tylne) </w:t>
            </w:r>
            <w:r w:rsidR="00384EBE" w:rsidRPr="00482A2A">
              <w:rPr>
                <w:sz w:val="20"/>
                <w:szCs w:val="20"/>
              </w:rPr>
              <w:t>,</w:t>
            </w:r>
            <w:r w:rsidR="00E065DE" w:rsidRPr="00482A2A">
              <w:rPr>
                <w:sz w:val="20"/>
                <w:szCs w:val="20"/>
              </w:rPr>
              <w:t xml:space="preserve">1 x </w:t>
            </w:r>
            <w:proofErr w:type="spellStart"/>
            <w:r w:rsidR="00E065DE" w:rsidRPr="00482A2A">
              <w:rPr>
                <w:sz w:val="20"/>
                <w:szCs w:val="20"/>
              </w:rPr>
              <w:t>USB-C</w:t>
            </w:r>
            <w:proofErr w:type="spellEnd"/>
            <w:r w:rsidR="00E065DE" w:rsidRPr="00482A2A">
              <w:rPr>
                <w:sz w:val="20"/>
                <w:szCs w:val="20"/>
              </w:rPr>
              <w:t xml:space="preserve"> 3.2 Gen 1 (1 przód) 3 x USB 3.2 Gen 1 (1 przó</w:t>
            </w:r>
            <w:r w:rsidR="005A4B38" w:rsidRPr="00482A2A">
              <w:rPr>
                <w:sz w:val="20"/>
                <w:szCs w:val="20"/>
              </w:rPr>
              <w:t>d, 2 tył)</w:t>
            </w:r>
            <w:r w:rsidR="00BE0A17" w:rsidRPr="00482A2A">
              <w:rPr>
                <w:sz w:val="20"/>
                <w:szCs w:val="20"/>
              </w:rPr>
              <w:t>,</w:t>
            </w:r>
            <w:r w:rsidR="005A4B38" w:rsidRPr="00482A2A">
              <w:rPr>
                <w:sz w:val="20"/>
                <w:szCs w:val="20"/>
              </w:rPr>
              <w:t xml:space="preserve"> </w:t>
            </w:r>
            <w:r w:rsidR="00E065DE" w:rsidRPr="00482A2A">
              <w:rPr>
                <w:sz w:val="20"/>
                <w:szCs w:val="20"/>
              </w:rPr>
              <w:t xml:space="preserve"> 1 x HDMI</w:t>
            </w:r>
            <w:r w:rsidR="005A4B38" w:rsidRPr="00482A2A">
              <w:rPr>
                <w:sz w:val="20"/>
                <w:szCs w:val="20"/>
              </w:rPr>
              <w:t xml:space="preserve"> </w:t>
            </w:r>
            <w:r w:rsidR="00E065DE" w:rsidRPr="00482A2A">
              <w:rPr>
                <w:rFonts w:cstheme="minorHAnsi"/>
                <w:sz w:val="20"/>
                <w:szCs w:val="20"/>
              </w:rPr>
              <w:t>Wymiary max: 31</w:t>
            </w:r>
            <w:r w:rsidR="009C7BD1" w:rsidRPr="00482A2A">
              <w:rPr>
                <w:rFonts w:cstheme="minorHAnsi"/>
                <w:sz w:val="20"/>
                <w:szCs w:val="20"/>
              </w:rPr>
              <w:t>0 x 300 x 1</w:t>
            </w:r>
            <w:r w:rsidRPr="00482A2A">
              <w:rPr>
                <w:rFonts w:cstheme="minorHAnsi"/>
                <w:sz w:val="20"/>
                <w:szCs w:val="20"/>
              </w:rPr>
              <w:t xml:space="preserve">00 </w:t>
            </w:r>
            <w:proofErr w:type="spellStart"/>
            <w:r w:rsidRPr="00482A2A">
              <w:rPr>
                <w:rFonts w:cstheme="minorHAnsi"/>
                <w:sz w:val="20"/>
                <w:szCs w:val="20"/>
              </w:rPr>
              <w:t>mm</w:t>
            </w:r>
            <w:proofErr w:type="spellEnd"/>
            <w:r w:rsidR="000834C6" w:rsidRPr="00482A2A">
              <w:rPr>
                <w:rFonts w:cstheme="minorHAnsi"/>
                <w:sz w:val="20"/>
                <w:szCs w:val="20"/>
              </w:rPr>
              <w:t xml:space="preserve">. </w:t>
            </w:r>
            <w:r w:rsidR="000834C6" w:rsidRPr="00482A2A">
              <w:rPr>
                <w:rFonts w:cs="Open Sans"/>
                <w:bCs/>
                <w:sz w:val="20"/>
                <w:szCs w:val="20"/>
              </w:rPr>
              <w:t xml:space="preserve">Układ szyfrujący </w:t>
            </w:r>
            <w:proofErr w:type="spellStart"/>
            <w:r w:rsidR="000834C6" w:rsidRPr="00482A2A">
              <w:rPr>
                <w:rFonts w:cs="Open Sans"/>
                <w:bCs/>
                <w:sz w:val="20"/>
                <w:szCs w:val="20"/>
              </w:rPr>
              <w:t>Trusted</w:t>
            </w:r>
            <w:proofErr w:type="spellEnd"/>
            <w:r w:rsidR="000834C6" w:rsidRPr="00482A2A">
              <w:rPr>
                <w:rFonts w:cs="Open Sans"/>
                <w:bCs/>
                <w:sz w:val="20"/>
                <w:szCs w:val="20"/>
              </w:rPr>
              <w:t xml:space="preserve"> Platform Module w wersji 2.0 </w:t>
            </w:r>
            <w:r w:rsidRPr="00482A2A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844E9C" w:rsidRPr="00482A2A" w:rsidRDefault="005A4B38" w:rsidP="009C7BD1">
            <w:pPr>
              <w:rPr>
                <w:rFonts w:cstheme="minorHAnsi"/>
                <w:sz w:val="20"/>
                <w:szCs w:val="20"/>
              </w:rPr>
            </w:pPr>
            <w:r w:rsidRPr="00482A2A">
              <w:rPr>
                <w:rFonts w:cstheme="minorHAnsi"/>
                <w:sz w:val="20"/>
                <w:szCs w:val="20"/>
              </w:rPr>
              <w:t>Waga</w:t>
            </w:r>
            <w:r w:rsidR="00776954" w:rsidRPr="00482A2A">
              <w:rPr>
                <w:rFonts w:cstheme="minorHAnsi"/>
                <w:sz w:val="20"/>
                <w:szCs w:val="20"/>
              </w:rPr>
              <w:t xml:space="preserve"> max </w:t>
            </w:r>
            <w:r w:rsidRPr="00482A2A">
              <w:rPr>
                <w:rFonts w:cstheme="minorHAnsi"/>
                <w:sz w:val="20"/>
                <w:szCs w:val="20"/>
              </w:rPr>
              <w:t>:</w:t>
            </w:r>
            <w:r w:rsidR="00776954" w:rsidRPr="00482A2A">
              <w:rPr>
                <w:rFonts w:cstheme="minorHAnsi"/>
                <w:sz w:val="20"/>
                <w:szCs w:val="20"/>
              </w:rPr>
              <w:t xml:space="preserve"> 6</w:t>
            </w:r>
            <w:r w:rsidR="00844E9C" w:rsidRPr="00482A2A">
              <w:rPr>
                <w:rFonts w:cstheme="minorHAnsi"/>
                <w:sz w:val="20"/>
                <w:szCs w:val="20"/>
              </w:rPr>
              <w:t xml:space="preserve"> </w:t>
            </w:r>
            <w:r w:rsidR="000834C6" w:rsidRPr="00482A2A">
              <w:rPr>
                <w:rFonts w:cstheme="minorHAnsi"/>
                <w:sz w:val="20"/>
                <w:szCs w:val="20"/>
              </w:rPr>
              <w:t>kg</w:t>
            </w:r>
            <w:r w:rsidR="00E065DE" w:rsidRPr="00482A2A">
              <w:rPr>
                <w:rFonts w:cstheme="minorHAnsi"/>
                <w:sz w:val="20"/>
                <w:szCs w:val="20"/>
              </w:rPr>
              <w:t xml:space="preserve"> </w:t>
            </w:r>
            <w:r w:rsidR="00E065DE" w:rsidRPr="00482A2A">
              <w:rPr>
                <w:rFonts w:cstheme="minorHAnsi"/>
                <w:sz w:val="20"/>
                <w:szCs w:val="20"/>
              </w:rPr>
              <w:br/>
              <w:t>Typ obudowy: SFF Zasilacz:</w:t>
            </w:r>
            <w:r w:rsidRPr="00482A2A">
              <w:rPr>
                <w:rFonts w:cstheme="minorHAnsi"/>
                <w:sz w:val="20"/>
                <w:szCs w:val="20"/>
              </w:rPr>
              <w:t xml:space="preserve"> max</w:t>
            </w:r>
            <w:r w:rsidR="00E065DE" w:rsidRPr="00482A2A">
              <w:rPr>
                <w:rFonts w:cstheme="minorHAnsi"/>
                <w:sz w:val="20"/>
                <w:szCs w:val="20"/>
              </w:rPr>
              <w:t xml:space="preserve"> 300</w:t>
            </w:r>
            <w:r w:rsidR="000834C6" w:rsidRPr="00482A2A">
              <w:rPr>
                <w:rFonts w:cstheme="minorHAnsi"/>
                <w:sz w:val="20"/>
                <w:szCs w:val="20"/>
              </w:rPr>
              <w:t xml:space="preserve"> W Gwarancja: Min.  </w:t>
            </w:r>
            <w:r w:rsidR="00487316" w:rsidRPr="00482A2A">
              <w:rPr>
                <w:rFonts w:cstheme="minorHAnsi"/>
                <w:sz w:val="20"/>
                <w:szCs w:val="20"/>
              </w:rPr>
              <w:t>36</w:t>
            </w:r>
            <w:r w:rsidR="000834C6" w:rsidRPr="00482A2A">
              <w:rPr>
                <w:rFonts w:cstheme="minorHAnsi"/>
                <w:sz w:val="20"/>
                <w:szCs w:val="20"/>
              </w:rPr>
              <w:t xml:space="preserve"> miesiące. </w:t>
            </w:r>
            <w:r w:rsidR="00844E9C" w:rsidRPr="00482A2A">
              <w:rPr>
                <w:rFonts w:cstheme="minorHAnsi"/>
                <w:sz w:val="20"/>
                <w:szCs w:val="20"/>
              </w:rPr>
              <w:t xml:space="preserve"> System operacyjny: Windows 11 Pro</w:t>
            </w:r>
            <w:r w:rsidR="00704EA0" w:rsidRPr="00482A2A">
              <w:rPr>
                <w:rFonts w:cstheme="minorHAnsi"/>
                <w:sz w:val="20"/>
                <w:szCs w:val="20"/>
              </w:rPr>
              <w:t xml:space="preserve"> </w:t>
            </w:r>
            <w:r w:rsidR="002303E3" w:rsidRPr="00482A2A">
              <w:rPr>
                <w:rFonts w:cstheme="minorHAnsi"/>
                <w:sz w:val="20"/>
                <w:szCs w:val="20"/>
              </w:rPr>
              <w:t>przez który rozumie się system spełniający łącznie następujące kryteria:  obsługa agenta systemu SIEM, dołączenie do domeny, centralne zarządzanie politykami, szyfrowanie dysku z użyciem TPM 2.0. wsparcie producenta</w:t>
            </w:r>
          </w:p>
          <w:p w:rsidR="00482A2A" w:rsidRPr="00482A2A" w:rsidRDefault="00482A2A" w:rsidP="009C7BD1">
            <w:pPr>
              <w:rPr>
                <w:sz w:val="20"/>
                <w:szCs w:val="20"/>
              </w:rPr>
            </w:pPr>
            <w:r w:rsidRPr="00482A2A">
              <w:rPr>
                <w:sz w:val="20"/>
                <w:szCs w:val="20"/>
              </w:rPr>
              <w:t>Wszystkie dostarczone licencje muszą być fabrycznie nowe, wolne od wad prawnych i obciążeń na rzecz osób trzecich oraz pochodzić z oficjalnego kanału dystrybucyjnego producenta na rynek Unii Europejskiej.</w:t>
            </w:r>
          </w:p>
          <w:p w:rsidR="00482A2A" w:rsidRPr="00482A2A" w:rsidRDefault="00482A2A" w:rsidP="009C7BD1">
            <w:pPr>
              <w:rPr>
                <w:rFonts w:cstheme="minorHAnsi"/>
                <w:sz w:val="20"/>
                <w:szCs w:val="20"/>
              </w:rPr>
            </w:pPr>
            <w:r w:rsidRPr="00482A2A">
              <w:rPr>
                <w:sz w:val="20"/>
                <w:szCs w:val="20"/>
              </w:rPr>
              <w:t>Wykonawca przekaże dokumentację potwierdzającą legalność oprogramowania (np. certyfikaty autentyczności COA, klucze aktywacyjne, dostęp do portalu licencjonowania producenta lub fakturę z wyszczególnionymi licencjami).</w:t>
            </w:r>
            <w:bookmarkStart w:id="0" w:name="_GoBack"/>
            <w:bookmarkEnd w:id="0"/>
          </w:p>
        </w:tc>
      </w:tr>
      <w:tr w:rsidR="00844E9C" w:rsidRPr="00287E94" w:rsidTr="00844E9C">
        <w:tc>
          <w:tcPr>
            <w:tcW w:w="2122" w:type="dxa"/>
          </w:tcPr>
          <w:p w:rsidR="00844E9C" w:rsidRPr="00287E94" w:rsidRDefault="00844E9C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Wdrożenie</w:t>
            </w:r>
          </w:p>
        </w:tc>
        <w:tc>
          <w:tcPr>
            <w:tcW w:w="7512" w:type="dxa"/>
          </w:tcPr>
          <w:p w:rsidR="00844E9C" w:rsidRPr="00287E94" w:rsidRDefault="00844E9C">
            <w:pPr>
              <w:rPr>
                <w:rFonts w:cstheme="minorHAnsi"/>
                <w:sz w:val="22"/>
                <w:szCs w:val="22"/>
              </w:rPr>
            </w:pPr>
            <w:r w:rsidRPr="00287E94">
              <w:rPr>
                <w:rFonts w:cstheme="minorHAnsi"/>
                <w:sz w:val="22"/>
                <w:szCs w:val="22"/>
              </w:rPr>
              <w:t>Instalacja i uruchomienie systemów , konfiguracja agenta dla systemu wspomagania i automatyzacji procesów, testy w zainstalowanym środowisku</w:t>
            </w:r>
            <w:r w:rsidR="00826586" w:rsidRPr="00287E94">
              <w:rPr>
                <w:rFonts w:cstheme="minorHAnsi"/>
                <w:sz w:val="22"/>
                <w:szCs w:val="22"/>
              </w:rPr>
              <w:t xml:space="preserve"> potwierdzone zestawieniami z logów i potencjalnych incydentów</w:t>
            </w:r>
          </w:p>
        </w:tc>
      </w:tr>
    </w:tbl>
    <w:p w:rsidR="00844E9C" w:rsidRPr="00287E94" w:rsidRDefault="00844E9C">
      <w:pPr>
        <w:rPr>
          <w:rFonts w:cstheme="minorHAnsi"/>
          <w:sz w:val="22"/>
          <w:szCs w:val="22"/>
        </w:rPr>
      </w:pPr>
    </w:p>
    <w:p w:rsidR="00287E94" w:rsidRPr="00287E94" w:rsidRDefault="00287E94">
      <w:pPr>
        <w:rPr>
          <w:rFonts w:cstheme="minorHAnsi"/>
          <w:sz w:val="22"/>
          <w:szCs w:val="22"/>
        </w:rPr>
      </w:pPr>
    </w:p>
    <w:sectPr w:rsidR="00287E94" w:rsidRPr="00287E94" w:rsidSect="00C933DE">
      <w:headerReference w:type="default" r:id="rId6"/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4C7" w:rsidRDefault="008624C7" w:rsidP="00844E9C">
      <w:pPr>
        <w:spacing w:after="0" w:line="240" w:lineRule="auto"/>
      </w:pPr>
      <w:r>
        <w:separator/>
      </w:r>
    </w:p>
  </w:endnote>
  <w:endnote w:type="continuationSeparator" w:id="0">
    <w:p w:rsidR="008624C7" w:rsidRDefault="008624C7" w:rsidP="0084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9C" w:rsidRDefault="00E66563">
    <w:pPr>
      <w:pStyle w:val="Stopka"/>
    </w:pPr>
    <w:r w:rsidRPr="00E66563">
      <w:rPr>
        <w:noProof/>
        <w:color w:val="4472C4" w:themeColor="accent1"/>
        <w:lang w:eastAsia="pl-PL"/>
      </w:rPr>
      <w:pict>
        <v:rect id="Prostokąt 247" o:spid="_x0000_s2049" style="position:absolute;margin-left:0;margin-top:0;width:579.9pt;height:750.3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<w10:wrap anchorx="page" anchory="page"/>
        </v:rect>
      </w:pict>
    </w:r>
    <w:r w:rsidR="00844E9C">
      <w:rPr>
        <w:color w:val="4472C4" w:themeColor="accent1"/>
      </w:rPr>
      <w:t xml:space="preserve"> </w:t>
    </w:r>
    <w:r w:rsidR="00844E9C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 w:rsidRPr="00E66563">
      <w:rPr>
        <w:rFonts w:eastAsiaTheme="minorEastAsia"/>
        <w:color w:val="4472C4" w:themeColor="accent1"/>
        <w:sz w:val="20"/>
        <w:szCs w:val="20"/>
      </w:rPr>
      <w:fldChar w:fldCharType="begin"/>
    </w:r>
    <w:r w:rsidR="00844E9C">
      <w:rPr>
        <w:color w:val="4472C4" w:themeColor="accent1"/>
        <w:sz w:val="20"/>
        <w:szCs w:val="20"/>
      </w:rPr>
      <w:instrText>PAGE    \* MERGEFORMAT</w:instrText>
    </w:r>
    <w:r w:rsidRPr="00E66563">
      <w:rPr>
        <w:rFonts w:eastAsiaTheme="minorEastAsia"/>
        <w:color w:val="4472C4" w:themeColor="accent1"/>
        <w:sz w:val="20"/>
        <w:szCs w:val="20"/>
      </w:rPr>
      <w:fldChar w:fldCharType="separate"/>
    </w:r>
    <w:r w:rsidR="00FC6A67" w:rsidRPr="00FC6A67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7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4C7" w:rsidRDefault="008624C7" w:rsidP="00844E9C">
      <w:pPr>
        <w:spacing w:after="0" w:line="240" w:lineRule="auto"/>
      </w:pPr>
      <w:r>
        <w:separator/>
      </w:r>
    </w:p>
  </w:footnote>
  <w:footnote w:type="continuationSeparator" w:id="0">
    <w:p w:rsidR="008624C7" w:rsidRDefault="008624C7" w:rsidP="00844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DA" w:rsidRPr="001B37ED" w:rsidRDefault="007A77DA" w:rsidP="007A77DA">
    <w:pPr>
      <w:jc w:val="center"/>
      <w:rPr>
        <w:b/>
        <w:bCs/>
        <w:sz w:val="28"/>
        <w:szCs w:val="28"/>
      </w:rPr>
    </w:pPr>
    <w:r w:rsidRPr="001B37ED">
      <w:rPr>
        <w:b/>
        <w:bCs/>
        <w:sz w:val="28"/>
        <w:szCs w:val="28"/>
      </w:rPr>
      <w:t>Wdrożenie systemu wspomagania i automatyzacji procesów</w:t>
    </w:r>
    <w:r w:rsidR="00CD66E3">
      <w:rPr>
        <w:b/>
        <w:bCs/>
        <w:sz w:val="28"/>
        <w:szCs w:val="28"/>
      </w:rPr>
      <w:t xml:space="preserve"> wraz z dostawą komputerów</w:t>
    </w:r>
  </w:p>
  <w:p w:rsidR="007A77DA" w:rsidRDefault="007A77DA">
    <w:pPr>
      <w:pStyle w:val="Nagwek"/>
    </w:pPr>
  </w:p>
  <w:p w:rsidR="007A77DA" w:rsidRDefault="007A77DA" w:rsidP="00C933DE">
    <w:pPr>
      <w:pStyle w:val="Nagwek"/>
      <w:ind w:firstLine="70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70759"/>
    <w:rsid w:val="000729E0"/>
    <w:rsid w:val="000834C6"/>
    <w:rsid w:val="00141820"/>
    <w:rsid w:val="001B37ED"/>
    <w:rsid w:val="001D29E9"/>
    <w:rsid w:val="001F0B33"/>
    <w:rsid w:val="002303E3"/>
    <w:rsid w:val="00254CF6"/>
    <w:rsid w:val="00287E94"/>
    <w:rsid w:val="00384EBE"/>
    <w:rsid w:val="00482A2A"/>
    <w:rsid w:val="0048465E"/>
    <w:rsid w:val="00487316"/>
    <w:rsid w:val="004A3487"/>
    <w:rsid w:val="004D5086"/>
    <w:rsid w:val="00563CE3"/>
    <w:rsid w:val="005A4B38"/>
    <w:rsid w:val="00603490"/>
    <w:rsid w:val="00704EA0"/>
    <w:rsid w:val="007747B7"/>
    <w:rsid w:val="00776954"/>
    <w:rsid w:val="007A77DA"/>
    <w:rsid w:val="00826586"/>
    <w:rsid w:val="00844E9C"/>
    <w:rsid w:val="008624C7"/>
    <w:rsid w:val="0088078C"/>
    <w:rsid w:val="008A3CA0"/>
    <w:rsid w:val="008B1FEF"/>
    <w:rsid w:val="008B3EF4"/>
    <w:rsid w:val="009462F6"/>
    <w:rsid w:val="00971B31"/>
    <w:rsid w:val="009A3BBC"/>
    <w:rsid w:val="009B48ED"/>
    <w:rsid w:val="009C760A"/>
    <w:rsid w:val="009C7BD1"/>
    <w:rsid w:val="00A40C82"/>
    <w:rsid w:val="00A42193"/>
    <w:rsid w:val="00AA0A03"/>
    <w:rsid w:val="00B46262"/>
    <w:rsid w:val="00BE0A17"/>
    <w:rsid w:val="00C70759"/>
    <w:rsid w:val="00C933DE"/>
    <w:rsid w:val="00CB7FE8"/>
    <w:rsid w:val="00CD66E3"/>
    <w:rsid w:val="00CF2775"/>
    <w:rsid w:val="00D97828"/>
    <w:rsid w:val="00DF273E"/>
    <w:rsid w:val="00DF3E07"/>
    <w:rsid w:val="00E065DE"/>
    <w:rsid w:val="00E2673E"/>
    <w:rsid w:val="00E35E7E"/>
    <w:rsid w:val="00E66563"/>
    <w:rsid w:val="00EC3785"/>
    <w:rsid w:val="00FC6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6563"/>
  </w:style>
  <w:style w:type="paragraph" w:styleId="Nagwek1">
    <w:name w:val="heading 1"/>
    <w:basedOn w:val="Normalny"/>
    <w:next w:val="Normalny"/>
    <w:link w:val="Nagwek1Znak"/>
    <w:uiPriority w:val="9"/>
    <w:qFormat/>
    <w:rsid w:val="00C70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0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07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0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07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0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0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0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0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07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07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07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07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07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07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07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07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07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0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0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0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0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0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07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07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07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0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07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075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44E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84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E9C"/>
  </w:style>
  <w:style w:type="paragraph" w:styleId="Stopka">
    <w:name w:val="footer"/>
    <w:basedOn w:val="Normalny"/>
    <w:link w:val="StopkaZnak"/>
    <w:uiPriority w:val="99"/>
    <w:unhideWhenUsed/>
    <w:rsid w:val="00844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E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2082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 Ciura</dc:creator>
  <cp:lastModifiedBy>ksupierz</cp:lastModifiedBy>
  <cp:revision>2</cp:revision>
  <dcterms:created xsi:type="dcterms:W3CDTF">2026-11-02T12:36:00Z</dcterms:created>
  <dcterms:modified xsi:type="dcterms:W3CDTF">2026-11-02T12:36:00Z</dcterms:modified>
</cp:coreProperties>
</file>