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433" w:line="363" w:lineRule="auto"/>
        <w:ind w:left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Projekt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UMOWY NR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/SCH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/202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433" w:line="363" w:lineRule="auto"/>
        <w:ind w:firstLine="708" w:left="2517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dnia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……….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roku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06"/>
        <w:spacing/>
        <w:ind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 sprawie powierzenia realizacji zadania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— </w:t>
      </w:r>
      <w:bookmarkStart w:id="0" w:name="_Hlk60219505"/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Świadczenie usług schronienia wraz z całodobowym wyżywieniem dla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en-US"/>
        </w:rPr>
        <w:t xml:space="preserve">osób bezdomnych-mężczyzn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z terenu Gminy Leśna w 2027 roku</w:t>
      </w:r>
      <w:bookmarkEnd w:id="0"/>
      <w:r>
        <w:rPr>
          <w:sz w:val="20"/>
          <w:szCs w:val="20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</w:p>
    <w:p>
      <w:pPr>
        <w:spacing/>
        <w:ind w:right="50" w:lef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zawarta pomiędzy: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62" w:line="259" w:lineRule="auto"/>
        <w:ind w:right="50" w:lef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Gminą Leśna, ul. Rynek 19, 59-820 Leśna, NIP 613 000 48 50, reprezentowaną przez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0" w:hanging="324" w:left="7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Szymona Surmacza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—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Burmistrza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Leśnej ul.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Ul.Rynek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19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59-820 Leśna przy kontrasygnacie: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0" w:hanging="353" w:left="7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 Anny Niedźwiedź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—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Skarbnika Gminy Leśna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zwanym w dalszej treści umowy „Zamawiającym” a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………………………………………………………….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right="50" w:lef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zwanym w dalszej treści umowy "Wykonawcą”: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7"/>
        <w:spacing w:after="480" w:line="276" w:lineRule="auto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Niniejsza umowa została zawarta w oparciu o art. 275 pkt 1 Ustawy prawo zamówień publicznych (Dz.U z 202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.r. poz.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793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w wyniku udzielenia zamówienia oraz wyboru oferty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/>
        <w:ind w:right="50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§ 1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06"/>
        <w:spacing/>
        <w:ind/>
        <w:rPr>
          <w:rFonts w:ascii="Times New Roman" w:hAnsi="Times New Roman" w:cs="Times New Roman"/>
          <w:b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1. Przedmiotem umowy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zgodnie ze złożoną ofertą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jest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”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Świadczenie usług schronienia wraz z całodobowym wyżywieniem dla 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  <w:lang w:eastAsia="en-US"/>
        </w:rPr>
        <w:t xml:space="preserve">osób bezdomnych-mężczyzn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 z terenu Gminy Leśna w 2027 roku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”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 schronisku wraz z zapewnieniem niezbędnego ubrania ,niezbędnych waru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nków socjalnych, a także prowadzenie pracy socjalnej mającej na celu pomoc w załatwianiu podstawowych spraw życiowych, rozwinięcie i wzmocnienie aktywności i samodzielności, przywracanie do życia w środowisku lokalnym oraz usamodzielnienie osób bezdomnych.</w:t>
      </w:r>
      <w:r>
        <w:rPr>
          <w:rFonts w:ascii="Times New Roman" w:hAnsi="Times New Roman" w:eastAsia="Times New Roman" w:cs="Times New Roman"/>
          <w:b/>
          <w:color w:val="auto"/>
          <w:sz w:val="20"/>
          <w:szCs w:val="20"/>
        </w:rPr>
      </w:r>
    </w:p>
    <w:p>
      <w:pPr>
        <w:spacing w:after="120" w:line="240" w:lineRule="auto"/>
        <w:ind w:right="11"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2. Wykonawca zobowiązuje się do zapewnienia standardu obiektu i świadczonych usług osobom bezdomnym, skierowanym przez Zamawiającego do schroniska, zgodnych z rozporządzeniem Ministra Rodziny, Pracy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Polityki Społecznej z dnia 27 kwietnia 2018 roku w sprawie minimalnych standardów noclegowni, schronisk dla osób bezdomnych, schronisk dla osób bezdomnych z usługami opiekuńczymi i ogrzewalni (Dz. U. z 2018r. poz. 896 ze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right="11"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 Wykonawca w ramach przedmiotu niniejszej umowy zobowiązany jest do zapewnienia osobom skierowanym do schroniska: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1"/>
        </w:numPr>
        <w:tabs>
          <w:tab w:val="left" w:leader="none" w:pos="851"/>
        </w:tabs>
        <w:spacing w:after="0" w:line="240" w:lineRule="auto"/>
        <w:ind w:firstLine="0"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miejsca noclegowego,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1"/>
        </w:numPr>
        <w:tabs>
          <w:tab w:val="left" w:leader="none" w:pos="851"/>
        </w:tabs>
        <w:spacing w:after="0" w:line="240" w:lineRule="auto"/>
        <w:ind w:firstLine="0"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całodobowego wyżywienia,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1"/>
        </w:numPr>
        <w:tabs>
          <w:tab w:val="left" w:leader="none" w:pos="851"/>
        </w:tabs>
        <w:spacing w:after="0" w:line="240" w:lineRule="auto"/>
        <w:ind w:firstLine="0"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odzieży odpowiedniej do indywidualnych potrzeb osoby oraz pory roku,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1"/>
        </w:numPr>
        <w:tabs>
          <w:tab w:val="left" w:leader="none" w:pos="851"/>
        </w:tabs>
        <w:spacing w:after="0" w:line="240" w:lineRule="auto"/>
        <w:ind w:firstLine="0"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środków czystości,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1"/>
        </w:numPr>
        <w:tabs>
          <w:tab w:val="left" w:leader="none" w:pos="851"/>
        </w:tabs>
        <w:spacing w:after="120" w:line="240" w:lineRule="auto"/>
        <w:ind w:firstLine="0"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współpracy w realizacji „Programu wychodzenia z Bezdomności”.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right="11" w:left="66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4. Każdorazowe umieszczenie osoby bezdomnej w schronisku odbywać się będzie na podstawie skierowania oraz indywidualnej decyzji administracyjnej przyznającej tymczasowe schronienie w schronisku wyd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anych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przez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Burmistrza Leśnej.</w:t>
      </w:r>
      <w:r>
        <w:rPr>
          <w:rFonts w:ascii="Times New Roman" w:hAnsi="Times New Roman" w:eastAsia="Times New Roman" w:cs="Times New Roman"/>
          <w:color w:val="0070c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Dokumenty te będą przekazywane osobie kierowanej do schroniska w formie pisemnej pod rygorem nieważności osobiście lub za pośrednictwem operatora pocztowego.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</w:p>
    <w:p>
      <w:pPr>
        <w:spacing w:after="120" w:line="240" w:lineRule="auto"/>
        <w:ind w:right="11"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5. Dopuszcza się, w wyjątkowych przypadkach, możliwość przyjęcia do Schroniska, na podstawie zgłoszenia te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lefonicznego przez przedstawiciela Zamawiającego, osoby nie posiadającej skierowania lub decyzji, o których mowa w ust 4 niniejszego paragrafu. W takim przypadku Wykonawca zobowiązany jest do przyjęcia takiej osoby, natomiast Zamawiający uzupełni dokumenty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 formie pisemnej pod rygorem nieważności.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right="11"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6. Szacunkowa liczba osób wymagających schronienia skierowanych w ciągu roku kalendarzowego do schroniska dla bezdomnych prowadzonego przez Wykonawcę wynosi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9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osób (dzie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więć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Liczba osób skierowanych przez Zamawiającego do schroniska dla osób bezdomnych prowadzonego przez Wykonawcę w poszczególnych miesiącach obowiązywania umowy nie jest stała i nie jest uzależniona od Zamawiającego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spacing w:after="120" w:line="240" w:lineRule="auto"/>
        <w:ind w:right="11" w:left="6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7. Ze względu na specyfikę przedmiotu umowy, podana przez Zamawiającego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liczba osób jest wielkością szacunkową. Zamawiający zastrzega sobie możliwość zwiększenia liczby osób w zależności od faktycznych potrzeb w tym zakresie, a Wykonawcy z tego tytułu nie przysługują żadne roszczenia, w tym pieniężne, wobec Zamawiającego, co 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iniejszym Wykonawca potwierdza.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Zamawiający dokonuje opłaty za pobyt osób bezdomnych w schronisku za czas faktycznego pobytu osób bezdomnych tam skierowanych.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spacing w:after="120" w:line="240" w:lineRule="auto"/>
        <w:ind w:right="11" w:left="6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8. W przypadku niewykorzystania przez Zamawiającego pełnej oferowanej przez Wykonawcę puli miejsc, o której mowa w ust 6, Wykonawcy nie przysługują roszczenia finansowe z tego tytułu wobec  Zamawiającego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spacing w:after="120" w:line="240" w:lineRule="auto"/>
        <w:ind w:right="11" w:left="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9. W przypadku wykorzystania przez Zamawiającego liczby</w:t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miejsc powyżej limitu osób przebywających, o których mowa w ust. 6 niniejszego paragrafu Wykonawca jest  zobowiązany do utrzymania w gotowości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1 (jednego) miejsca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dla potrzeb Gminy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Leśna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0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6671945</wp:posOffset>
                </wp:positionH>
                <wp:positionV relativeFrom="page">
                  <wp:posOffset>640080</wp:posOffset>
                </wp:positionV>
                <wp:extent cx="3175" cy="3175"/>
                <wp:effectExtent l="0" t="0" r="0" b="0"/>
                <wp:wrapSquare wrapText="bothSides"/>
                <wp:docPr id="1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09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/>
                        <a:stretch/>
                      </pic:blipFill>
                      <pic:spPr bwMode="auto">
                        <a:xfrm>
                          <a:off x="0" y="0"/>
                          <a:ext cx="3175" cy="3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1312;o:allowoverlap:true;o:allowincell:true;mso-position-horizontal-relative:page;margin-left:525.35pt;mso-position-horizontal:absolute;mso-position-vertical-relative:page;margin-top:50.40pt;mso-position-vertical:absolute;width:0.25pt;height:0.25pt;mso-width-percent:0;mso-width-relative:page;mso-height-percent:0;mso-height-relative:page;mso-wrap-distance-left:9.00pt;mso-wrap-distance-top:0.00pt;mso-wrap-distance-right:9.00pt;mso-wrap-distance-bottom:0.00pt;z-index:1;" stroked="false">
                <w10:wrap type="square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10. Miejscem świadczenia usług schronienia jest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……………………………………………..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120" w:line="240" w:lineRule="auto"/>
        <w:ind w:right="11"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§2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numPr>
          <w:ilvl w:val="0"/>
          <w:numId w:val="13"/>
        </w:numPr>
        <w:spacing w:after="120" w:line="240" w:lineRule="auto"/>
        <w:ind w:right="11" w:hanging="357"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Zamawiający zastrzega sobie prawo do bieżącego sprawowania nadzoru nad realizacją niniejszej umowy, a w szczególności do: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4"/>
        </w:numPr>
        <w:tabs>
          <w:tab w:val="left" w:leader="none" w:pos="851"/>
        </w:tabs>
        <w:spacing w:after="0" w:line="256" w:lineRule="auto"/>
        <w:ind w:right="11" w:hanging="357" w:left="8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kontroli dokumentacji podopiecznych,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4"/>
        </w:numPr>
        <w:tabs>
          <w:tab w:val="left" w:leader="none" w:pos="851"/>
        </w:tabs>
        <w:spacing w:after="0" w:line="256" w:lineRule="auto"/>
        <w:ind w:right="11" w:hanging="357" w:left="8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kontroli warunków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socjalno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— bytowych,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4"/>
        </w:numPr>
        <w:tabs>
          <w:tab w:val="left" w:leader="none" w:pos="851"/>
        </w:tabs>
        <w:spacing w:after="120" w:line="240" w:lineRule="auto"/>
        <w:ind w:right="11" w:hanging="357"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kontroli prowadzonej pracy socjalnej.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0"/>
          <w:numId w:val="13"/>
        </w:numPr>
        <w:spacing w:after="120" w:line="240" w:lineRule="auto"/>
        <w:ind w:right="11" w:hanging="357"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Wykonawca zobowiązuje się do: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5"/>
        </w:numPr>
        <w:tabs>
          <w:tab w:val="left" w:leader="none" w:pos="851"/>
        </w:tabs>
        <w:spacing w:after="0" w:line="240" w:lineRule="auto"/>
        <w:ind w:right="11" w:hanging="357" w:left="8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współpracy 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Centrum Usług Społecznych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w Leśnej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zakresie realizacji indywidualnych programów wychodzen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bezdomności i zawartych kontraktów socjalnych,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5"/>
        </w:numPr>
        <w:tabs>
          <w:tab w:val="left" w:leader="none" w:pos="851"/>
        </w:tabs>
        <w:spacing w:after="0" w:line="240" w:lineRule="auto"/>
        <w:ind w:right="11" w:hanging="357" w:left="8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niezwłocznego pisemnego informowania o wydaleniu osoby bezdomnej z placówki z podaniem przyczyny,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1"/>
          <w:numId w:val="15"/>
        </w:numPr>
        <w:tabs>
          <w:tab w:val="left" w:leader="none" w:pos="851"/>
        </w:tabs>
        <w:spacing w:after="120" w:line="240" w:lineRule="auto"/>
        <w:ind w:right="11" w:hanging="357" w:left="8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niezwłocznego informowania Zamawiającego o innych istotnych kwestiach dotyczących osoby bezdomnej, mających wpływ na wydaną decyzję np. sytuacja zawodowa lub finansowa osoby bezdomnej.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3.   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Zamawiający na podstawie art. 95 ust. 1 ustawy z dnia 11 września 2019 r. - Prawo zamówień publicznych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 (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 Dz. U 202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6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r. poz. 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793</w:t>
      </w:r>
      <w:r>
        <w:rPr>
          <w:rFonts w:ascii="Times New Roman" w:hAnsi="Times New Roman" w:eastAsia="Times New Roman" w:cs="Times New Roman"/>
          <w:sz w:val="20"/>
          <w:szCs w:val="20"/>
          <w:lang w:eastAsia="hi-IN" w:bidi="hi-IN"/>
        </w:rPr>
        <w:t xml:space="preserve">) wymaga zatrudnienia przez Wykonawcę na podstawie stosunku pracy osób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wykonujących wszelkie czynności wchodzące w tzw. koszty bezpośrednie. Wymóg ten dotyczy osób, które wykonują czynności bezpośrednio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związane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opieką nad podopiecznymi, prowadzeniem pracy socjalnej oraz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terapeutycznej.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eastAsia="Times New Roman" w:cs="Times New Roman"/>
          <w:sz w:val="20"/>
          <w:szCs w:val="20"/>
          <w:highlight w:val="none"/>
          <w:lang w:bidi="pl-PL"/>
        </w:rPr>
      </w:pPr>
      <w:r>
        <w:rPr>
          <w:rFonts w:ascii="Times New Roman" w:hAnsi="Times New Roman" w:eastAsia="Times New Roman" w:cs="Times New Roman"/>
          <w:sz w:val="20"/>
          <w:szCs w:val="20"/>
          <w:lang w:bidi="pl-PL"/>
        </w:rPr>
        <w:t xml:space="preserve">4.    Wykonawca oświadcza, że osoby, o których mowa w ust. 3 są zatrudnione na podstawie umowy o pracę w rozumieniu </w:t>
      </w:r>
      <w:r>
        <w:rPr>
          <w:rFonts w:ascii="Times New Roman" w:hAnsi="Times New Roman" w:eastAsia="Times New Roman" w:cs="Times New Roman"/>
          <w:sz w:val="20"/>
          <w:szCs w:val="20"/>
          <w:lang w:eastAsia="en-US" w:bidi="en-US"/>
        </w:rPr>
        <w:t xml:space="preserve">art. </w:t>
      </w:r>
      <w:r>
        <w:rPr>
          <w:rFonts w:ascii="Times New Roman" w:hAnsi="Times New Roman" w:eastAsia="Times New Roman" w:cs="Times New Roman"/>
          <w:sz w:val="20"/>
          <w:szCs w:val="20"/>
          <w:lang w:bidi="pl-PL"/>
        </w:rPr>
        <w:t xml:space="preserve">22 § 1 Kodeksu pracy  z dnia 26 czerwca 1974 r.</w:t>
      </w:r>
      <w:r>
        <w:rPr>
          <w:rFonts w:ascii="Times New Roman" w:hAnsi="Times New Roman" w:cs="Times New Roman"/>
          <w:sz w:val="20"/>
          <w:szCs w:val="20"/>
        </w:rPr>
      </w:r>
    </w:p>
    <w:p w14:paraId="2CB39B4B">
      <w:pPr>
        <w:spacing w:after="0" w:line="240" w:lineRule="auto"/>
        <w:ind w:right="0" w:firstLine="0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związku z powyższym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ykonawca musi na żądanie zamawiającego przedstawić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dokumenty potwierdzające zatrudnianie tych osób na umowę o pracę, np.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/>
      <w:r>
        <w:rPr>
          <w:rFonts w:ascii="Times New Roman" w:hAnsi="Times New Roman" w:cs="Times New Roman"/>
          <w:sz w:val="20"/>
          <w:szCs w:val="20"/>
        </w:rPr>
      </w:r>
    </w:p>
    <w:p w14:paraId="43CACCB8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1) oświadczenie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zatrudnionego pracownika lub;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462AB652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oświadczenia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ykonawcy lub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odwykonawcy o zatrudnieniu pracow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nika na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podstawie umowy o pracę, lub;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19341A8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poświadczoną za zgodność z oryginałem kopię umowy o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pracę zatrudnionego pracownika, lub;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811F73F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inne dokumenty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5C900B0A">
      <w:pPr>
        <w:spacing w:after="0" w:line="240" w:lineRule="auto"/>
        <w:ind w:right="0" w:firstLine="0" w:left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- zawierające informacje, w tym dane osobowe, niezbędne do weryfikacji zatrudnienia na podstawie umowy o pracę, w szczególności imię i nazwisko zatrudnionego pracownika, datę zawarci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 umowy o pracę, rodzaj umowy o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pracę oraz zakres obowiązków pracownika.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ar-SA"/>
        </w:rPr>
        <w:t xml:space="preserve">5.   Wykonawca przedstawiając ww. dokumenty powinien przekazać je</w:t>
      </w:r>
      <w:r>
        <w:rPr>
          <w:rFonts w:ascii="Times New Roman" w:hAnsi="Times New Roman" w:eastAsia="Times New Roman" w:cs="Times New Roman"/>
          <w:sz w:val="20"/>
          <w:szCs w:val="20"/>
          <w:lang w:eastAsia="ar-SA"/>
        </w:rPr>
        <w:t xml:space="preserve"> w sposób nienaruszający przepisów dotyczących ochrony danych osobowych (tj. dokumenty powinny mieć odpowiednio zanonimizowane dane, które nie są niezbędne  do potwierdzenia formy zatrudnienia np. w zakresie adresu osoby fizycznej, jej wynagrodzenia itp.).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bidi="pl-PL"/>
        </w:rPr>
        <w:t xml:space="preserve">6.  W przypadku uzasadnionych wątpliwości, co do przestrzegania prawa pracy przez Wykonawcę Zamawiający może zwrócić się o przeprowadzenie kontroli przez Państwową Inspekcję Pracy.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120" w:line="240" w:lineRule="auto"/>
        <w:ind w:right="11"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§3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9"/>
        <w:spacing w:after="120" w:line="240" w:lineRule="auto"/>
        <w:ind w:right="11"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9"/>
        <w:numPr>
          <w:ilvl w:val="0"/>
          <w:numId w:val="1"/>
        </w:numPr>
        <w:spacing w:after="120" w:line="240" w:lineRule="auto"/>
        <w:ind w:right="96" w:hanging="357" w:left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Wykonawca oświadcza, iż c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ena dziennego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kosztu pobytu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(1) jednej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osoby w schronisku z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całodobowym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wyżywieniem uwzględnia wzrost minimalnego wynagrodzenia w cał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ym 2026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roku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  <w:p>
      <w:pPr>
        <w:pStyle w:val="819"/>
        <w:spacing w:after="120" w:line="240" w:lineRule="auto"/>
        <w:ind w:right="96" w:left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  <w:p>
      <w:pPr>
        <w:pStyle w:val="819"/>
        <w:numPr>
          <w:ilvl w:val="0"/>
          <w:numId w:val="1"/>
        </w:numPr>
        <w:spacing w:after="120" w:line="240" w:lineRule="auto"/>
        <w:ind w:right="96" w:hanging="357" w:left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Dzienny koszt pobytu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jednej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osoby w schronisku z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całodobowym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wyżywieniem ustala się na kwotę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……..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złotych brutto 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słownie: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……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  <w:p>
      <w:pPr>
        <w:numPr>
          <w:ilvl w:val="0"/>
          <w:numId w:val="1"/>
        </w:numPr>
        <w:spacing w:after="120" w:line="259" w:lineRule="auto"/>
        <w:ind w:right="14" w:left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Ustala się dzienną stawkę za utrzymanie w gotowości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jednego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miejsca w schronisku w kwocie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12,00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złotych brutto (słownie: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dwanaście  złotych zero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groszy).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0"/>
          <w:numId w:val="1"/>
        </w:numPr>
        <w:spacing w:after="120" w:line="259" w:lineRule="auto"/>
        <w:ind w:right="14" w:left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Rozliczenie usług przez Wykonawcę następować będzie co miesiąc w terminie do 10 dnia następnego miesiąca,  z wyłączeniem miesiąca grudnia 2026 roku, za który rozliczenie nastąpi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do 30 grudnia 2027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0"/>
          <w:numId w:val="1"/>
        </w:numPr>
        <w:spacing w:after="120" w:line="259" w:lineRule="auto"/>
        <w:ind w:right="14" w:left="42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Zamawiający zobowiązuje się do pokrywania kosztów pobytu osób skierowanych wyłącznie za czas faktycznego przebywania w schronisku.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numPr>
          <w:ilvl w:val="0"/>
          <w:numId w:val="1"/>
        </w:numPr>
        <w:spacing w:after="120" w:line="259" w:lineRule="auto"/>
        <w:ind w:right="14" w:left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Podstawą rozliczenia będzie wystawiona faktura VAT, nota księgowa lub rachunek wraz z załączonym imiennym wykazem osób objętych schronieniem i ilością dni udzielonego schronienia.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0"/>
          <w:numId w:val="1"/>
        </w:numPr>
        <w:spacing w:after="120" w:line="259" w:lineRule="auto"/>
        <w:ind w:right="96" w:left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Kwota odpłatności za pobyt w placówce jest naliczana za faktycznie zrealizowany pobyt osoby w placówce. Koszt jest obliczany jako iloczyn ilości dni pobytu oraz stawki dziennej, o której mowa w ust 1 niniejszego paragrafu.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"/>
        </w:numPr>
        <w:spacing w:after="120"/>
        <w:ind w:right="14" w:left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Opłatę miesięczną za utrzymanie gotowoś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ci miejsca w schronisku stanowi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iloczyn stawki dzie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nnej, o której mowa  w pkt 3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niniejszego paragrafu i ilość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dni gotowości w danym miesiącu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kalendarzowym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0"/>
          <w:numId w:val="1"/>
        </w:numPr>
        <w:spacing w:after="120"/>
        <w:ind w:right="14" w:left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Opłata za utrzymanie miejsca w gotowości jest stosowana w sytuacji niewykorzystania z zabezpieczonego dla potrzeb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Centrum Usług Społecznych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miejsca w schronisku.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10.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W przypadku przyjęcia osoby bezdomnej do schroniska, wynagrodzenie za pozostawienie w gotowości miejsca nie będzie uiszczane w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pełnej wysokości, tj. zostanie pomniejszone o czas pobytu osoby bezdomnej w schronisku. W związku z tym, kwota wskazana w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ust.3 niniejszego paragrafu zostanie  proporcjonalnie pomniejszona o liczbę dni, w których osoba bezdomna przebywała w schronisku.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spacing w:after="0" w:line="240" w:lineRule="auto"/>
        <w:ind w:left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</w:r>
    </w:p>
    <w:p>
      <w:pPr>
        <w:spacing w:after="0" w:line="240" w:lineRule="auto"/>
        <w:ind w:right="14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Wykonawca wystawi fakturę. notę księgową lub rachunek wskazując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poniższe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dane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     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277" w:hanging="1022" w:left="177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277" w:hanging="1022" w:left="177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nabywca: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Gmina Leśna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5277" w:hanging="1022" w:left="177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ul. Rynek 19</w:t>
      </w:r>
      <w:r>
        <w:rPr>
          <w:rFonts w:ascii="Times New Roman" w:hAnsi="Times New Roman" w:cs="Times New Roman"/>
          <w:sz w:val="20"/>
          <w:szCs w:val="20"/>
        </w:rPr>
      </w:r>
    </w:p>
    <w:p w14:paraId="15FCB9C4">
      <w:pPr>
        <w:spacing/>
        <w:ind w:right="5277" w:hanging="1022" w:left="177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59-820 Leśna</w:t>
      </w:r>
      <w:r>
        <w:rPr>
          <w:rFonts w:ascii="Times New Roman" w:hAnsi="Times New Roman" w:cs="Times New Roman"/>
          <w:sz w:val="20"/>
          <w:szCs w:val="20"/>
        </w:rPr>
      </w:r>
      <w:r/>
    </w:p>
    <w:p>
      <w:pPr>
        <w:spacing w:after="429"/>
        <w:ind w:right="50" w:firstLine="708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NIP 613-000-48-50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2635" w:firstLine="0"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odbiorca: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Centrum Usług Społecznych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Leśnej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 w:right="2635" w:firstLine="0"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ul.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Tadeusza Kościuszki 7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numPr>
          <w:ilvl w:val="1"/>
          <w:numId w:val="16"/>
        </w:numPr>
        <w:spacing w:after="0"/>
        <w:ind w:right="2635" w:firstLine="0"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Leśna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ind w:right="14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360" w:line="256" w:lineRule="auto"/>
        <w:ind w:right="11" w:left="14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12.  Płatn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ość dokonywana będzie przelewem na rachunek bankowy Wykonawcy wskazany na fakturze, nocie księgowej lub rachunku w terminie do 14 dni licząc od daty doręczenia Zamawiającemu prawidłowo wystawionej faktury, noty księgowej lub rachunku.</w:t>
      </w:r>
      <w:r>
        <w:rPr>
          <w:rFonts w:ascii="Times New Roman" w:hAnsi="Times New Roman" w:cs="Times New Roman"/>
          <w:sz w:val="20"/>
          <w:szCs w:val="20"/>
        </w:rPr>
      </w:r>
    </w:p>
    <w:p w14:paraId="11CF1E2A">
      <w:pPr>
        <w:spacing w:after="360" w:line="256" w:lineRule="auto"/>
        <w:ind w:right="11" w:left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§4</w:t>
      </w:r>
      <w:r>
        <w:rPr>
          <w:rFonts w:ascii="Times New Roman" w:hAnsi="Times New Roman" w:cs="Times New Roman"/>
          <w:sz w:val="20"/>
          <w:szCs w:val="20"/>
        </w:rPr>
      </w:r>
      <w:r/>
    </w:p>
    <w:p>
      <w:pPr>
        <w:pStyle w:val="817"/>
        <w:numPr>
          <w:ilvl w:val="0"/>
          <w:numId w:val="2"/>
        </w:numPr>
        <w:spacing w:after="120"/>
        <w:ind w:hanging="425" w:left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Umowa zostaje zawarta na czas określony tj. od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0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1 stycznia 2027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roku do 31 grudnia 202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7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roku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7"/>
        <w:numPr>
          <w:ilvl w:val="0"/>
          <w:numId w:val="2"/>
        </w:numPr>
        <w:spacing w:after="120"/>
        <w:ind w:hanging="425" w:left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W przypadku niewykonywania lub nienależytego wykonywania przez Wykonawcę przedmiotu umowy opisanego w §1 umowy,  Zamawiający  wyznaczy Wykonawcy odpowiedni termin do usunięcia stwi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erdzonych uchybień, z zastrzeżeniem, że jeżeli stwierdzone przez Zamawiającego uchybienia nie zostaną w wyznaczonym terminie usunięte, to wówczas Zamawiający jest uprawniony do rozwiązania umowy w trybie natychmiastowym bez zachowania okresu wypowiedzenia.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17"/>
        <w:numPr>
          <w:ilvl w:val="0"/>
          <w:numId w:val="2"/>
        </w:numPr>
        <w:spacing w:after="120"/>
        <w:ind w:hanging="425" w:left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Zamawiający jest uprawniony do rozwiązania umowy ze skutkiem natychmiastowym bez zachowania okresu wypowiedzenia również w przypadku, gdy stwierdzone przez Zamawiającego uchybienia będą się powtarzać.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17"/>
        <w:numPr>
          <w:ilvl w:val="0"/>
          <w:numId w:val="2"/>
        </w:numPr>
        <w:spacing w:after="120"/>
        <w:ind w:hanging="425" w:left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Zamawiający jest uprawniony do rozwi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ązania umowy ze skutkiem natychmiastowym bez zachowania okresu wypowiedzenia  również w przypadku rażącego lub uporczywego naruszania przez Wykonawcę postanowień niniejszej umowy innych niż dotyczące świadczenia schronienia przez Wykonawcę.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05"/>
        <w:keepNext w:val="false"/>
        <w:keepLines w:val="false"/>
        <w:widowControl w:val="false"/>
        <w:spacing w:after="120" w:line="240" w:lineRule="auto"/>
        <w:ind w:right="142" w:hanging="11" w:left="45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val="pl-PL"/>
        </w:rPr>
        <w:t xml:space="preserve">§5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val="pl-PL"/>
        </w:rPr>
      </w:r>
    </w:p>
    <w:p>
      <w:pPr>
        <w:pStyle w:val="819"/>
        <w:numPr>
          <w:ilvl w:val="0"/>
          <w:numId w:val="3"/>
        </w:numPr>
        <w:spacing/>
        <w:ind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W przypadku rozwiązania umowy przez Wykonawcę prze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d upływem terminu na jaki umowa została zawarta, jak również  w przypadku odstąpienia przez Wykonawcę  od umowy z przyczyn leżących po stronie Wykonawcy, Wykonawca zapłaci Zamawiającemu karę umowną w wysokości brutto 10% wartości przedmiotu umowy w kwocie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………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zł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(słownie :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……..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).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19"/>
        <w:numPr>
          <w:ilvl w:val="0"/>
          <w:numId w:val="3"/>
        </w:numPr>
        <w:spacing/>
        <w:ind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Wykonawca wyrażą zgodę na potrącenie kar  umownych z należnego mu wynagrodzenia.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05"/>
        <w:keepNext w:val="false"/>
        <w:keepLines w:val="false"/>
        <w:widowControl w:val="false"/>
        <w:spacing w:after="120" w:line="240" w:lineRule="auto"/>
        <w:ind w:right="142" w:firstLine="281" w:left="4675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§6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</w:r>
    </w:p>
    <w:p>
      <w:pPr>
        <w:pStyle w:val="819"/>
        <w:numPr>
          <w:ilvl w:val="0"/>
          <w:numId w:val="4"/>
        </w:numPr>
        <w:shd w:val="clear" w:color="auto" w:fill="ffffff"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Na podstawie  art. 439- 455 ustawy Prawo Z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amówień Publicznych (Dz.U z 2026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r. poz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793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) Zamawiający dopuszcza zmiany postanowień umowy w stosunku do treści oferty, na podstawie której dokonano wyboru wykonawcy w przypadku: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</w:r>
    </w:p>
    <w:p>
      <w:pPr>
        <w:pStyle w:val="819"/>
        <w:shd w:val="clear" w:color="auto" w:fill="ffffff"/>
        <w:spacing w:after="0" w:line="240" w:lineRule="auto"/>
        <w:ind w:left="40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</w:r>
    </w:p>
    <w:p>
      <w:pPr>
        <w:numPr>
          <w:ilvl w:val="0"/>
          <w:numId w:val="5"/>
        </w:numPr>
        <w:tabs>
          <w:tab w:val="left" w:leader="none" w:pos="851"/>
        </w:tabs>
        <w:spacing w:after="0" w:line="240" w:lineRule="auto"/>
        <w:ind w:hanging="249" w:left="674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zmiany - zwiększenia liczby osób wymagających schronienia 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numPr>
          <w:ilvl w:val="0"/>
          <w:numId w:val="5"/>
        </w:numPr>
        <w:tabs>
          <w:tab w:val="left" w:leader="none" w:pos="743"/>
          <w:tab w:val="left" w:leader="none" w:pos="851"/>
          <w:tab w:val="num" w:leader="none" w:pos="2007"/>
        </w:tabs>
        <w:spacing w:after="0" w:line="240" w:lineRule="auto"/>
        <w:ind w:hanging="249" w:left="674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zmiany obowiązującego prawa;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numPr>
          <w:ilvl w:val="0"/>
          <w:numId w:val="5"/>
        </w:numPr>
        <w:tabs>
          <w:tab w:val="left" w:leader="none" w:pos="743"/>
          <w:tab w:val="left" w:leader="none" w:pos="851"/>
          <w:tab w:val="num" w:leader="none" w:pos="2007"/>
        </w:tabs>
        <w:spacing w:after="0" w:line="240" w:lineRule="auto"/>
        <w:ind w:hanging="249" w:left="674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ustawowej zmiany stawki podatku od towarów i usług;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numPr>
          <w:ilvl w:val="0"/>
          <w:numId w:val="5"/>
        </w:numPr>
        <w:tabs>
          <w:tab w:val="left" w:leader="none" w:pos="743"/>
          <w:tab w:val="left" w:leader="none" w:pos="851"/>
          <w:tab w:val="num" w:leader="none" w:pos="2007"/>
        </w:tabs>
        <w:spacing w:after="0" w:line="240" w:lineRule="auto"/>
        <w:ind w:hanging="252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zmiany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danych identyfikujących Wykonawcę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numPr>
          <w:ilvl w:val="0"/>
          <w:numId w:val="5"/>
        </w:numPr>
        <w:tabs>
          <w:tab w:val="left" w:leader="none" w:pos="743"/>
          <w:tab w:val="left" w:leader="none" w:pos="851"/>
          <w:tab w:val="num" w:leader="none" w:pos="2007"/>
        </w:tabs>
        <w:spacing w:after="0" w:line="240" w:lineRule="auto"/>
        <w:ind w:hanging="252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zmiany kosztów  związanych z realizacją umowy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numPr>
          <w:ilvl w:val="0"/>
          <w:numId w:val="5"/>
        </w:numPr>
        <w:tabs>
          <w:tab w:val="left" w:leader="none" w:pos="743"/>
          <w:tab w:val="left" w:leader="none" w:pos="851"/>
          <w:tab w:val="num" w:leader="none" w:pos="2007"/>
        </w:tabs>
        <w:spacing w:after="0" w:line="240" w:lineRule="auto"/>
        <w:ind w:hanging="252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zmiany wysokości minimalnego wynagrodzenia za pracę 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tabs>
          <w:tab w:val="left" w:leader="none" w:pos="743"/>
          <w:tab w:val="left" w:leader="none" w:pos="851"/>
        </w:tabs>
        <w:spacing w:after="0" w:line="240" w:lineRule="auto"/>
        <w:ind w:left="67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pStyle w:val="819"/>
        <w:numPr>
          <w:ilvl w:val="0"/>
          <w:numId w:val="4"/>
        </w:numPr>
        <w:spacing w:after="12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Zamawiający dopuszcza możliwość zmiany istotnych p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ostanowień zawartej umowy w stosunku do treści oferty,  na podstawie której dokonano wyboru Wykonawcy w przypadku wprowadzenia w życie, po podpisaniu umowy, regulacji  prawnych wywołujących potrzebę zmiany umowy wraz ze skutkami wprowadzenia takiej zmiany.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pStyle w:val="819"/>
        <w:numPr>
          <w:ilvl w:val="0"/>
          <w:numId w:val="4"/>
        </w:numPr>
        <w:spacing w:after="12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Wprowadzone zmiany do umowy wymagają zawarcia stosownego aneksu do umowy w formie pisemnej pod rygorem nieważności.  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pStyle w:val="819"/>
        <w:numPr>
          <w:ilvl w:val="0"/>
          <w:numId w:val="4"/>
        </w:numPr>
        <w:spacing w:after="12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Do zmiany umowy dojść może jedynie w rezultacie złożenia zgodnego oświadczenia woli przez wszystkie jej strony. Wyżej wymienione zapisy nie przyznają Wykonawcy jakiegokolwiek roszczenia o zmianę zawartej umowy.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pStyle w:val="819"/>
        <w:numPr>
          <w:ilvl w:val="0"/>
          <w:numId w:val="4"/>
        </w:numPr>
        <w:spacing w:after="12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Nie stanowi istotnej zmiany umowy w rozu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mieniu art. 455  ustawy Prawo zamówień publicznych,  w szczególności: zmiana danych związanych z obsługą administracyjno-organizacyjną umowy (np.: zmiana rachunku bankowego), zmiana danych teleadresowych oraz osób wskazanych  do kontaktów między stronami. 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pStyle w:val="819"/>
        <w:numPr>
          <w:ilvl w:val="0"/>
          <w:numId w:val="4"/>
        </w:numPr>
        <w:spacing w:after="12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Na zasadzie art. 439 ust. 1 ustawy Prawo zamówień publicznych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(Dz.U z 202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6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r. poz.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793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w przypadku zmiany ceny materiałów lub kosztów związanych z realizacją umowy, Strony dopuszczają zmianę wynagrodzenia umownego Wykonawcy wskazanego w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 xml:space="preserve">§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ffffff" w:themeFill="background1"/>
        </w:rPr>
        <w:t xml:space="preserve"> 3  ust. 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(tj. zmianę kosztu jednego dnia pobytu) jeśli zmiana ta miała wpływ na realizację usług objętych przedmiotem umowy (dalej także jako: „waloryzacja wynagrodzenia”). 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7.  Waloryzacja ceny jednego dnia pobytu osoby bezdomnej będzie odbywać się na podstawie odesłania do wskaźnika cen towarów i usług konsumpcyjnych w I półroczu 202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r. w stosunku do I półrocza 2026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na podstawie komunikatu Prezesa GUS w stosunku do roku ubiegłego. W sytuacji gdy wspomniany wskaźnik (tj. wzrost cen) osiągnie wysokość ponad 7%, Strony uprawnione są do żądania zmiany wynagrodzenia do 3 % wartości wynagrodzenia wskazanego w § 3 ust. 2.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8.  Termin waloryzacji wynagrodzenia ustala się na dzień złożonego i zaakceptowanego wniosku przez Strony o waloryzację wynagrodzenia umownego (zmniejszenie/zwiększenie).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9.  Waloryzacja ceny jednego dnia pobytu dopuszczona jest jeden raz w roku kalendarzowym. Pierwsza waloryzacja może nastąpić po upływie 6 miesięcy od dnia podpisania umowy, przy spełnieniu wszystkich wymogów opisanych w niniejszej umowie.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10. Waloryzacja wynagrodzenia może nastąpić pod warunkiem, że zmiana cen związanych z realizacją umowy ma rzeczywisty wpływ   na koszt wykonania niniejszej umowy.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11. Wykazanie wpływu zmiany ceny materiałów lub kosztów, o których mowa w ust. 5 i 6 niniejszego paragrafu na koszt wykonania umowy należy do Strony wnioskującej, pod rygorem odmowy dokonania zmiany umowy.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12. W sytuacji wystąpienia okoliczności uprawniających do zmiany wynagrodzenia, Strony nawzajem są względem siebie up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rawnione do złożenia pisemnego wniosku o zmianę umowy w zakresie płatności dotyczących okresu, za który waloryzacja ma nastąpić. Wniosek powinien zawierać wyczerpujące uzasadnienie faktyczne i wskazanie odpowiedniego wskaźnika GUS, będą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cego podstawa takiego żądania wraz z potwierdzeniem, że nastąpiła jego zmiana uzasadniająca żądanie. Ponadto wraz z wnioskiem należy podać dokładne wyliczenie kwoty wynagrodzenia po zmianie umowy, w szczególności należy wykazać związek pomiędzy wnioskowaną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kwotą zmiany wynagrodzenia a wpływem zmiany kosztów realizacji umowy na kalkulację wynagrodzenia. Ponadto w przypadku żądania podwyższenia wynagrodzenia należy również przedstawić dowody ich poniesienia w zwiększonej wysokości.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13. Zamawiający dopuszcza możliwości zmiany umowy w zakresie wynagrodzenia</w:t>
      </w: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przypadku zmiany wysokości minimalnego wynagrodzenia za pracę  albo minimalnej stawki godzinowej ustalonych na podstawie przepisów ustawy z dnia 10 października 2002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r.o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minimalnym wynagrodzeniu za pracę ( Dz.U z 2024r, poz. 1733) lub w przypadku zmiany za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sad podlegania ubezpieczeniom społecznym lub ubezpieczeniu zdrowotnemu lub wysokości stawki składki na ubezpieczenie społeczne lub zdrowotne albo w przypadku zmiany zasad gromadzenia i wysokości wpłat do pracowniczych planów kapitałowych, o których mowa w </w:t>
      </w:r>
      <w:hyperlink r:id="rId14" w:tooltip="http://10.160.74.242/lex/index.rpc#hiperlinkText.rpc?hiperlink=type=tresc:nro=Powszechny.2156968&amp;full=1" w:anchor="hiperlinkText.rpc?hiperlink=type=tresc:nro=Powszechny.2156968&amp;full=1" w:history="1">
        <w:r>
          <w:rPr>
            <w:rStyle w:val="835"/>
            <w:rFonts w:ascii="Times New Roman" w:hAnsi="Times New Roman" w:eastAsia="Times New Roman" w:cs="Times New Roman"/>
            <w:color w:val="000000" w:themeColor="text1"/>
            <w:sz w:val="20"/>
            <w:szCs w:val="20"/>
            <w:u w:val="none"/>
          </w:rPr>
          <w:t xml:space="preserve">ustawie</w:t>
        </w:r>
      </w:hyperlink>
      <w:r>
        <w:rPr>
          <w:rFonts w:ascii="Times New Roman" w:hAnsi="Times New Roman" w:eastAsia="Times New Roman" w:cs="Times New Roman"/>
          <w:sz w:val="20"/>
          <w:szCs w:val="20"/>
        </w:rPr>
        <w:t xml:space="preserve"> z dnia 4 października 2018 r. o pracowniczych planach kapitałowych ( Dz.U z 202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poz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192 ze zmianami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- jeżeli zmiany te będą miały wpływ na koszty wykonania zamówienia przez Wykonawcę. 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W takiej sytuacji Wykonawca przedstawi Zamawiającemu pi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semny wniosek zawierający uzasadnienie zmiany wysokości wynagrodzenia Wykonawcy i szczegółowy sposób wyliczenia nowych kwot w odniesieniu do ilości pracowników zatrudnionych na umowę o prace lub na podstawie umów cywilnoprawnych przy rea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lizacji przedmiotu umowy i minimalnego wynagrodzenia za pracę lub minimalnej stawki godzinowej albo obciążeń publicznoprawnych lub wpłat na pracownicze plany kapitałowe. Zamawiający dokona weryfikacji przedłożonego wniosku pod kątem jego zgodności ze stane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m faktycznym i prawnym. W przypadku braku zgodnego stanowiska Stron umowy w zakresie wpływu zmian regulacji ustawowych na koszty realizacji przedmiotu umowy, Strony przystąpią do negocjacji w przedmiocie ustalenia poziomu zmiany wynagrodzenia Wykonawcy, pr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zy czym dopuszczalna jest maksymalnie zmiana proporcjonalna do poziomu wynikającego ze zmiany wysokości minimalnego wynagrodzenia lub minimalnej stawki godzinowej albo zmiany wysokości obciążeń publicznoprawnych lub wpłat  na pracownicze plany kapitałowe.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right="79"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§7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ind w:right="57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1.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W sprawach nieuregulowanych niniejszą umową mają zastosowanie przepisy Kodeksu Cywilnego, Ustawy Prawo Zamówień Publicznych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Dz.U z 202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6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r.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poz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793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pl-PL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i aktów wykonawczych wydanych na jej podstawie  oraz ustawy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z dnia 12 marca 2004 roku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o pomocy społecznej.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ind w:right="57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Załącznik do niniejszej umowy stanowi umowa powierzenia danych osobowych.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ind w:right="57"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05"/>
        <w:keepNext w:val="false"/>
        <w:keepLines w:val="false"/>
        <w:widowControl w:val="false"/>
        <w:spacing w:after="120" w:line="240" w:lineRule="auto"/>
        <w:ind w:hanging="11" w:left="4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§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 w:eastAsia="pl-PL"/>
        </w:rPr>
        <w:t xml:space="preserve">8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 w:eastAsia="pl-P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620" cy="7620"/>
                <wp:effectExtent l="0" t="0" r="0" b="0"/>
                <wp:docPr id="2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4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/>
                        <a:stretch/>
                      </pic:blipFill>
                      <pic:spPr bwMode="auto">
                        <a:xfrm>
                          <a:off x="0" y="0"/>
                          <a:ext cx="7620" cy="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0.60pt;height:0.60pt;mso-wrap-distance-left:0.00pt;mso-wrap-distance-top:0.00pt;mso-wrap-distance-right:0.00pt;mso-wrap-distance-bottom:0.00pt;z-index:1;" stroked="f"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</w:r>
    </w:p>
    <w:p>
      <w:pPr>
        <w:spacing w:after="360" w:line="240" w:lineRule="auto"/>
        <w:ind w:firstLine="6" w:left="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Ewentualne spory, mogące wyniknąć na tle stosowania umowy będą rozstrzygane polubownie, a w przypadku gdy nie będzie to możliwe, zostaną skierowane do rozstrzygnięcia przez sąd właściwy dla siedziby Zamawiającego.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120" w:line="240" w:lineRule="auto"/>
        <w:ind w:firstLine="6" w:left="-1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spacing w:after="120" w:line="240" w:lineRule="auto"/>
        <w:ind w:firstLine="45"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1" w:name="_GoBack"/>
      <w:r>
        <w:rPr>
          <w:rFonts w:ascii="Times New Roman" w:hAnsi="Times New Roman" w:eastAsia="Times New Roman" w:cs="Times New Roman"/>
          <w:sz w:val="20"/>
          <w:szCs w:val="20"/>
        </w:rPr>
      </w:r>
      <w:bookmarkEnd w:id="1"/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§9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spacing w:after="360" w:line="240" w:lineRule="auto"/>
        <w:ind w:right="11" w:left="4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Integralną częścią umowy jest oferta Wykonawcy.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05"/>
        <w:keepNext w:val="false"/>
        <w:keepLines w:val="false"/>
        <w:widowControl w:val="false"/>
        <w:spacing w:after="120" w:line="240" w:lineRule="auto"/>
        <w:ind w:right="62" w:firstLine="708" w:left="424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    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  <w:t xml:space="preserve">§10</w:t>
      </w:r>
      <w:r>
        <w:rPr>
          <w:rFonts w:ascii="Times New Roman" w:hAnsi="Times New Roman" w:eastAsia="Times New Roman" w:cs="Times New Roman"/>
          <w:b/>
          <w:sz w:val="20"/>
          <w:szCs w:val="20"/>
          <w:lang w:val="pl-PL"/>
        </w:rPr>
      </w:r>
    </w:p>
    <w:p>
      <w:pPr>
        <w:pStyle w:val="817"/>
        <w:spacing w:after="0"/>
        <w:ind w:left="4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Umowę sporządzono w trzech jednobrzmiących egzemplarzach – dwóch dla Zamawiającego i jednym dla Wykonawcy.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7"/>
        <w:spacing w:after="0"/>
        <w:ind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7"/>
        <w:spacing/>
        <w:ind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Wykonawca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  <w:t xml:space="preserve">                                  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  <w:t xml:space="preserve">Zamawiający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ZAŁACZNIKI: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817"/>
        <w:numPr>
          <w:ilvl w:val="0"/>
          <w:numId w:val="6"/>
        </w:numPr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Umowa powierzenia danych osobowych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7"/>
        <w:numPr>
          <w:ilvl w:val="0"/>
          <w:numId w:val="6"/>
        </w:numPr>
        <w:spacing w:after="0"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Oferta Wykonawcy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19"/>
        <w:spacing w:after="41"/>
        <w:ind w:right="5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tabs>
          <w:tab w:val="left" w:leader="none" w:pos="743"/>
          <w:tab w:val="left" w:leader="none" w:pos="851"/>
        </w:tabs>
        <w:spacing w:after="0" w:line="240" w:lineRule="auto"/>
        <w:ind/>
        <w:rPr>
          <w:rFonts w:ascii="Times New Roman" w:hAnsi="Times New Roman" w:cs="Times New Roman"/>
          <w:sz w:val="20"/>
          <w:szCs w:val="20"/>
          <w:highlight w:val="cyan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cyan"/>
        </w:rPr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</w:r>
    </w:p>
    <w:sectPr>
      <w:headerReference w:type="default" r:id="rId9"/>
      <w:footerReference w:type="default" r:id="rId10"/>
      <w:footerReference w:type="even" r:id="rId11"/>
      <w:footerReference w:type="first" r:id="rId12"/>
      <w:footnotePr/>
      <w:endnotePr/>
      <w:type w:val="nextPage"/>
      <w:pgSz w:h="16834" w:orient="portrait" w:w="11904"/>
      <w:pgMar w:top="720" w:right="720" w:bottom="720" w:left="720" w:header="567" w:footer="283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86003077"/>
      <w:docPartObj>
        <w:docPartGallery w:val="Page Numbers (Bottom of Page)"/>
        <w:docPartUnique w:val="true"/>
      </w:docPartObj>
      <w:rPr>
        <w:rFonts w:ascii="Times New Roman" w:hAnsi="Times New Roman" w:cs="Times New Roman"/>
        <w:sz w:val="18"/>
        <w:szCs w:val="18"/>
      </w:rPr>
    </w:sdtPr>
    <w:sdtContent>
      <w:sdt>
        <w:sdtPr>
          <w15:appearance w15:val="boundingBox"/>
          <w:id w:val="860082579"/>
          <w:docPartObj>
            <w:docPartGallery w:val="Page Numbers (Top of Page)"/>
            <w:docPartUnique w:val="true"/>
          </w:docPartObj>
          <w:rPr>
            <w:rFonts w:ascii="Times New Roman" w:hAnsi="Times New Roman" w:cs="Times New Roman"/>
            <w:sz w:val="18"/>
            <w:szCs w:val="18"/>
          </w:rPr>
        </w:sdtPr>
        <w:sdtContent>
          <w:p>
            <w:pPr>
              <w:pStyle w:val="822"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sdtContent>
      </w:sdt>
    </w:sdtContent>
  </w:sdt>
  <w:p>
    <w:pPr>
      <w:spacing w:after="160" w:line="259" w:lineRule="auto"/>
      <w:ind w:left="0"/>
      <w:jc w:val="left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60" w:line="259" w:lineRule="auto"/>
      <w:ind w:left="0"/>
      <w:jc w:val="left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60" w:line="259" w:lineRule="auto"/>
      <w:ind w:left="0"/>
      <w:jc w:val="left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240" w:line="264" w:lineRule="auto"/>
      <w:ind w:right="-17" w:hanging="11" w:left="11"/>
      <w:jc w:val="right"/>
      <w:rPr>
        <w:sz w:val="18"/>
        <w:szCs w:val="18"/>
      </w:rPr>
    </w:pPr>
    <w:r>
      <w:rPr>
        <w:sz w:val="18"/>
        <w:szCs w:val="18"/>
      </w:rPr>
      <w:t xml:space="preserve">Załącznik nr 4</w:t>
    </w:r>
    <w:r>
      <w:rPr>
        <w:sz w:val="18"/>
        <w:szCs w:val="18"/>
      </w:rPr>
      <w:t xml:space="preserve"> do </w:t>
    </w:r>
    <w:r>
      <w:rPr>
        <w:sz w:val="18"/>
        <w:szCs w:val="18"/>
      </w:rPr>
      <w:t xml:space="preserve">SWZ</w:t>
    </w:r>
    <w:r>
      <w:rPr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E4DD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EC96BF9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2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4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6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8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0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2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4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65"/>
      </w:pPr>
      <w:rPr/>
      <w:start w:val="1"/>
      <w:suff w:val="tab"/>
    </w:lvl>
  </w:abstractNum>
  <w:abstractNum w:abstractNumId="2">
    <w:nsid w:val="1B78763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1C1D37F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1EFA0D5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5">
    <w:nsid w:val="214638C8"/>
    <w:lvl w:ilvl="0">
      <w:isLgl w:val="false"/>
      <w:lvlJc w:val="left"/>
      <w:lvlText w:val="%1."/>
      <w:numFmt w:val="decimal"/>
      <w:pPr>
        <w:pBdr/>
        <w:spacing/>
        <w:ind w:hanging="360" w:left="4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87"/>
      </w:pPr>
      <w:rPr/>
      <w:start w:val="1"/>
      <w:suff w:val="tab"/>
    </w:lvl>
  </w:abstractNum>
  <w:abstractNum w:abstractNumId="6">
    <w:nsid w:val="28BF6A10"/>
    <w:lvl w:ilvl="0">
      <w:isLgl w:val="false"/>
      <w:lvlJc w:val="left"/>
      <w:lvlText w:val="%1."/>
      <w:numFmt w:val="decimal"/>
      <w:pPr>
        <w:pBdr/>
        <w:spacing/>
        <w:ind w:left="50"/>
      </w:pPr>
      <w:rPr>
        <w:rFonts w:asciiTheme="minorHAnsi" w:hAnsiTheme="minorHAnsi" w:eastAsiaTheme="minorHAnsi" w:cstheme="minorBid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7">
    <w:nsid w:val="2DBE7D25"/>
    <w:lvl w:ilvl="0">
      <w:isLgl w:val="false"/>
      <w:lvlJc w:val="left"/>
      <w:lvlText w:val="%1."/>
      <w:numFmt w:val="decimal"/>
      <w:pPr>
        <w:pBdr/>
        <w:spacing/>
        <w:ind w:hanging="360" w:left="502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35750CA2"/>
    <w:lvl w:ilvl="0">
      <w:isLgl w:val="false"/>
      <w:lvlJc w:val="left"/>
      <w:lvlText w:val="%1."/>
      <w:numFmt w:val="decimal"/>
      <w:pPr>
        <w:pBdr/>
        <w:spacing/>
        <w:ind w:hanging="360" w:left="763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8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0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2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4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6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8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0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23"/>
      </w:pPr>
      <w:rPr/>
      <w:start w:val="1"/>
      <w:suff w:val="tab"/>
    </w:lvl>
  </w:abstractNum>
  <w:abstractNum w:abstractNumId="9">
    <w:nsid w:val="3D3963E6"/>
    <w:lvl w:ilvl="0">
      <w:isLgl w:val="false"/>
      <w:lvlJc w:val="left"/>
      <w:lvlText w:val="%1)"/>
      <w:numFmt w:val="lowerLetter"/>
      <w:pPr>
        <w:pBdr/>
        <w:spacing/>
        <w:ind w:hanging="360" w:left="103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5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7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9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1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5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7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98"/>
      </w:pPr>
      <w:rPr/>
      <w:start w:val="1"/>
      <w:suff w:val="tab"/>
    </w:lvl>
  </w:abstractNum>
  <w:abstractNum w:abstractNumId="10">
    <w:nsid w:val="49B024B1"/>
    <w:lvl w:ilvl="0">
      <w:isLgl w:val="false"/>
      <w:lvlJc w:val="left"/>
      <w:lvlText w:val="%1."/>
      <w:numFmt w:val="decimal"/>
      <w:pPr>
        <w:pBdr/>
        <w:spacing/>
        <w:ind w:left="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1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0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1">
    <w:nsid w:val="4EA018BA"/>
    <w:lvl w:ilvl="0">
      <w:isLgl w:val="false"/>
      <w:lvlJc w:val="left"/>
      <w:lvlText w:val="%1"/>
      <w:numFmt w:val="decimal"/>
      <w:pPr>
        <w:pBdr/>
        <w:spacing/>
        <w:ind w:hanging="675" w:left="675"/>
      </w:pPr>
      <w:rPr>
        <w:rFonts w:hint="default"/>
      </w:rPr>
      <w:start w:val="59"/>
      <w:suff w:val="tab"/>
    </w:lvl>
    <w:lvl w:ilvl="1">
      <w:isLgl w:val="false"/>
      <w:lvlJc w:val="left"/>
      <w:lvlText w:val="%1-%2"/>
      <w:numFmt w:val="decimal"/>
      <w:pPr>
        <w:pBdr/>
        <w:spacing/>
        <w:ind w:hanging="675" w:left="2446"/>
      </w:pPr>
      <w:rPr>
        <w:rFonts w:hint="default"/>
      </w:rPr>
      <w:start w:val="820"/>
      <w:suff w:val="tab"/>
    </w:lvl>
    <w:lvl w:ilvl="2">
      <w:isLgl w:val="false"/>
      <w:lvlJc w:val="left"/>
      <w:lvlText w:val="%1-%2.%3"/>
      <w:numFmt w:val="decimal"/>
      <w:pPr>
        <w:pBdr/>
        <w:spacing/>
        <w:ind w:hanging="720" w:left="4262"/>
      </w:pPr>
      <w:rPr>
        <w:rFonts w:hint="default"/>
      </w:rPr>
      <w:start w:val="1"/>
      <w:suff w:val="tab"/>
    </w:lvl>
    <w:lvl w:ilvl="3">
      <w:isLgl w:val="false"/>
      <w:lvlJc w:val="left"/>
      <w:lvlText w:val="%1-%2.%3.%4"/>
      <w:numFmt w:val="decimal"/>
      <w:pPr>
        <w:pBdr/>
        <w:spacing/>
        <w:ind w:hanging="720" w:left="6033"/>
      </w:pPr>
      <w:rPr>
        <w:rFonts w:hint="default"/>
      </w:rPr>
      <w:start w:val="1"/>
      <w:suff w:val="tab"/>
    </w:lvl>
    <w:lvl w:ilvl="4">
      <w:isLgl w:val="false"/>
      <w:lvlJc w:val="left"/>
      <w:lvlText w:val="%1-%2.%3.%4.%5"/>
      <w:numFmt w:val="decimal"/>
      <w:pPr>
        <w:pBdr/>
        <w:spacing/>
        <w:ind w:hanging="720" w:left="7804"/>
      </w:pPr>
      <w:rPr>
        <w:rFonts w:hint="default"/>
      </w:rPr>
      <w:start w:val="1"/>
      <w:suff w:val="tab"/>
    </w:lvl>
    <w:lvl w:ilvl="5">
      <w:isLgl w:val="false"/>
      <w:lvlJc w:val="left"/>
      <w:lvlText w:val="%1-%2.%3.%4.%5.%6"/>
      <w:numFmt w:val="decimal"/>
      <w:pPr>
        <w:pBdr/>
        <w:spacing/>
        <w:ind w:hanging="1080" w:left="9935"/>
      </w:pPr>
      <w:rPr>
        <w:rFonts w:hint="default"/>
      </w:rPr>
      <w:start w:val="1"/>
      <w:suff w:val="tab"/>
    </w:lvl>
    <w:lvl w:ilvl="6">
      <w:isLgl w:val="false"/>
      <w:lvlJc w:val="left"/>
      <w:lvlText w:val="%1-%2.%3.%4.%5.%6.%7"/>
      <w:numFmt w:val="decimal"/>
      <w:pPr>
        <w:pBdr/>
        <w:spacing/>
        <w:ind w:hanging="1080" w:left="11706"/>
      </w:pPr>
      <w:rPr>
        <w:rFonts w:hint="default"/>
      </w:rPr>
      <w:start w:val="1"/>
      <w:suff w:val="tab"/>
    </w:lvl>
    <w:lvl w:ilvl="7">
      <w:isLgl w:val="false"/>
      <w:lvlJc w:val="left"/>
      <w:lvlText w:val="%1-%2.%3.%4.%5.%6.%7.%8"/>
      <w:numFmt w:val="decimal"/>
      <w:pPr>
        <w:pBdr/>
        <w:spacing/>
        <w:ind w:hanging="1080" w:left="13477"/>
      </w:pPr>
      <w:rPr>
        <w:rFonts w:hint="default"/>
      </w:rPr>
      <w:start w:val="1"/>
      <w:suff w:val="tab"/>
    </w:lvl>
    <w:lvl w:ilvl="8">
      <w:isLgl w:val="false"/>
      <w:lvlJc w:val="left"/>
      <w:lvlText w:val="%1-%2.%3.%4.%5.%6.%7.%8.%9"/>
      <w:numFmt w:val="decimal"/>
      <w:pPr>
        <w:pBdr/>
        <w:spacing/>
        <w:ind w:hanging="1440" w:left="15608"/>
      </w:pPr>
      <w:rPr>
        <w:rFonts w:hint="default"/>
      </w:rPr>
      <w:start w:val="1"/>
      <w:suff w:val="tab"/>
    </w:lvl>
  </w:abstractNum>
  <w:abstractNum w:abstractNumId="12">
    <w:nsid w:val="554037DA"/>
    <w:lvl w:ilvl="0">
      <w:isLgl w:val="false"/>
      <w:lvlJc w:val="left"/>
      <w:lvlText w:val="%1."/>
      <w:numFmt w:val="decimal"/>
      <w:pPr>
        <w:pBdr/>
        <w:spacing/>
        <w:ind w:hanging="360" w:left="502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3">
    <w:nsid w:val="587B3340"/>
    <w:lvl w:ilvl="0">
      <w:isLgl w:val="false"/>
      <w:lvlJc w:val="left"/>
      <w:lvlText w:val="%1."/>
      <w:numFmt w:val="decimal"/>
      <w:pPr>
        <w:pBdr/>
        <w:spacing/>
        <w:ind w:left="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10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2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6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8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0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2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4">
    <w:nsid w:val="6AF57902"/>
    <w:lvl w:ilvl="0">
      <w:isLgl w:val="false"/>
      <w:lvlJc w:val="left"/>
      <w:lvlText w:val="%1."/>
      <w:numFmt w:val="decimal"/>
      <w:pPr>
        <w:pBdr/>
        <w:spacing/>
        <w:ind w:left="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5">
    <w:nsid w:val="71437563"/>
    <w:lvl w:ilvl="0">
      <w:isLgl w:val="false"/>
      <w:lvlJc w:val="left"/>
      <w:lvlText w:val="%1)"/>
      <w:numFmt w:val="lowerLetter"/>
      <w:pPr>
        <w:pBdr/>
        <w:spacing/>
        <w:ind w:hanging="360" w:left="67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7643285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4"/>
  </w:num>
  <w:num w:numId="8">
    <w:abstractNumId w:val="10"/>
  </w:num>
  <w:num w:numId="9">
    <w:abstractNumId w:val="6"/>
  </w:num>
  <w:num w:numId="10">
    <w:abstractNumId w:val="1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fff0ca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fff0ca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fff0c8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ffdc8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ffdc8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e0f0f5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b6dde8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b6dde8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0b5cc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0b5cc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0b5cc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0b5cc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ae1e4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4bcc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4bcc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66c7d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66c7d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66c7d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66c7d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1f0e1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bbdeb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bbdeb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6bb76d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6bb76d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6bb76d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6bb76d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ae6dc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f4c7af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f4c7af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3d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e5abab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e5abab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b9e0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b9e00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db9e0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b9e00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1d3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1d3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a91d3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1d3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2471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db9e0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fff0c8" w:themeFill="accent1" w:themeFillTint="34"/>
        <w:tcBorders/>
      </w:tcPr>
    </w:tblStylePr>
    <w:tblStylePr w:type="band2Horz">
      <w:rPr>
        <w:rFonts w:ascii="Arial" w:hAnsi="Arial"/>
        <w:color w:val="db9e0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b9e00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db9e0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db9e00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b9e0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Horz">
      <w:rPr>
        <w:rFonts w:ascii="Arial" w:hAnsi="Arial"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a91d3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Horz">
      <w:rPr>
        <w:rFonts w:ascii="Arial" w:hAnsi="Arial"/>
        <w:color w:val="a91d3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1d3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a91d3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a91d3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a91d3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Horz">
      <w:rPr>
        <w:rFonts w:ascii="Arial" w:hAnsi="Arial"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a2471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Horz">
      <w:rPr>
        <w:rFonts w:ascii="Arial" w:hAnsi="Arial"/>
        <w:color w:val="a2471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2471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a2471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a2471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a2471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782625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Horz">
      <w:rPr>
        <w:rFonts w:ascii="Arial" w:hAnsi="Arial"/>
        <w:color w:val="782625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82625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82625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82625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82625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0a7b2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1b69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dd92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0b5cc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66c7d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6bb76d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f0ad00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f0ad00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a1d3e1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0a7b2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0a7b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0a7b2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0a7b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0a7b2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a6d4a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1b69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f1b69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f1b69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f1b69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1b69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dd92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dd92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dd92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dd92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dd92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c6500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c6500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8c6500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c6500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92ab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233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233a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cb233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233a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8944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81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81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ca581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81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3343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33433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3343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33433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ffecbb" w:themeFill="accent1" w:themeFillTint="40"/>
        <w:tcBorders/>
      </w:tcPr>
    </w:tblStylePr>
    <w:tblStylePr w:type="band2Horz">
      <w:rPr>
        <w:rFonts w:ascii="Arial" w:hAnsi="Arial"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c6500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8c650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cf2" w:themeFill="accent2" w:themeFillTint="40"/>
        <w:tcBorders/>
      </w:tcPr>
    </w:tblStylePr>
    <w:tblStylePr w:type="band2Horz">
      <w:rPr>
        <w:rFonts w:ascii="Arial" w:hAnsi="Arial"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792ab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9dade" w:themeFill="accent3" w:themeFillTint="40"/>
        <w:tcBorders/>
      </w:tcPr>
    </w:tblStylePr>
    <w:tblStylePr w:type="band2Horz">
      <w:rPr>
        <w:rFonts w:ascii="Arial" w:hAnsi="Arial"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233a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233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aedda" w:themeFill="accent4" w:themeFillTint="40"/>
        <w:tcBorders/>
      </w:tcPr>
    </w:tblStylePr>
    <w:tblStylePr w:type="band2Horz">
      <w:rPr>
        <w:rFonts w:ascii="Arial" w:hAnsi="Arial"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8944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9e1d3" w:themeFill="accent5" w:themeFillTint="40"/>
        <w:tcBorders/>
      </w:tcPr>
    </w:tblStylePr>
    <w:tblStylePr w:type="band2Horz">
      <w:rPr>
        <w:rFonts w:ascii="Arial" w:hAnsi="Arial"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81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81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1d1d1" w:themeFill="accent6" w:themeFillTint="40"/>
        <w:tcBorders/>
      </w:tcPr>
    </w:tblStylePr>
    <w:tblStylePr w:type="band2Horz">
      <w:rPr>
        <w:rFonts w:ascii="Arial" w:hAnsi="Arial"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33433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3343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ffe7a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ffe7a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ffe7a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ffe7a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ffba07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0f5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3e1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ae1e4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66d7e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1f0e1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6d4a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ae6dc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e88651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3d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648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803"/>
    <w:next w:val="80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03"/>
    <w:next w:val="80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03"/>
    <w:next w:val="80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03"/>
    <w:next w:val="80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03"/>
    <w:next w:val="80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03"/>
    <w:next w:val="80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07"/>
    <w:link w:val="8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07"/>
    <w:link w:val="8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07"/>
    <w:link w:val="8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0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0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0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0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0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0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03"/>
    <w:next w:val="80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0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03"/>
    <w:next w:val="80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0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03"/>
    <w:next w:val="80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0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0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03"/>
    <w:next w:val="80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0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0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80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0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0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0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0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07"/>
    <w:link w:val="815"/>
    <w:uiPriority w:val="99"/>
    <w:pPr>
      <w:pBdr/>
      <w:spacing/>
      <w:ind/>
    </w:pPr>
  </w:style>
  <w:style w:type="character" w:styleId="179">
    <w:name w:val="Footer Char"/>
    <w:basedOn w:val="807"/>
    <w:link w:val="822"/>
    <w:uiPriority w:val="99"/>
    <w:pPr>
      <w:pBdr/>
      <w:spacing/>
      <w:ind/>
    </w:pPr>
  </w:style>
  <w:style w:type="paragraph" w:styleId="180">
    <w:name w:val="Caption"/>
    <w:basedOn w:val="803"/>
    <w:next w:val="80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0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0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07"/>
    <w:uiPriority w:val="99"/>
    <w:semiHidden/>
    <w:unhideWhenUsed/>
    <w:pPr>
      <w:pBdr/>
      <w:spacing/>
      <w:ind/>
    </w:pPr>
    <w:rPr>
      <w:vertAlign w:val="superscript"/>
    </w:rPr>
  </w:style>
  <w:style w:type="character" w:styleId="185">
    <w:name w:val="Endnote Text Char"/>
    <w:basedOn w:val="807"/>
    <w:link w:val="824"/>
    <w:uiPriority w:val="99"/>
    <w:semiHidden/>
    <w:pPr>
      <w:pBdr/>
      <w:spacing/>
      <w:ind/>
    </w:pPr>
    <w:rPr>
      <w:sz w:val="20"/>
      <w:szCs w:val="20"/>
    </w:rPr>
  </w:style>
  <w:style w:type="character" w:styleId="188">
    <w:name w:val="FollowedHyperlink"/>
    <w:basedOn w:val="80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03"/>
    <w:next w:val="803"/>
    <w:uiPriority w:val="39"/>
    <w:unhideWhenUsed/>
    <w:pPr>
      <w:pBdr/>
      <w:spacing w:after="100"/>
      <w:ind/>
    </w:pPr>
  </w:style>
  <w:style w:type="paragraph" w:styleId="190">
    <w:name w:val="toc 2"/>
    <w:basedOn w:val="803"/>
    <w:next w:val="803"/>
    <w:uiPriority w:val="39"/>
    <w:unhideWhenUsed/>
    <w:pPr>
      <w:pBdr/>
      <w:spacing w:after="100"/>
      <w:ind w:left="220"/>
    </w:pPr>
  </w:style>
  <w:style w:type="paragraph" w:styleId="191">
    <w:name w:val="toc 3"/>
    <w:basedOn w:val="803"/>
    <w:next w:val="803"/>
    <w:uiPriority w:val="39"/>
    <w:unhideWhenUsed/>
    <w:pPr>
      <w:pBdr/>
      <w:spacing w:after="100"/>
      <w:ind w:left="440"/>
    </w:pPr>
  </w:style>
  <w:style w:type="paragraph" w:styleId="192">
    <w:name w:val="toc 4"/>
    <w:basedOn w:val="803"/>
    <w:next w:val="803"/>
    <w:uiPriority w:val="39"/>
    <w:unhideWhenUsed/>
    <w:pPr>
      <w:pBdr/>
      <w:spacing w:after="100"/>
      <w:ind w:left="660"/>
    </w:pPr>
  </w:style>
  <w:style w:type="paragraph" w:styleId="193">
    <w:name w:val="toc 5"/>
    <w:basedOn w:val="803"/>
    <w:next w:val="803"/>
    <w:uiPriority w:val="39"/>
    <w:unhideWhenUsed/>
    <w:pPr>
      <w:pBdr/>
      <w:spacing w:after="100"/>
      <w:ind w:left="880"/>
    </w:pPr>
  </w:style>
  <w:style w:type="paragraph" w:styleId="194">
    <w:name w:val="toc 6"/>
    <w:basedOn w:val="803"/>
    <w:next w:val="803"/>
    <w:uiPriority w:val="39"/>
    <w:unhideWhenUsed/>
    <w:pPr>
      <w:pBdr/>
      <w:spacing w:after="100"/>
      <w:ind w:left="1100"/>
    </w:pPr>
  </w:style>
  <w:style w:type="paragraph" w:styleId="195">
    <w:name w:val="toc 7"/>
    <w:basedOn w:val="803"/>
    <w:next w:val="803"/>
    <w:uiPriority w:val="39"/>
    <w:unhideWhenUsed/>
    <w:pPr>
      <w:pBdr/>
      <w:spacing w:after="100"/>
      <w:ind w:left="1320"/>
    </w:pPr>
  </w:style>
  <w:style w:type="paragraph" w:styleId="196">
    <w:name w:val="toc 8"/>
    <w:basedOn w:val="803"/>
    <w:next w:val="803"/>
    <w:uiPriority w:val="39"/>
    <w:unhideWhenUsed/>
    <w:pPr>
      <w:pBdr/>
      <w:spacing w:after="100"/>
      <w:ind w:left="1540"/>
    </w:pPr>
  </w:style>
  <w:style w:type="paragraph" w:styleId="197">
    <w:name w:val="toc 9"/>
    <w:basedOn w:val="803"/>
    <w:next w:val="80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0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03"/>
    <w:next w:val="803"/>
    <w:uiPriority w:val="99"/>
    <w:unhideWhenUsed/>
    <w:pPr>
      <w:pBdr/>
      <w:spacing w:after="0" w:afterAutospacing="0"/>
      <w:ind/>
    </w:pPr>
  </w:style>
  <w:style w:type="paragraph" w:styleId="803" w:default="1">
    <w:name w:val="Normal"/>
    <w:qFormat/>
    <w:pPr>
      <w:pBdr/>
      <w:spacing w:after="5" w:line="260" w:lineRule="auto"/>
      <w:ind w:left="67"/>
      <w:jc w:val="both"/>
    </w:pPr>
    <w:rPr>
      <w:rFonts w:ascii="Times New Roman" w:hAnsi="Times New Roman" w:eastAsia="Times New Roman" w:cs="Times New Roman"/>
      <w:color w:val="000000"/>
      <w:sz w:val="24"/>
      <w:lang w:val="pl-PL"/>
    </w:rPr>
  </w:style>
  <w:style w:type="paragraph" w:styleId="804">
    <w:name w:val="Heading 1"/>
    <w:next w:val="803"/>
    <w:link w:val="811"/>
    <w:uiPriority w:val="9"/>
    <w:unhideWhenUsed/>
    <w:qFormat/>
    <w:pPr>
      <w:keepNext w:val="true"/>
      <w:keepLines w:val="true"/>
      <w:pBdr/>
      <w:spacing w:after="0"/>
      <w:ind w:left="1954"/>
      <w:jc w:val="center"/>
      <w:outlineLvl w:val="0"/>
    </w:pPr>
    <w:rPr>
      <w:rFonts w:ascii="Times New Roman" w:hAnsi="Times New Roman" w:eastAsia="Times New Roman" w:cs="Times New Roman"/>
      <w:color w:val="000000"/>
      <w:sz w:val="34"/>
    </w:rPr>
  </w:style>
  <w:style w:type="paragraph" w:styleId="805">
    <w:name w:val="Heading 2"/>
    <w:next w:val="803"/>
    <w:link w:val="810"/>
    <w:uiPriority w:val="9"/>
    <w:unhideWhenUsed/>
    <w:qFormat/>
    <w:pPr>
      <w:keepNext w:val="true"/>
      <w:keepLines w:val="true"/>
      <w:pBdr/>
      <w:spacing w:after="238"/>
      <w:ind w:hanging="10" w:left="77"/>
      <w:jc w:val="center"/>
      <w:outlineLvl w:val="1"/>
    </w:pPr>
    <w:rPr>
      <w:rFonts w:ascii="Times New Roman" w:hAnsi="Times New Roman" w:eastAsia="Times New Roman" w:cs="Times New Roman"/>
      <w:color w:val="000000"/>
      <w:sz w:val="24"/>
    </w:rPr>
  </w:style>
  <w:style w:type="paragraph" w:styleId="806">
    <w:name w:val="Heading 3"/>
    <w:basedOn w:val="803"/>
    <w:next w:val="803"/>
    <w:link w:val="836"/>
    <w:uiPriority w:val="9"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775500" w:themeColor="accent1" w:themeShade="7F"/>
      <w:szCs w:val="24"/>
    </w:rPr>
  </w:style>
  <w:style w:type="character" w:styleId="807" w:default="1">
    <w:name w:val="Default Paragraph Font"/>
    <w:uiPriority w:val="1"/>
    <w:semiHidden/>
    <w:unhideWhenUsed/>
    <w:pPr>
      <w:pBdr/>
      <w:spacing/>
      <w:ind/>
    </w:pPr>
  </w:style>
  <w:style w:type="table" w:styleId="80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9" w:default="1">
    <w:name w:val="No List"/>
    <w:uiPriority w:val="99"/>
    <w:semiHidden/>
    <w:unhideWhenUsed/>
    <w:pPr>
      <w:pBdr/>
      <w:spacing/>
      <w:ind/>
    </w:pPr>
  </w:style>
  <w:style w:type="character" w:styleId="810" w:customStyle="1">
    <w:name w:val="Nagłówek 2 Znak"/>
    <w:link w:val="805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character" w:styleId="811" w:customStyle="1">
    <w:name w:val="Nagłówek 1 Znak"/>
    <w:link w:val="804"/>
    <w:pPr>
      <w:pBdr/>
      <w:spacing/>
      <w:ind/>
    </w:pPr>
    <w:rPr>
      <w:rFonts w:ascii="Times New Roman" w:hAnsi="Times New Roman" w:eastAsia="Times New Roman" w:cs="Times New Roman"/>
      <w:color w:val="000000"/>
      <w:sz w:val="34"/>
    </w:rPr>
  </w:style>
  <w:style w:type="table" w:styleId="812" w:customStyle="1">
    <w:name w:val="Table Grid"/>
    <w:pPr>
      <w:pBdr/>
      <w:spacing w:after="0" w:line="240" w:lineRule="auto"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3">
    <w:name w:val="Balloon Text"/>
    <w:basedOn w:val="803"/>
    <w:link w:val="81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14" w:customStyle="1">
    <w:name w:val="Tekst dymka Znak"/>
    <w:basedOn w:val="807"/>
    <w:link w:val="813"/>
    <w:uiPriority w:val="99"/>
    <w:semiHidden/>
    <w:pPr>
      <w:pBdr/>
      <w:spacing/>
      <w:ind/>
    </w:pPr>
    <w:rPr>
      <w:rFonts w:ascii="Tahoma" w:hAnsi="Tahoma" w:eastAsia="Times New Roman" w:cs="Tahoma"/>
      <w:color w:val="000000"/>
      <w:sz w:val="16"/>
      <w:szCs w:val="16"/>
    </w:rPr>
  </w:style>
  <w:style w:type="paragraph" w:styleId="815">
    <w:name w:val="Header"/>
    <w:basedOn w:val="803"/>
    <w:link w:val="81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816" w:customStyle="1">
    <w:name w:val="Nagłówek Znak"/>
    <w:basedOn w:val="807"/>
    <w:link w:val="815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paragraph" w:styleId="817">
    <w:name w:val="Body Text"/>
    <w:basedOn w:val="803"/>
    <w:link w:val="818"/>
    <w:semiHidden/>
    <w:pPr>
      <w:widowControl w:val="false"/>
      <w:pBdr/>
      <w:spacing w:after="283" w:line="240" w:lineRule="auto"/>
      <w:ind w:left="0"/>
      <w:jc w:val="left"/>
    </w:pPr>
    <w:rPr>
      <w:color w:val="auto"/>
      <w:szCs w:val="20"/>
      <w:lang w:eastAsia="pl-PL"/>
    </w:rPr>
  </w:style>
  <w:style w:type="character" w:styleId="818" w:customStyle="1">
    <w:name w:val="Tekst podstawowy Znak"/>
    <w:basedOn w:val="807"/>
    <w:link w:val="817"/>
    <w:semiHidden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819">
    <w:name w:val="List Paragraph"/>
    <w:basedOn w:val="803"/>
    <w:qFormat/>
    <w:pPr>
      <w:pBdr/>
      <w:spacing w:after="200" w:line="276" w:lineRule="auto"/>
      <w:ind w:left="720"/>
      <w:contextualSpacing w:val="true"/>
      <w:jc w:val="left"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paragraph" w:styleId="820">
    <w:name w:val="No Spacing"/>
    <w:link w:val="821"/>
    <w:uiPriority w:val="1"/>
    <w:qFormat/>
    <w:pPr>
      <w:pBdr/>
      <w:spacing w:after="0" w:line="240" w:lineRule="auto"/>
      <w:ind w:hanging="703" w:left="703"/>
      <w:jc w:val="both"/>
    </w:pPr>
    <w:rPr>
      <w:rFonts w:ascii="Calibri" w:hAnsi="Calibri" w:eastAsia="Calibri" w:cs="Times New Roman"/>
      <w:lang w:val="pl-PL" w:eastAsia="en-US"/>
    </w:rPr>
  </w:style>
  <w:style w:type="character" w:styleId="821" w:customStyle="1">
    <w:name w:val="Bez odstępów Znak"/>
    <w:basedOn w:val="807"/>
    <w:link w:val="820"/>
    <w:uiPriority w:val="1"/>
    <w:pPr>
      <w:pBdr/>
      <w:spacing/>
      <w:ind/>
    </w:pPr>
    <w:rPr>
      <w:rFonts w:ascii="Calibri" w:hAnsi="Calibri" w:eastAsia="Calibri" w:cs="Times New Roman"/>
      <w:lang w:val="pl-PL" w:eastAsia="en-US"/>
    </w:rPr>
  </w:style>
  <w:style w:type="paragraph" w:styleId="822">
    <w:name w:val="Footer"/>
    <w:basedOn w:val="803"/>
    <w:link w:val="823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 w:left="0"/>
      <w:jc w:val="left"/>
    </w:pPr>
    <w:rPr>
      <w:rFonts w:asciiTheme="minorHAnsi" w:hAnsiTheme="minorHAnsi" w:eastAsiaTheme="minorHAnsi" w:cstheme="minorBidi"/>
      <w:color w:val="auto"/>
      <w:sz w:val="21"/>
      <w:szCs w:val="21"/>
      <w:lang w:eastAsia="pl-PL"/>
    </w:rPr>
  </w:style>
  <w:style w:type="character" w:styleId="823" w:customStyle="1">
    <w:name w:val="Stopka Znak"/>
    <w:basedOn w:val="807"/>
    <w:link w:val="822"/>
    <w:uiPriority w:val="99"/>
    <w:pPr>
      <w:pBdr/>
      <w:spacing/>
      <w:ind/>
    </w:pPr>
    <w:rPr>
      <w:rFonts w:eastAsiaTheme="minorHAnsi"/>
      <w:sz w:val="21"/>
      <w:szCs w:val="21"/>
      <w:lang w:val="pl-PL" w:eastAsia="pl-PL"/>
    </w:rPr>
  </w:style>
  <w:style w:type="paragraph" w:styleId="824">
    <w:name w:val="endnote text"/>
    <w:basedOn w:val="803"/>
    <w:link w:val="82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25" w:customStyle="1">
    <w:name w:val="Tekst przypisu końcowego Znak"/>
    <w:basedOn w:val="807"/>
    <w:link w:val="824"/>
    <w:uiPriority w:val="99"/>
    <w:semiHidden/>
    <w:pPr>
      <w:pBdr/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pl-PL"/>
    </w:rPr>
  </w:style>
  <w:style w:type="character" w:styleId="826">
    <w:name w:val="endnote reference"/>
    <w:basedOn w:val="807"/>
    <w:uiPriority w:val="99"/>
    <w:semiHidden/>
    <w:unhideWhenUsed/>
    <w:pPr>
      <w:pBdr/>
      <w:spacing/>
      <w:ind/>
    </w:pPr>
    <w:rPr>
      <w:vertAlign w:val="superscript"/>
    </w:rPr>
  </w:style>
  <w:style w:type="paragraph" w:styleId="827">
    <w:name w:val="Revision"/>
    <w:hidden/>
    <w:uiPriority w:val="99"/>
    <w:semiHidden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lang w:val="pl-PL"/>
    </w:rPr>
  </w:style>
  <w:style w:type="character" w:styleId="828">
    <w:name w:val="annotation reference"/>
    <w:basedOn w:val="80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29">
    <w:name w:val="annotation text"/>
    <w:basedOn w:val="803"/>
    <w:link w:val="830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30" w:customStyle="1">
    <w:name w:val="Tekst komentarza Znak"/>
    <w:basedOn w:val="807"/>
    <w:link w:val="829"/>
    <w:uiPriority w:val="99"/>
    <w:semiHidden/>
    <w:pPr>
      <w:pBdr/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pl-PL"/>
    </w:rPr>
  </w:style>
  <w:style w:type="paragraph" w:styleId="831">
    <w:name w:val="annotation subject"/>
    <w:basedOn w:val="829"/>
    <w:next w:val="829"/>
    <w:link w:val="832"/>
    <w:uiPriority w:val="99"/>
    <w:semiHidden/>
    <w:unhideWhenUsed/>
    <w:pPr>
      <w:pBdr/>
      <w:spacing/>
      <w:ind/>
    </w:pPr>
    <w:rPr>
      <w:b/>
      <w:bCs/>
    </w:rPr>
  </w:style>
  <w:style w:type="character" w:styleId="832" w:customStyle="1">
    <w:name w:val="Temat komentarza Znak"/>
    <w:basedOn w:val="830"/>
    <w:link w:val="831"/>
    <w:uiPriority w:val="99"/>
    <w:semiHidden/>
    <w:pPr>
      <w:pBdr/>
      <w:spacing/>
      <w:ind/>
    </w:pPr>
    <w:rPr>
      <w:rFonts w:ascii="Times New Roman" w:hAnsi="Times New Roman" w:eastAsia="Times New Roman" w:cs="Times New Roman"/>
      <w:b/>
      <w:bCs/>
      <w:color w:val="000000"/>
      <w:sz w:val="20"/>
      <w:szCs w:val="20"/>
      <w:lang w:val="pl-PL"/>
    </w:rPr>
  </w:style>
  <w:style w:type="paragraph" w:styleId="833" w:customStyle="1">
    <w:name w:val="text--paragraph"/>
    <w:basedOn w:val="803"/>
    <w:pPr>
      <w:pBdr/>
      <w:spacing w:after="100" w:afterAutospacing="1" w:before="100" w:beforeAutospacing="1" w:line="240" w:lineRule="auto"/>
      <w:ind w:left="0"/>
      <w:jc w:val="left"/>
    </w:pPr>
    <w:rPr>
      <w:color w:val="auto"/>
      <w:szCs w:val="24"/>
      <w:lang w:eastAsia="pl-PL"/>
    </w:rPr>
  </w:style>
  <w:style w:type="paragraph" w:styleId="834" w:customStyle="1">
    <w:name w:val="Standard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character" w:styleId="835">
    <w:name w:val="Hyperlink"/>
    <w:basedOn w:val="807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836" w:customStyle="1">
    <w:name w:val="Nagłówek 3 Znak"/>
    <w:basedOn w:val="807"/>
    <w:link w:val="806"/>
    <w:uiPriority w:val="9"/>
    <w:pPr>
      <w:pBdr/>
      <w:spacing/>
      <w:ind/>
    </w:pPr>
    <w:rPr>
      <w:rFonts w:asciiTheme="majorHAnsi" w:hAnsiTheme="majorHAnsi" w:eastAsiaTheme="majorEastAsia" w:cstheme="majorBidi"/>
      <w:color w:val="775500" w:themeColor="accent1" w:themeShade="7F"/>
      <w:sz w:val="24"/>
      <w:szCs w:val="24"/>
      <w:lang w:val="pl-P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customXml" Target="../customXml/item1.xml" /><Relationship Id="rId14" Type="http://schemas.openxmlformats.org/officeDocument/2006/relationships/hyperlink" Target="http://10.160.74.242/lex/index.rp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Moduł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84D0040A-5F50-40A7-878A-E904A0853D3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revision>4</cp:revision>
  <dcterms:created xsi:type="dcterms:W3CDTF">2025-12-10T13:24:00Z</dcterms:created>
  <dcterms:modified xsi:type="dcterms:W3CDTF">2026-10-28T18:10:43Z</dcterms:modified>
</cp:coreProperties>
</file>