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05A63"/>
          <w:sz w:val="20"/>
        </w:rPr>
        <w:t>ZAŁĄCZNIK 5  /  ZŁÓŻ NA WEZWANIE</w:t>
      </w:r>
    </w:p>
    <w:p>
      <w:pPr>
        <w:pStyle w:val="Title"/>
      </w:pPr>
      <w:r>
        <w:t>Wykaz usług</w:t>
      </w:r>
    </w:p>
    <w:p>
      <w:r>
        <w:rPr>
          <w:color w:val="505A63"/>
          <w:sz w:val="20"/>
        </w:rPr>
        <w:t>Zastępcza obsługa kasowa 2027  •  Sąd Rejonowy w Mińsku Mazowieckim</w:t>
      </w:r>
    </w:p>
    <w:p>
      <w:r>
        <w:t xml:space="preserve">Nr postępowania: OA.261.17.2026</w:t>
      </w:r>
    </w:p>
    <w:p>
      <w:r>
        <w:t>Wskaż usługi potwierdzające warunek z rozdziału 3 SWZ. Dołącz dowody należytego wykonania lub wykonywania.</w:t>
      </w:r>
    </w:p>
    <w:p>
      <w:r>
        <w:rPr>
          <w:color w:val="505A63"/>
          <w:sz w:val="20"/>
        </w:rPr>
        <w:t>Przekaż tylko dokumenty wymagane na danym etapie. Każdy formularz podpisuje właściwy podmiot.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05"/>
        <w:gridCol w:w="6633"/>
      </w:tblGrid>
      <w:tr>
        <w:trPr>
          <w:trHeight w:val="386" w:hRule="atLeast"/>
          <w:cantSplit/>
        </w:trPr>
        <w:tc>
          <w:tcPr>
            <w:tcW w:type="dxa" w:w="30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3F6F8"/>
          </w:tcPr>
          <w:p>
            <w:pPr>
              <w:spacing w:after="20" w:before="20" w:line="252" w:lineRule="auto"/>
            </w:pPr>
            <w:r>
              <w:rPr>
                <w:b/>
                <w:sz w:val="21"/>
              </w:rPr>
              <w:t>Podmiot wykazujący doświadczenie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FFFFF"/>
          </w:tcPr>
          <w:p>
            <w:pPr>
              <w:spacing w:after="20" w:before="20" w:line="252" w:lineRule="auto"/>
            </w:pPr>
          </w:p>
        </w:tc>
      </w:tr>
    </w:tbl>
    <w:p>
      <w:pPr>
        <w:spacing w:after="20"/>
      </w:pPr>
      <w:r/>
    </w:p>
    <w:p>
      <w:r>
        <w:t xml:space="preserve">Wymagane: co najmniej jedna usługa obsługi kasowej lub finansowo-rozliczeniowej dla jednostki sektora finansów publicznych o wartości co najmniej 100 000 zł brutto, o zakresie z pkt 3.1 SWZ, wykonana lub wykonywana w ostatnich 3 latach przed upływem terminu składania ofert albo w krótszym okresie prowadzenia działalności. Dla usługi trwającej wartość dotyczy części należycie wykonanej.</w:t>
      </w:r>
    </w:p>
    <w:p>
      <w:pPr>
        <w:pStyle w:val="Heading2"/>
      </w:pPr>
      <w:r>
        <w:t>Usługa 1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05"/>
        <w:gridCol w:w="6633"/>
      </w:tblGrid>
      <w:tr>
        <w:trPr>
          <w:trHeight w:val="482" w:hRule="atLeast"/>
          <w:cantSplit/>
        </w:trPr>
        <w:tc>
          <w:tcPr>
            <w:tcW w:type="dxa" w:w="30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3F6F8"/>
          </w:tcPr>
          <w:p>
            <w:pPr>
              <w:spacing w:after="20" w:before="20" w:line="252" w:lineRule="auto"/>
            </w:pPr>
            <w:r>
              <w:rPr>
                <w:b/>
                <w:sz w:val="21"/>
              </w:rPr>
              <w:t xml:space="preserve">Nazwa, adres i rodzaj jednostki sektora finansów publicznych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FFFFF"/>
          </w:tcPr>
          <w:p>
            <w:pPr>
              <w:spacing w:after="20" w:before="20" w:line="252" w:lineRule="auto"/>
            </w:pPr>
          </w:p>
        </w:tc>
      </w:tr>
      <w:tr>
        <w:trPr>
          <w:trHeight w:val="482" w:hRule="atLeast"/>
          <w:cantSplit/>
        </w:trPr>
        <w:tc>
          <w:tcPr>
            <w:tcW w:type="dxa" w:w="30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3F6F8"/>
          </w:tcPr>
          <w:p>
            <w:pPr>
              <w:spacing w:after="20" w:before="20" w:line="252" w:lineRule="auto"/>
            </w:pPr>
            <w:r>
              <w:rPr>
                <w:b/>
                <w:sz w:val="21"/>
              </w:rPr>
              <w:t>Miejsce i dokładny zakres usługi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FFFFF"/>
          </w:tcPr>
          <w:p>
            <w:pPr>
              <w:spacing w:after="20" w:before="20" w:line="252" w:lineRule="auto"/>
            </w:pPr>
          </w:p>
        </w:tc>
      </w:tr>
      <w:tr>
        <w:trPr>
          <w:trHeight w:val="482" w:hRule="atLeast"/>
          <w:cantSplit/>
        </w:trPr>
        <w:tc>
          <w:tcPr>
            <w:tcW w:type="dxa" w:w="30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3F6F8"/>
          </w:tcPr>
          <w:p>
            <w:pPr>
              <w:spacing w:after="20" w:before="20" w:line="252" w:lineRule="auto"/>
            </w:pPr>
            <w:r>
              <w:rPr>
                <w:b/>
                <w:sz w:val="21"/>
              </w:rPr>
              <w:t>Okres od – do lub „trwa nadal”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FFFFF"/>
          </w:tcPr>
          <w:p>
            <w:pPr>
              <w:spacing w:after="20" w:before="20" w:line="252" w:lineRule="auto"/>
            </w:pPr>
          </w:p>
        </w:tc>
      </w:tr>
      <w:tr>
        <w:trPr>
          <w:trHeight w:val="482" w:hRule="atLeast"/>
          <w:cantSplit/>
        </w:trPr>
        <w:tc>
          <w:tcPr>
            <w:tcW w:type="dxa" w:w="30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3F6F8"/>
          </w:tcPr>
          <w:p>
            <w:pPr>
              <w:spacing w:after="20" w:before="20" w:line="252" w:lineRule="auto"/>
            </w:pPr>
            <w:r>
              <w:rPr>
                <w:b/>
                <w:sz w:val="21"/>
              </w:rPr>
              <w:t>Wartość brutto wykonanej części i waluta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FFFFF"/>
          </w:tcPr>
          <w:p>
            <w:pPr>
              <w:spacing w:after="20" w:before="20" w:line="252" w:lineRule="auto"/>
            </w:pPr>
          </w:p>
        </w:tc>
      </w:tr>
      <w:tr>
        <w:trPr>
          <w:trHeight w:val="482" w:hRule="atLeast"/>
          <w:cantSplit/>
        </w:trPr>
        <w:tc>
          <w:tcPr>
            <w:tcW w:type="dxa" w:w="30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3F6F8"/>
          </w:tcPr>
          <w:p>
            <w:pPr>
              <w:spacing w:after="20" w:before="20" w:line="252" w:lineRule="auto"/>
            </w:pPr>
            <w:r>
              <w:rPr>
                <w:b/>
                <w:sz w:val="21"/>
              </w:rPr>
              <w:t>Własny zakres w kontrakcie wspólnym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i/>
                <w:color w:val="737D86"/>
                <w:sz w:val="21"/>
              </w:rPr>
              <w:t>Wypełnij jeżeli dotyczy</w:t>
            </w:r>
          </w:p>
        </w:tc>
      </w:tr>
      <w:tr>
        <w:trPr>
          <w:trHeight w:val="482" w:hRule="atLeast"/>
          <w:cantSplit/>
        </w:trPr>
        <w:tc>
          <w:tcPr>
            <w:tcW w:type="dxa" w:w="30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3F6F8"/>
          </w:tcPr>
          <w:p>
            <w:pPr>
              <w:spacing w:after="20" w:before="20" w:line="252" w:lineRule="auto"/>
            </w:pPr>
            <w:r>
              <w:rPr>
                <w:b/>
                <w:sz w:val="21"/>
              </w:rPr>
              <w:t>Dowód – nazwa załączonego pliku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FFFFF"/>
          </w:tcPr>
          <w:p>
            <w:pPr>
              <w:spacing w:after="20" w:before="20" w:line="252" w:lineRule="auto"/>
            </w:pPr>
          </w:p>
        </w:tc>
      </w:tr>
    </w:tbl>
    <w:p>
      <w:pPr>
        <w:spacing w:after="20"/>
      </w:pPr>
      <w:r/>
    </w:p>
    <w:p>
      <w:r>
        <w:rPr>
          <w:color w:val="505A63"/>
          <w:sz w:val="20"/>
        </w:rPr>
        <w:t>W opisie zakresu uwzględnij: przyjmowanie i ewidencję gotówki; sprzedaż i rozliczanie znaków wartościowych; raporty dzienne i rozliczenia okresowe.</w:t>
      </w:r>
    </w:p>
    <w:p>
      <w:r>
        <w:rPr>
          <w:color w:val="505A63"/>
          <w:sz w:val="20"/>
        </w:rPr>
        <w:t>Dla usługi trwającej podaj część wykonaną do terminu składania ofert. Dowód należytego wykonywania usługi ciągłej nadal realizowanej powinien pochodzić z ostatnich 3 miesięcy. Zasady dokumentowania określa SWZ.</w:t>
      </w:r>
    </w:p>
    <w:p>
      <w:r>
        <w:rPr>
          <w:color w:val="505A63"/>
          <w:sz w:val="20"/>
        </w:rPr>
        <w:t>Data: ____________________</w:t>
      </w:r>
    </w:p>
    <w:p>
      <w:r>
        <w:rPr>
          <w:color w:val="505A63"/>
          <w:sz w:val="20"/>
        </w:rPr>
        <w:t>Dokument podpisuje elektronicznie osoba uprawniona do reprezentacji wykonawcy. Dopuszczalne podpisy: kwalifikowany, zaufany albo osobisty.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77" w:right="1134" w:bottom="964" w:left="1134" w:header="425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</w:pPr>
    <w:r>
      <w:rPr>
        <w:color w:val="505A63"/>
        <w:sz w:val="18"/>
      </w:rPr>
      <w:t>Formularze  |  Zastępcza obsługa kasowa 2027</w:t>
      <w:tab/>
    </w:r>
    <w:fldSimple w:instr="PAGE"/>
    <w:r>
      <w:rPr>
        <w:color w:val="505A63"/>
        <w:sz w:val="18"/>
      </w:rPr>
      <w:t xml:space="preserve"> / </w:t>
    </w:r>
    <w:fldSimple w:instr="NUMPAGES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Calibri" w:hAnsi="Calibri"/>
        <w:color w:val="000000"/>
        <w:sz w:val="17"/>
      </w:rPr>
      <w:t>SĄD REJONOWY W MIŃSKU MAZOWIECKIM  /  ZAMÓWIENIA 2027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20"/>
    </w:pPr>
    <w:rPr>
      <w:rFonts w:ascii="Calibri" w:hAnsi="Calibri"/>
      <w:sz w:val="22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lang w:val="pl-PL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lang w:val="pl-PL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="Calibri" w:hAnsi="Calibri"/>
      <w:b/>
      <w:bCs/>
      <w:i w:val="0"/>
      <w:color w:val="000000"/>
      <w:sz w:val="30"/>
      <w:szCs w:val="28"/>
      <w:lang w:val="pl-P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60" w:after="140"/>
      <w:outlineLvl w:val="1"/>
    </w:pPr>
    <w:rPr>
      <w:rFonts w:ascii="Calibri" w:hAnsi="Calibri"/>
      <w:b/>
      <w:bCs/>
      <w:i w:val="0"/>
      <w:color w:val="000000"/>
      <w:sz w:val="24"/>
      <w:szCs w:val="26"/>
      <w:lang w:val="pl-P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60" w:after="140"/>
      <w:outlineLvl w:val="2"/>
    </w:pPr>
    <w:rPr>
      <w:rFonts w:ascii="Calibri" w:hAnsi="Calibri"/>
      <w:b/>
      <w:bCs/>
      <w:i w:val="0"/>
      <w:color w:val="000000"/>
      <w:sz w:val="22"/>
      <w:lang w:val="pl-P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pl-P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lang w:val="pl-P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val="pl-P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val="pl-P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val="pl-P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pl-P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lang w:val="pl-PL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40" w:line="240" w:lineRule="auto" w:before="120"/>
      <w:contextualSpacing/>
    </w:pPr>
    <w:rPr>
      <w:rFonts w:ascii="Calibri" w:hAnsi="Calibri"/>
      <w:b w:val="0"/>
      <w:i w:val="0"/>
      <w:color w:val="000000"/>
      <w:spacing w:val="5"/>
      <w:kern w:val="28"/>
      <w:sz w:val="50"/>
      <w:szCs w:val="52"/>
      <w:lang w:val="pl-PL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120" w:after="140"/>
    </w:pPr>
    <w:rPr>
      <w:rFonts w:ascii="Calibri" w:hAnsi="Calibri"/>
      <w:b w:val="0"/>
      <w:i w:val="0"/>
      <w:iCs/>
      <w:color w:val="000000"/>
      <w:spacing w:val="15"/>
      <w:sz w:val="36"/>
      <w:szCs w:val="24"/>
      <w:lang w:val="pl-PL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lang w:val="pl-PL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lang w:val="pl-PL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lang w:val="pl-PL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  <w:lang w:val="pl-PL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lang w:val="pl-PL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lang w:val="pl-PL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lang w:val="pl-PL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lang w:val="pl-PL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lang w:val="pl-PL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lang w:val="pl-PL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lang w:val="pl-PL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lang w:val="pl-PL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lang w:val="pl-PL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lang w:val="pl-PL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lang w:val="pl-PL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lang w:val="pl-PL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  <w:lang w:val="pl-PL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  <w:lang w:val="pl-PL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  <w:lang w:val="pl-PL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  <w:lang w:val="pl-P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lang w:val="pl-PL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5 Wykaz uslug Zastępcza obsługa kasowa 2027</dc:title>
  <dc:subject>Świadczenie usługi polegającej na prowadzeniu zastępczej obsługi kasowej na rzecz Sądu Rejonowego w Mińsku Mazowieckim</dc:subject>
  <dc:creator>Sąd Rejonowy w Mińsku Mazowieckim</dc:creator>
  <cp:keywords>2027; SWZ; e-Zamówienia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