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05A63"/>
          <w:sz w:val="20"/>
        </w:rPr>
        <w:t>ZAŁĄCZNIK 9  /  Z OFERTĄ WSPÓLNĄ – GDY DOTYCZY</w:t>
      </w:r>
    </w:p>
    <w:p>
      <w:pPr>
        <w:pStyle w:val="Title"/>
      </w:pPr>
      <w:r>
        <w:t>Podział usług w ofercie wspólnej</w:t>
      </w:r>
    </w:p>
    <w:p>
      <w:r>
        <w:rPr>
          <w:color w:val="505A63"/>
          <w:sz w:val="20"/>
        </w:rPr>
        <w:t>Zastępcza obsługa kasowa 2027  •  Sąd Rejonowy w Mińsku Mazowieckim</w:t>
      </w:r>
    </w:p>
    <w:p>
      <w:r>
        <w:t xml:space="preserve">Nr postępowania: OA.261.17.2026</w:t>
      </w:r>
    </w:p>
    <w:p>
      <w:r>
        <w:t>Oświadczenie z art. 117 ust. 4 Pzp. Wskaż zadania każdego wykonawcy wspólnego i warunki wykazywane przez poszczególne podmioty.</w:t>
      </w:r>
    </w:p>
    <w:p>
      <w:r>
        <w:rPr>
          <w:color w:val="505A63"/>
          <w:sz w:val="20"/>
        </w:rPr>
        <w:t>Przekaż tylko dokumenty wymagane na danym etapie. Każdy formularz podpisuje właściwy podmiot.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05"/>
        <w:gridCol w:w="6633"/>
      </w:tblGrid>
      <w:tr>
        <w:trPr>
          <w:trHeight w:val="567" w:hRule="atLeast"/>
          <w:cantSplit/>
        </w:trPr>
        <w:tc>
          <w:tcPr>
            <w:tcW w:type="dxa" w:w="300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b/>
                <w:sz w:val="21"/>
              </w:rPr>
              <w:t>Pełnomocnik wykonawców wspólnych</w:t>
            </w:r>
          </w:p>
        </w:tc>
        <w:tc>
          <w:tcPr>
            <w:tcW w:type="dxa" w:w="663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i/>
                <w:color w:val="737D86"/>
                <w:sz w:val="21"/>
              </w:rPr>
              <w:t>Nazwa lub imię i nazwisko oraz dane kontaktowe</w:t>
            </w:r>
          </w:p>
        </w:tc>
      </w:tr>
    </w:tbl>
    <w:p>
      <w:pPr>
        <w:spacing w:after="20"/>
      </w:pPr>
      <w:r/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3969"/>
        <w:gridCol w:w="2778"/>
      </w:tblGrid>
      <w:tr>
        <w:trPr>
          <w:cantSplit/>
          <w:tblHeader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233B50"/>
          </w:tcPr>
          <w:p>
            <w:pPr>
              <w:spacing w:after="20" w:before="20" w:line="252" w:lineRule="auto"/>
            </w:pPr>
            <w:r>
              <w:rPr>
                <w:b/>
                <w:color w:val="FFFFFF"/>
                <w:sz w:val="21"/>
              </w:rPr>
              <w:t>Wykonawca</w:t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233B50"/>
          </w:tcPr>
          <w:p>
            <w:pPr>
              <w:spacing w:after="20" w:before="20" w:line="252" w:lineRule="auto"/>
            </w:pPr>
            <w:r>
              <w:rPr>
                <w:b/>
                <w:color w:val="FFFFFF"/>
                <w:sz w:val="21"/>
              </w:rPr>
              <w:t>Usługi które wykona</w:t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233B50"/>
          </w:tcPr>
          <w:p>
            <w:pPr>
              <w:spacing w:after="20" w:before="20" w:line="252" w:lineRule="auto"/>
            </w:pPr>
            <w:r>
              <w:rPr>
                <w:b/>
                <w:color w:val="FFFFFF"/>
                <w:sz w:val="21"/>
              </w:rPr>
              <w:t>Warunek który wykazuje</w:t>
            </w:r>
          </w:p>
        </w:tc>
      </w:tr>
      <w:tr>
        <w:trPr>
          <w:cantSplit/>
          <w:trHeight w:val="1134" w:hRule="atLeast"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</w:tr>
      <w:tr>
        <w:trPr>
          <w:cantSplit/>
          <w:trHeight w:val="1134" w:hRule="atLeast"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3F6F8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</w:tr>
      <w:tr>
        <w:trPr>
          <w:cantSplit/>
          <w:trHeight w:val="1134" w:hRule="atLeast"/>
        </w:trPr>
        <w:tc>
          <w:tcPr>
            <w:tcW w:type="dxa" w:w="289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  <w:tc>
          <w:tcPr>
            <w:tcW w:type="dxa" w:w="3969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  <w:tc>
          <w:tcPr>
            <w:tcW w:type="dxa" w:w="277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25" w:type="dxa"/>
              <w:right w:w="125" w:type="dxa"/>
            </w:tcMar>
            <w:shd w:fill="FFFFFF"/>
          </w:tcPr>
          <w:p>
            <w:pPr>
              <w:spacing w:after="20" w:before="20" w:line="252" w:lineRule="auto"/>
            </w:pPr>
            <w:r>
              <w:rPr>
                <w:sz w:val="21"/>
              </w:rPr>
            </w:r>
          </w:p>
        </w:tc>
      </w:tr>
    </w:tbl>
    <w:p>
      <w:pPr>
        <w:spacing w:after="20"/>
      </w:pPr>
      <w:r/>
    </w:p>
    <w:p>
      <w:r>
        <w:t xml:space="preserve">Usługi, do których realizacji wymagane są doświadczenie lub kwalifikacje określone w SWZ, wykonają wskazani wykonawcy posiadający te zdolności. Podział usług odpowiada wskazanemu zakresowi spełniania warunków udziału w postępowaniu.</w:t>
      </w:r>
    </w:p>
    <w:p>
      <w:r>
        <w:rPr>
          <w:color w:val="505A63"/>
          <w:sz w:val="20"/>
        </w:rPr>
        <w:t>Dodaj wiersze, jeżeli w ofercie wspólnej uczestniczy więcej wykonawców. Pełnomocnictwo do reprezentacji wykonawców dołącz oddzielnie.</w:t>
      </w:r>
    </w:p>
    <w:p>
      <w:r>
        <w:rPr>
          <w:color w:val="505A63"/>
          <w:sz w:val="20"/>
        </w:rPr>
        <w:t>Data: ____________________</w:t>
      </w:r>
    </w:p>
    <w:p>
      <w:r>
        <w:rPr>
          <w:color w:val="505A63"/>
          <w:sz w:val="20"/>
        </w:rPr>
        <w:t>Dokument podpisują elektronicznie wykonawcy wspólni albo ich należycie umocowany pełnomocnik. Dopuszczalne podpisy: kwalifikowany, zaufany albo osobisty.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964" w:left="1134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05A63"/>
        <w:sz w:val="18"/>
      </w:rPr>
      <w:t>Formularze  |  Zastępcza obsługa kasowa 2027</w:t>
      <w:tab/>
    </w:r>
    <w:fldSimple w:instr="PAGE"/>
    <w:r>
      <w:rPr>
        <w:color w:val="505A63"/>
        <w:sz w:val="18"/>
      </w:rPr>
      <w:t xml:space="preserve"> / </w:t>
    </w:r>
    <w:fldSimple w:instr="NUMPAGES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Calibri" w:hAnsi="Calibri"/>
        <w:color w:val="000000"/>
        <w:sz w:val="17"/>
      </w:rPr>
      <w:t>SĄD REJONOWY W MIŃSKU MAZOWIECKIM  /  ZAMÓWIENIA 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20"/>
    </w:pPr>
    <w:rPr>
      <w:rFonts w:ascii="Calibri" w:hAnsi="Calibri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l-P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="Calibri" w:hAnsi="Calibri"/>
      <w:b/>
      <w:bCs/>
      <w:i w:val="0"/>
      <w:color w:val="000000"/>
      <w:sz w:val="30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="Calibri" w:hAnsi="Calibri"/>
      <w:b/>
      <w:bCs/>
      <w:i w:val="0"/>
      <w:color w:val="000000"/>
      <w:sz w:val="24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/>
      <w:outlineLvl w:val="2"/>
    </w:pPr>
    <w:rPr>
      <w:rFonts w:ascii="Calibri" w:hAnsi="Calibri"/>
      <w:b/>
      <w:bCs/>
      <w:i w:val="0"/>
      <w:color w:val="000000"/>
      <w:sz w:val="22"/>
      <w:lang w:val="pl-P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pl-P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val="pl-P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val="pl-P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pl-P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pl-P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pl-P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120"/>
      <w:contextualSpacing/>
    </w:pPr>
    <w:rPr>
      <w:rFonts w:ascii="Calibri" w:hAnsi="Calibri"/>
      <w:b w:val="0"/>
      <w:i w:val="0"/>
      <w:color w:val="000000"/>
      <w:spacing w:val="5"/>
      <w:kern w:val="28"/>
      <w:sz w:val="50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120" w:after="140"/>
    </w:pPr>
    <w:rPr>
      <w:rFonts w:ascii="Calibri" w:hAnsi="Calibri"/>
      <w:b w:val="0"/>
      <w:i w:val="0"/>
      <w:iCs/>
      <w:color w:val="000000"/>
      <w:spacing w:val="15"/>
      <w:sz w:val="36"/>
      <w:szCs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pl-P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pl-P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pl-P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pl-PL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pl-P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pl-P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pl-P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lang w:val="pl-P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pl-P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pl-P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pl-P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pl-P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pl-P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pl-P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pl-P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pl-P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lang w:val="pl-PL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pl-PL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pl-PL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lang w:val="pl-P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pl-P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9 Oferta wspolna Zastępcza obsługa kasowa 2027</dc:title>
  <dc:subject>Świadczenie usługi polegającej na prowadzeniu zastępczej obsługi kasowej na rzecz Sądu Rejonowego w Mińsku Mazowieckim</dc:subject>
  <dc:creator>Sąd Rejonowy w Mińsku Mazowieckim</dc:creator>
  <cp:keywords>2027; SWZ; e-Zamówienia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