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7496E" w14:textId="55584114" w:rsidR="00E229A3" w:rsidRPr="003015CA" w:rsidRDefault="001C53AF" w:rsidP="003015CA">
      <w:pPr>
        <w:spacing w:line="276" w:lineRule="auto"/>
        <w:jc w:val="right"/>
        <w:rPr>
          <w:rFonts w:ascii="Cambria" w:hAnsi="Cambria"/>
          <w:sz w:val="22"/>
          <w:szCs w:val="22"/>
        </w:rPr>
      </w:pPr>
      <w:r w:rsidRPr="003015CA">
        <w:rPr>
          <w:rFonts w:ascii="Cambria" w:hAnsi="Cambria"/>
          <w:sz w:val="22"/>
          <w:szCs w:val="22"/>
          <w:lang w:eastAsia="en-US"/>
        </w:rPr>
        <w:t>Załącznik nr 7</w:t>
      </w:r>
      <w:r w:rsidR="003015CA">
        <w:rPr>
          <w:rFonts w:ascii="Cambria" w:hAnsi="Cambria"/>
          <w:sz w:val="22"/>
          <w:szCs w:val="22"/>
          <w:lang w:eastAsia="en-US"/>
        </w:rPr>
        <w:t xml:space="preserve"> - </w:t>
      </w:r>
      <w:r w:rsidR="00E229A3" w:rsidRPr="003015CA">
        <w:rPr>
          <w:rFonts w:ascii="Cambria" w:hAnsi="Cambria"/>
          <w:sz w:val="22"/>
          <w:szCs w:val="22"/>
        </w:rPr>
        <w:t>Uzasadnienie braku podziału zamówienia na części</w:t>
      </w:r>
    </w:p>
    <w:p w14:paraId="31392834" w14:textId="77777777" w:rsidR="00472105" w:rsidRPr="003015CA" w:rsidRDefault="00472105" w:rsidP="003015CA">
      <w:pPr>
        <w:spacing w:after="200" w:line="276" w:lineRule="auto"/>
        <w:jc w:val="both"/>
        <w:rPr>
          <w:rFonts w:ascii="Cambria" w:hAnsi="Cambria"/>
          <w:b/>
          <w:sz w:val="22"/>
          <w:szCs w:val="22"/>
          <w:lang w:val="fr-FR" w:eastAsia="en-US"/>
        </w:rPr>
      </w:pPr>
    </w:p>
    <w:p w14:paraId="5AF2D6C8" w14:textId="7FC99E3D" w:rsidR="00472105" w:rsidRPr="003015CA" w:rsidRDefault="00472105" w:rsidP="003015CA">
      <w:pPr>
        <w:spacing w:after="200" w:line="276" w:lineRule="auto"/>
        <w:jc w:val="both"/>
        <w:rPr>
          <w:rFonts w:ascii="Cambria" w:hAnsi="Cambria"/>
          <w:sz w:val="22"/>
          <w:szCs w:val="22"/>
          <w:lang w:val="fr-FR" w:eastAsia="en-US"/>
        </w:rPr>
      </w:pPr>
      <w:r w:rsidRPr="003015CA">
        <w:rPr>
          <w:rFonts w:ascii="Cambria" w:hAnsi="Cambria"/>
          <w:b/>
          <w:sz w:val="22"/>
          <w:szCs w:val="22"/>
          <w:lang w:val="fr-FR" w:eastAsia="en-US"/>
        </w:rPr>
        <w:t xml:space="preserve">ZNAK SPRAWY: </w:t>
      </w:r>
      <w:r w:rsidR="00DD7300" w:rsidRPr="00DD7300">
        <w:rPr>
          <w:rFonts w:ascii="Cambria" w:hAnsi="Cambria"/>
          <w:b/>
          <w:sz w:val="22"/>
          <w:szCs w:val="22"/>
          <w:lang w:eastAsia="en-US"/>
        </w:rPr>
        <w:t>SUW.2611.3.2026</w:t>
      </w:r>
    </w:p>
    <w:p w14:paraId="0194E814" w14:textId="248D41A6" w:rsidR="003015CA" w:rsidRPr="00DD7300" w:rsidRDefault="003015CA" w:rsidP="00DD7300">
      <w:pPr>
        <w:spacing w:before="100" w:beforeAutospacing="1" w:after="100" w:afterAutospacing="1"/>
        <w:jc w:val="both"/>
        <w:rPr>
          <w:rFonts w:ascii="Cambria" w:eastAsia="Times New Roman" w:hAnsi="Cambria"/>
          <w:b/>
          <w:bCs/>
          <w:sz w:val="22"/>
          <w:szCs w:val="22"/>
        </w:rPr>
      </w:pPr>
      <w:r w:rsidRPr="003015CA">
        <w:rPr>
          <w:rFonts w:ascii="Cambria" w:eastAsia="Times New Roman" w:hAnsi="Cambria"/>
          <w:b/>
          <w:bCs/>
          <w:sz w:val="22"/>
          <w:szCs w:val="22"/>
        </w:rPr>
        <w:t>Dot.:</w:t>
      </w:r>
      <w:r w:rsidRPr="003015CA">
        <w:rPr>
          <w:rFonts w:ascii="Cambria" w:eastAsia="Times New Roman" w:hAnsi="Cambria"/>
          <w:sz w:val="22"/>
          <w:szCs w:val="22"/>
        </w:rPr>
        <w:t xml:space="preserve"> Zamówienia pod nazwą </w:t>
      </w:r>
      <w:r w:rsidRPr="003015CA">
        <w:rPr>
          <w:rFonts w:ascii="Cambria" w:eastAsia="Times New Roman" w:hAnsi="Cambria"/>
          <w:b/>
          <w:bCs/>
          <w:sz w:val="22"/>
          <w:szCs w:val="22"/>
        </w:rPr>
        <w:t>„</w:t>
      </w:r>
      <w:r w:rsidR="00DD7300" w:rsidRPr="00DD7300">
        <w:rPr>
          <w:rFonts w:ascii="Cambria" w:eastAsia="Times New Roman" w:hAnsi="Cambria"/>
          <w:b/>
          <w:bCs/>
          <w:sz w:val="22"/>
          <w:szCs w:val="22"/>
        </w:rPr>
        <w:t xml:space="preserve">Wdrożenie rozwiązań z zakresu </w:t>
      </w:r>
      <w:proofErr w:type="spellStart"/>
      <w:r w:rsidR="00DD7300" w:rsidRPr="00DD7300">
        <w:rPr>
          <w:rFonts w:ascii="Cambria" w:eastAsia="Times New Roman" w:hAnsi="Cambria"/>
          <w:b/>
          <w:bCs/>
          <w:sz w:val="22"/>
          <w:szCs w:val="22"/>
        </w:rPr>
        <w:t>cyberbezpieczeństwa</w:t>
      </w:r>
      <w:proofErr w:type="spellEnd"/>
      <w:r w:rsidR="00DD7300" w:rsidRPr="00DD7300">
        <w:rPr>
          <w:rFonts w:ascii="Cambria" w:eastAsia="Times New Roman" w:hAnsi="Cambria"/>
          <w:b/>
          <w:bCs/>
          <w:sz w:val="22"/>
          <w:szCs w:val="22"/>
        </w:rPr>
        <w:t xml:space="preserve"> IT w Stacji Uzdatniania Wody w Mędrzechowie</w:t>
      </w:r>
      <w:r w:rsidRPr="003015CA">
        <w:rPr>
          <w:rFonts w:ascii="Cambria" w:eastAsia="Times New Roman" w:hAnsi="Cambria"/>
          <w:b/>
          <w:bCs/>
          <w:sz w:val="22"/>
          <w:szCs w:val="22"/>
        </w:rPr>
        <w:t>”</w:t>
      </w:r>
      <w:r w:rsidRPr="003015CA">
        <w:rPr>
          <w:rFonts w:ascii="Cambria" w:eastAsia="Times New Roman" w:hAnsi="Cambria"/>
          <w:sz w:val="22"/>
          <w:szCs w:val="22"/>
        </w:rPr>
        <w:t xml:space="preserve"> (projekt „</w:t>
      </w:r>
      <w:proofErr w:type="spellStart"/>
      <w:r w:rsidRPr="003015CA">
        <w:rPr>
          <w:rFonts w:ascii="Cambria" w:eastAsia="Times New Roman" w:hAnsi="Cambria"/>
          <w:sz w:val="22"/>
          <w:szCs w:val="22"/>
        </w:rPr>
        <w:t>Cyberbezpieczne</w:t>
      </w:r>
      <w:proofErr w:type="spellEnd"/>
      <w:r w:rsidRPr="003015CA">
        <w:rPr>
          <w:rFonts w:ascii="Cambria" w:eastAsia="Times New Roman" w:hAnsi="Cambria"/>
          <w:sz w:val="22"/>
          <w:szCs w:val="22"/>
        </w:rPr>
        <w:t xml:space="preserve"> Wodociągi”, C3.1.1. </w:t>
      </w:r>
      <w:proofErr w:type="spellStart"/>
      <w:r w:rsidRPr="003015CA">
        <w:rPr>
          <w:rFonts w:ascii="Cambria" w:eastAsia="Times New Roman" w:hAnsi="Cambria"/>
          <w:sz w:val="22"/>
          <w:szCs w:val="22"/>
        </w:rPr>
        <w:t>Cyberbezpieczeństwo</w:t>
      </w:r>
      <w:proofErr w:type="spellEnd"/>
      <w:r w:rsidRPr="003015CA">
        <w:rPr>
          <w:rFonts w:ascii="Cambria" w:eastAsia="Times New Roman" w:hAnsi="Cambria"/>
          <w:sz w:val="22"/>
          <w:szCs w:val="22"/>
        </w:rPr>
        <w:t xml:space="preserve"> - </w:t>
      </w:r>
      <w:proofErr w:type="spellStart"/>
      <w:r w:rsidRPr="003015CA">
        <w:rPr>
          <w:rFonts w:ascii="Cambria" w:eastAsia="Times New Roman" w:hAnsi="Cambria"/>
          <w:sz w:val="22"/>
          <w:szCs w:val="22"/>
        </w:rPr>
        <w:t>CyberPL</w:t>
      </w:r>
      <w:proofErr w:type="spellEnd"/>
      <w:r w:rsidRPr="003015CA">
        <w:rPr>
          <w:rFonts w:ascii="Cambria" w:eastAsia="Times New Roman" w:hAnsi="Cambria"/>
          <w:sz w:val="22"/>
          <w:szCs w:val="22"/>
        </w:rPr>
        <w:t xml:space="preserve">, Krajowy Plan Odbudowy i Zwiększania Odporności) </w:t>
      </w:r>
    </w:p>
    <w:p w14:paraId="4897EF0D"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Zamawiający – Stacja Uzdatniania Wody w Mędrzechowie – odstąpił od podziału zamówienia na części z uwagi na opisane poniżej przesłanki o charakterze technicznym, technologicznym, organizacyjnym oraz prawno-finansowym.</w:t>
      </w:r>
    </w:p>
    <w:p w14:paraId="07BAB0E0" w14:textId="77777777" w:rsidR="003015CA" w:rsidRPr="003015CA" w:rsidRDefault="003015CA" w:rsidP="003015CA">
      <w:pPr>
        <w:spacing w:before="100" w:beforeAutospacing="1" w:after="100" w:afterAutospacing="1"/>
        <w:jc w:val="both"/>
        <w:outlineLvl w:val="2"/>
        <w:rPr>
          <w:rFonts w:ascii="Cambria" w:eastAsia="Times New Roman" w:hAnsi="Cambria"/>
          <w:b/>
          <w:bCs/>
          <w:sz w:val="22"/>
          <w:szCs w:val="22"/>
        </w:rPr>
      </w:pPr>
      <w:r w:rsidRPr="003015CA">
        <w:rPr>
          <w:rFonts w:ascii="Cambria" w:eastAsia="Times New Roman" w:hAnsi="Cambria"/>
          <w:b/>
          <w:bCs/>
          <w:sz w:val="22"/>
          <w:szCs w:val="22"/>
        </w:rPr>
        <w:t>1. Zależności technologiczne oraz integralność sprzętu i oprogramowania</w:t>
      </w:r>
    </w:p>
    <w:p w14:paraId="20203694"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W ramach postępowania dostarczony zostanie sprzęt fizyczny (m.in. serwery fizyczne klastra HA, macierz dyskowa SSD, </w:t>
      </w:r>
      <w:proofErr w:type="spellStart"/>
      <w:r w:rsidRPr="003015CA">
        <w:rPr>
          <w:rFonts w:ascii="Cambria" w:eastAsia="Times New Roman" w:hAnsi="Cambria"/>
          <w:sz w:val="22"/>
          <w:szCs w:val="22"/>
        </w:rPr>
        <w:t>deduplikator</w:t>
      </w:r>
      <w:proofErr w:type="spellEnd"/>
      <w:r w:rsidRPr="003015CA">
        <w:rPr>
          <w:rFonts w:ascii="Cambria" w:eastAsia="Times New Roman" w:hAnsi="Cambria"/>
          <w:sz w:val="22"/>
          <w:szCs w:val="22"/>
        </w:rPr>
        <w:t xml:space="preserve"> NAS, urządzenia UTM w klastrze Active-</w:t>
      </w:r>
      <w:proofErr w:type="spellStart"/>
      <w:r w:rsidRPr="003015CA">
        <w:rPr>
          <w:rFonts w:ascii="Cambria" w:eastAsia="Times New Roman" w:hAnsi="Cambria"/>
          <w:sz w:val="22"/>
          <w:szCs w:val="22"/>
        </w:rPr>
        <w:t>Passive</w:t>
      </w:r>
      <w:proofErr w:type="spellEnd"/>
      <w:r w:rsidRPr="003015CA">
        <w:rPr>
          <w:rFonts w:ascii="Cambria" w:eastAsia="Times New Roman" w:hAnsi="Cambria"/>
          <w:sz w:val="22"/>
          <w:szCs w:val="22"/>
        </w:rPr>
        <w:t xml:space="preserve">, WAF, NDR z </w:t>
      </w:r>
      <w:proofErr w:type="spellStart"/>
      <w:r w:rsidRPr="003015CA">
        <w:rPr>
          <w:rFonts w:ascii="Cambria" w:eastAsia="Times New Roman" w:hAnsi="Cambria"/>
          <w:sz w:val="22"/>
          <w:szCs w:val="22"/>
        </w:rPr>
        <w:t>HoneyPot</w:t>
      </w:r>
      <w:proofErr w:type="spellEnd"/>
      <w:r w:rsidRPr="003015CA">
        <w:rPr>
          <w:rFonts w:ascii="Cambria" w:eastAsia="Times New Roman" w:hAnsi="Cambria"/>
          <w:sz w:val="22"/>
          <w:szCs w:val="22"/>
        </w:rPr>
        <w:t xml:space="preserve">, przełączniki szkieletowe i dostępowe, punkty dostępowe Wi-Fi) oraz zaawansowane oprogramowanie systemowe i dziedzinowe (m.in. SIEM/SOAR, EDR/XDR/MFA, oprogramowanie do monitorowania infrastruktury, NAC, system wirtualizacji, oprogramowanie do kopii zapasowych, DLP, PAM, ITSM). </w:t>
      </w:r>
    </w:p>
    <w:p w14:paraId="0EDA7DE5"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Ze względów technologicznych i wykonawczych sprzęt oraz zainstalowane na nim oprogramowanie muszą być skonfigurowane łącznie – bez odpowiedniego oprogramowania sprzęt jest bezużyteczny, i odwrotnie. Wdrożenie ma na celu stworzenie zintegrowanego środowiska serwerowo-sieciowego odpornego na awarie pojedynczych elementów (HA) i połączonego siecią 10Gb. Zamawiany sprzęt tworzy dedykowaną infrastrukturę teleinformatyczną, która wyłącznie wraz z oprogramowaniem stanowi spójną i niepodzielną całość. </w:t>
      </w:r>
    </w:p>
    <w:p w14:paraId="6F1C8185" w14:textId="77777777" w:rsidR="003015CA" w:rsidRPr="003015CA" w:rsidRDefault="003015CA" w:rsidP="003015CA">
      <w:pPr>
        <w:spacing w:before="100" w:beforeAutospacing="1" w:after="100" w:afterAutospacing="1"/>
        <w:jc w:val="both"/>
        <w:outlineLvl w:val="2"/>
        <w:rPr>
          <w:rFonts w:ascii="Cambria" w:eastAsia="Times New Roman" w:hAnsi="Cambria"/>
          <w:b/>
          <w:bCs/>
          <w:sz w:val="22"/>
          <w:szCs w:val="22"/>
        </w:rPr>
      </w:pPr>
      <w:r w:rsidRPr="003015CA">
        <w:rPr>
          <w:rFonts w:ascii="Cambria" w:eastAsia="Times New Roman" w:hAnsi="Cambria"/>
          <w:b/>
          <w:bCs/>
          <w:sz w:val="22"/>
          <w:szCs w:val="22"/>
        </w:rPr>
        <w:t>2. Trudności techniczne, ryzyko rozmycia odpowiedzialności i gwarancji</w:t>
      </w:r>
    </w:p>
    <w:p w14:paraId="33A1C886"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Podział zamówienia na części groziłby nadmiernymi trudnościami technicznymi w związku z potrzebą skoordynowania działań różnych wykonawców realizujących wspólnie poszczególne elementy. </w:t>
      </w:r>
    </w:p>
    <w:p w14:paraId="6096843C" w14:textId="77777777" w:rsidR="003015CA" w:rsidRPr="003015CA" w:rsidRDefault="003015CA" w:rsidP="003015CA">
      <w:pPr>
        <w:numPr>
          <w:ilvl w:val="0"/>
          <w:numId w:val="1"/>
        </w:numPr>
        <w:spacing w:before="100" w:beforeAutospacing="1" w:after="100" w:afterAutospacing="1"/>
        <w:jc w:val="both"/>
        <w:rPr>
          <w:rFonts w:ascii="Cambria" w:eastAsia="Times New Roman" w:hAnsi="Cambria"/>
          <w:sz w:val="22"/>
          <w:szCs w:val="22"/>
        </w:rPr>
      </w:pPr>
      <w:r w:rsidRPr="003015CA">
        <w:rPr>
          <w:rFonts w:ascii="Cambria" w:eastAsia="Times New Roman" w:hAnsi="Cambria"/>
          <w:b/>
          <w:bCs/>
          <w:sz w:val="22"/>
          <w:szCs w:val="22"/>
        </w:rPr>
        <w:t>Kompatybilność i konfiguracja:</w:t>
      </w:r>
      <w:r w:rsidRPr="003015CA">
        <w:rPr>
          <w:rFonts w:ascii="Cambria" w:eastAsia="Times New Roman" w:hAnsi="Cambria"/>
          <w:sz w:val="22"/>
          <w:szCs w:val="22"/>
        </w:rPr>
        <w:t xml:space="preserve"> W przypadku podziału wykonawca części oprogramowania musiałby dostosowywać się do sprzętu dostarczanego przez inny podmiot. Wykonawca części sprzętowej nie posiadałby wiedzy na temat dokładnych wymogów technologicznych oprogramowania oferowanego przez drugi podmiot (np. typów aplikacji, użytych </w:t>
      </w:r>
      <w:proofErr w:type="spellStart"/>
      <w:r w:rsidRPr="003015CA">
        <w:rPr>
          <w:rFonts w:ascii="Cambria" w:eastAsia="Times New Roman" w:hAnsi="Cambria"/>
          <w:sz w:val="22"/>
          <w:szCs w:val="22"/>
        </w:rPr>
        <w:t>architektur</w:t>
      </w:r>
      <w:proofErr w:type="spellEnd"/>
      <w:r w:rsidRPr="003015CA">
        <w:rPr>
          <w:rFonts w:ascii="Cambria" w:eastAsia="Times New Roman" w:hAnsi="Cambria"/>
          <w:sz w:val="22"/>
          <w:szCs w:val="22"/>
        </w:rPr>
        <w:t xml:space="preserve">), co stwarzałoby realne ryzyko dostarczenia infrastruktury niekompatybilnej lub niedostosowanej do potrzeb systemu. </w:t>
      </w:r>
    </w:p>
    <w:p w14:paraId="095BDD8C" w14:textId="77777777" w:rsidR="003015CA" w:rsidRPr="003015CA" w:rsidRDefault="003015CA" w:rsidP="003015CA">
      <w:pPr>
        <w:numPr>
          <w:ilvl w:val="0"/>
          <w:numId w:val="1"/>
        </w:numPr>
        <w:spacing w:before="100" w:beforeAutospacing="1" w:after="100" w:afterAutospacing="1"/>
        <w:jc w:val="both"/>
        <w:rPr>
          <w:rFonts w:ascii="Cambria" w:eastAsia="Times New Roman" w:hAnsi="Cambria"/>
          <w:sz w:val="22"/>
          <w:szCs w:val="22"/>
        </w:rPr>
      </w:pPr>
      <w:r w:rsidRPr="003015CA">
        <w:rPr>
          <w:rFonts w:ascii="Cambria" w:eastAsia="Times New Roman" w:hAnsi="Cambria"/>
          <w:b/>
          <w:bCs/>
          <w:sz w:val="22"/>
          <w:szCs w:val="22"/>
        </w:rPr>
        <w:t>Gwarancja i ingerencja w konfigurację:</w:t>
      </w:r>
      <w:r w:rsidRPr="003015CA">
        <w:rPr>
          <w:rFonts w:ascii="Cambria" w:eastAsia="Times New Roman" w:hAnsi="Cambria"/>
          <w:sz w:val="22"/>
          <w:szCs w:val="22"/>
        </w:rPr>
        <w:t xml:space="preserve"> Zmiany konfiguracji dokonywane przez wykonawcę oprogramowania na sprzęcie innego dostawcy mogłyby prowadzić do sporów dotyczących utraty gwarancji producenta sprzętu. </w:t>
      </w:r>
    </w:p>
    <w:p w14:paraId="244EFEFB" w14:textId="77777777" w:rsidR="003015CA" w:rsidRPr="003015CA" w:rsidRDefault="003015CA" w:rsidP="003015CA">
      <w:pPr>
        <w:numPr>
          <w:ilvl w:val="0"/>
          <w:numId w:val="1"/>
        </w:numPr>
        <w:spacing w:before="100" w:beforeAutospacing="1" w:after="100" w:afterAutospacing="1"/>
        <w:jc w:val="both"/>
        <w:rPr>
          <w:rFonts w:ascii="Cambria" w:eastAsia="Times New Roman" w:hAnsi="Cambria"/>
          <w:sz w:val="22"/>
          <w:szCs w:val="22"/>
        </w:rPr>
      </w:pPr>
      <w:r w:rsidRPr="003015CA">
        <w:rPr>
          <w:rFonts w:ascii="Cambria" w:eastAsia="Times New Roman" w:hAnsi="Cambria"/>
          <w:b/>
          <w:bCs/>
          <w:sz w:val="22"/>
          <w:szCs w:val="22"/>
        </w:rPr>
        <w:t>Podwójna wycena i wzrost kosztów:</w:t>
      </w:r>
      <w:r w:rsidRPr="003015CA">
        <w:rPr>
          <w:rFonts w:ascii="Cambria" w:eastAsia="Times New Roman" w:hAnsi="Cambria"/>
          <w:sz w:val="22"/>
          <w:szCs w:val="22"/>
        </w:rPr>
        <w:t xml:space="preserve"> Wykonawcy w celu zabezpieczenia się przed ryzykiem nieoptymalnej konfiguracji lub braku kompetencji drugiego podmiotu podwyższyliby ceny ofertowe. Zaistniałoby również ryzyko podwójnego szacowania kosztów konfiguracji i parametryzacji. </w:t>
      </w:r>
    </w:p>
    <w:p w14:paraId="0598A2BA" w14:textId="77777777" w:rsidR="003015CA" w:rsidRPr="003015CA" w:rsidRDefault="003015CA" w:rsidP="003015CA">
      <w:pPr>
        <w:numPr>
          <w:ilvl w:val="0"/>
          <w:numId w:val="1"/>
        </w:numPr>
        <w:spacing w:before="100" w:beforeAutospacing="1" w:after="100" w:afterAutospacing="1"/>
        <w:jc w:val="both"/>
        <w:rPr>
          <w:rFonts w:ascii="Cambria" w:eastAsia="Times New Roman" w:hAnsi="Cambria"/>
          <w:sz w:val="22"/>
          <w:szCs w:val="22"/>
        </w:rPr>
      </w:pPr>
      <w:r w:rsidRPr="003015CA">
        <w:rPr>
          <w:rFonts w:ascii="Cambria" w:eastAsia="Times New Roman" w:hAnsi="Cambria"/>
          <w:b/>
          <w:bCs/>
          <w:sz w:val="22"/>
          <w:szCs w:val="22"/>
        </w:rPr>
        <w:t>Jednolita odpowiedzialność (brak rozmycia odpowiedzialności):</w:t>
      </w:r>
      <w:r w:rsidRPr="003015CA">
        <w:rPr>
          <w:rFonts w:ascii="Cambria" w:eastAsia="Times New Roman" w:hAnsi="Cambria"/>
          <w:sz w:val="22"/>
          <w:szCs w:val="22"/>
        </w:rPr>
        <w:t xml:space="preserve"> Wykonywanie całego zamówienia przez jeden podmiot gwarantuje, że Wykonawca odpowiedzialny za całość wdrożenia i serwisu gwarancyjnego nie będzie mógł obarczać winą za ewentualne niepowodzenia lub opóźnienia dostawcy drugiej części zamówienia. </w:t>
      </w:r>
    </w:p>
    <w:p w14:paraId="4BA76E3F" w14:textId="77777777" w:rsidR="003015CA" w:rsidRPr="003015CA" w:rsidRDefault="003015CA" w:rsidP="003015CA">
      <w:pPr>
        <w:keepNext/>
        <w:spacing w:before="100" w:beforeAutospacing="1" w:after="100" w:afterAutospacing="1"/>
        <w:jc w:val="both"/>
        <w:outlineLvl w:val="2"/>
        <w:rPr>
          <w:rFonts w:ascii="Cambria" w:eastAsia="Times New Roman" w:hAnsi="Cambria"/>
          <w:b/>
          <w:bCs/>
          <w:sz w:val="22"/>
          <w:szCs w:val="22"/>
        </w:rPr>
      </w:pPr>
      <w:r w:rsidRPr="003015CA">
        <w:rPr>
          <w:rFonts w:ascii="Cambria" w:eastAsia="Times New Roman" w:hAnsi="Cambria"/>
          <w:b/>
          <w:bCs/>
          <w:sz w:val="22"/>
          <w:szCs w:val="22"/>
        </w:rPr>
        <w:lastRenderedPageBreak/>
        <w:t>3. Ramy czasowe i wymogi projektu finansowanego z KPO / Grantu</w:t>
      </w:r>
    </w:p>
    <w:p w14:paraId="713D34F6"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Projekt realizowany jest w ramach Krajowego Planu Odbudowy i Zwiększania Odporności (C3.1.1. </w:t>
      </w:r>
      <w:proofErr w:type="spellStart"/>
      <w:r w:rsidRPr="003015CA">
        <w:rPr>
          <w:rFonts w:ascii="Cambria" w:eastAsia="Times New Roman" w:hAnsi="Cambria"/>
          <w:sz w:val="22"/>
          <w:szCs w:val="22"/>
        </w:rPr>
        <w:t>Cyberbezpieczeństwo</w:t>
      </w:r>
      <w:proofErr w:type="spellEnd"/>
      <w:r w:rsidRPr="003015CA">
        <w:rPr>
          <w:rFonts w:ascii="Cambria" w:eastAsia="Times New Roman" w:hAnsi="Cambria"/>
          <w:sz w:val="22"/>
          <w:szCs w:val="22"/>
        </w:rPr>
        <w:t xml:space="preserve"> - </w:t>
      </w:r>
      <w:proofErr w:type="spellStart"/>
      <w:r w:rsidRPr="003015CA">
        <w:rPr>
          <w:rFonts w:ascii="Cambria" w:eastAsia="Times New Roman" w:hAnsi="Cambria"/>
          <w:sz w:val="22"/>
          <w:szCs w:val="22"/>
        </w:rPr>
        <w:t>CyberPL</w:t>
      </w:r>
      <w:proofErr w:type="spellEnd"/>
      <w:r w:rsidRPr="003015CA">
        <w:rPr>
          <w:rFonts w:ascii="Cambria" w:eastAsia="Times New Roman" w:hAnsi="Cambria"/>
          <w:sz w:val="22"/>
          <w:szCs w:val="22"/>
        </w:rPr>
        <w:t xml:space="preserve">). Nakłada to na Zamawiającego rygorystyczne ramy czasowe w zakresie wykonania wdrożenia, spełnienia wskaźników projektu oraz rozliczenia dotacji. Ewentualne niepowodzenie lub opóźnienie w realizacji jednej z części zamówienia (np. z powodu przedłużających się procedur przetargowych lub braku kompatybilności urządzeń) zagrażałoby terminowej realizacji całego przedsięwzięcia, co skutkowałoby ryzykiem utraty dofinansowania i koniecznością zwrotu środków. Jednolity wykonawca pozwala na sprawną organizację harmonogramu prac i bieżącą reakcję na ewentualne trudności. </w:t>
      </w:r>
    </w:p>
    <w:p w14:paraId="5425A58C" w14:textId="77777777" w:rsidR="003015CA" w:rsidRPr="003015CA" w:rsidRDefault="003015CA" w:rsidP="003015CA">
      <w:pPr>
        <w:spacing w:before="100" w:beforeAutospacing="1" w:after="100" w:afterAutospacing="1"/>
        <w:jc w:val="both"/>
        <w:outlineLvl w:val="2"/>
        <w:rPr>
          <w:rFonts w:ascii="Cambria" w:eastAsia="Times New Roman" w:hAnsi="Cambria"/>
          <w:b/>
          <w:bCs/>
          <w:sz w:val="22"/>
          <w:szCs w:val="22"/>
        </w:rPr>
      </w:pPr>
      <w:r w:rsidRPr="003015CA">
        <w:rPr>
          <w:rFonts w:ascii="Cambria" w:eastAsia="Times New Roman" w:hAnsi="Cambria"/>
          <w:b/>
          <w:bCs/>
          <w:sz w:val="22"/>
          <w:szCs w:val="22"/>
        </w:rPr>
        <w:t>4. Bezpieczeństwo informacji</w:t>
      </w:r>
    </w:p>
    <w:p w14:paraId="434CC027"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Zamówienie dotyczy kluczowych systemów z zakresu podnoszenia poziomu </w:t>
      </w:r>
      <w:proofErr w:type="spellStart"/>
      <w:r w:rsidRPr="003015CA">
        <w:rPr>
          <w:rFonts w:ascii="Cambria" w:eastAsia="Times New Roman" w:hAnsi="Cambria"/>
          <w:sz w:val="22"/>
          <w:szCs w:val="22"/>
        </w:rPr>
        <w:t>cyberbezpieczeństwa</w:t>
      </w:r>
      <w:proofErr w:type="spellEnd"/>
      <w:r w:rsidRPr="003015CA">
        <w:rPr>
          <w:rFonts w:ascii="Cambria" w:eastAsia="Times New Roman" w:hAnsi="Cambria"/>
          <w:sz w:val="22"/>
          <w:szCs w:val="22"/>
        </w:rPr>
        <w:t xml:space="preserve"> infrastruktury krytycznej Zamawiającego. Powierzenie realizacji zamówienia jednemu sprawdzonemu Wykonawcy ogranicza krąg podmiotów i osób posiadających dostęp do poufnych informacji dotyczących architektury sieci, schematów adresacji, reguł zapór sieciowych UTM/WAF czy haseł dostępowych. </w:t>
      </w:r>
    </w:p>
    <w:p w14:paraId="72747F44" w14:textId="77777777" w:rsidR="003015CA" w:rsidRPr="003015CA" w:rsidRDefault="003015CA" w:rsidP="003015CA">
      <w:pPr>
        <w:spacing w:before="100" w:beforeAutospacing="1" w:after="100" w:afterAutospacing="1"/>
        <w:jc w:val="both"/>
        <w:rPr>
          <w:rFonts w:ascii="Cambria" w:eastAsia="Times New Roman" w:hAnsi="Cambria"/>
          <w:sz w:val="22"/>
          <w:szCs w:val="22"/>
        </w:rPr>
      </w:pPr>
      <w:r w:rsidRPr="003015CA">
        <w:rPr>
          <w:rFonts w:ascii="Cambria" w:eastAsia="Times New Roman" w:hAnsi="Cambria"/>
          <w:sz w:val="22"/>
          <w:szCs w:val="22"/>
        </w:rPr>
        <w:t xml:space="preserve">Podsumowując, brak podziału zamówienia na części jest w pełni uzasadniony potrzebą zapewnienia należytej jakości, integralności technicznej, sprawności wykonania oraz bezpieczeństwa realizowanego projektu. </w:t>
      </w:r>
    </w:p>
    <w:p w14:paraId="55FEC129" w14:textId="735E3E9C" w:rsidR="008D269C" w:rsidRPr="003015CA" w:rsidRDefault="008D269C" w:rsidP="003015CA">
      <w:pPr>
        <w:spacing w:line="276" w:lineRule="auto"/>
        <w:jc w:val="both"/>
        <w:rPr>
          <w:rFonts w:ascii="Cambria" w:hAnsi="Cambria"/>
          <w:sz w:val="22"/>
          <w:szCs w:val="22"/>
          <w:lang w:eastAsia="en-US"/>
        </w:rPr>
      </w:pPr>
    </w:p>
    <w:sectPr w:rsidR="008D269C" w:rsidRPr="003015CA" w:rsidSect="00D65314">
      <w:headerReference w:type="even" r:id="rId8"/>
      <w:headerReference w:type="default" r:id="rId9"/>
      <w:footerReference w:type="even" r:id="rId10"/>
      <w:footerReference w:type="default" r:id="rId11"/>
      <w:headerReference w:type="first" r:id="rId12"/>
      <w:footerReference w:type="first" r:id="rId13"/>
      <w:pgSz w:w="11906" w:h="16838"/>
      <w:pgMar w:top="1135" w:right="1417" w:bottom="851"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2EA87" w14:textId="77777777" w:rsidR="00ED006E" w:rsidRDefault="00ED006E" w:rsidP="001849EE">
      <w:r>
        <w:separator/>
      </w:r>
    </w:p>
  </w:endnote>
  <w:endnote w:type="continuationSeparator" w:id="0">
    <w:p w14:paraId="1BCF72BF" w14:textId="77777777" w:rsidR="00ED006E" w:rsidRDefault="00ED006E" w:rsidP="0018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4E7C" w14:textId="77777777" w:rsidR="00E6063E" w:rsidRDefault="00E6063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E834" w14:textId="77777777" w:rsidR="00E6063E" w:rsidRDefault="00E6063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2B16" w14:textId="77777777" w:rsidR="00E6063E" w:rsidRDefault="00E606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447F" w14:textId="77777777" w:rsidR="00ED006E" w:rsidRDefault="00ED006E" w:rsidP="001849EE">
      <w:r>
        <w:separator/>
      </w:r>
    </w:p>
  </w:footnote>
  <w:footnote w:type="continuationSeparator" w:id="0">
    <w:p w14:paraId="07035C0E" w14:textId="77777777" w:rsidR="00ED006E" w:rsidRDefault="00ED006E" w:rsidP="00184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7676" w14:textId="77777777" w:rsidR="00E6063E" w:rsidRDefault="00E6063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1827" w14:textId="02CAE48A" w:rsidR="00D65314" w:rsidRDefault="00E6063E">
    <w:pPr>
      <w:pStyle w:val="Nagwek"/>
    </w:pPr>
    <w:r>
      <w:rPr>
        <w:noProof/>
      </w:rPr>
      <w:drawing>
        <wp:inline distT="0" distB="0" distL="0" distR="0" wp14:anchorId="3CAE35C2" wp14:editId="2F52993A">
          <wp:extent cx="5760720" cy="54800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5480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576E" w14:textId="77777777" w:rsidR="00E6063E" w:rsidRDefault="00E6063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17F64"/>
    <w:multiLevelType w:val="multilevel"/>
    <w:tmpl w:val="DED4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320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1F"/>
    <w:rsid w:val="00063B63"/>
    <w:rsid w:val="000A2B7D"/>
    <w:rsid w:val="001677EB"/>
    <w:rsid w:val="001849EE"/>
    <w:rsid w:val="00192DE1"/>
    <w:rsid w:val="001B067F"/>
    <w:rsid w:val="001C53AF"/>
    <w:rsid w:val="002358B1"/>
    <w:rsid w:val="002648B9"/>
    <w:rsid w:val="00283128"/>
    <w:rsid w:val="00285070"/>
    <w:rsid w:val="002D61F1"/>
    <w:rsid w:val="002F161C"/>
    <w:rsid w:val="002F20F9"/>
    <w:rsid w:val="003015CA"/>
    <w:rsid w:val="003409FB"/>
    <w:rsid w:val="00393D7C"/>
    <w:rsid w:val="003B5D7E"/>
    <w:rsid w:val="00405B2C"/>
    <w:rsid w:val="00472105"/>
    <w:rsid w:val="004919E9"/>
    <w:rsid w:val="004B5CF1"/>
    <w:rsid w:val="004C1BC0"/>
    <w:rsid w:val="00501FC8"/>
    <w:rsid w:val="00584CEB"/>
    <w:rsid w:val="005F0A57"/>
    <w:rsid w:val="00601FF0"/>
    <w:rsid w:val="006229B0"/>
    <w:rsid w:val="006433F4"/>
    <w:rsid w:val="00647991"/>
    <w:rsid w:val="00654720"/>
    <w:rsid w:val="006F5463"/>
    <w:rsid w:val="007601E2"/>
    <w:rsid w:val="007E1BEB"/>
    <w:rsid w:val="008042CB"/>
    <w:rsid w:val="008C797E"/>
    <w:rsid w:val="008D269C"/>
    <w:rsid w:val="00903368"/>
    <w:rsid w:val="00933AE1"/>
    <w:rsid w:val="00996BBD"/>
    <w:rsid w:val="009A6B10"/>
    <w:rsid w:val="009E208E"/>
    <w:rsid w:val="009E3602"/>
    <w:rsid w:val="00A10D1C"/>
    <w:rsid w:val="00A92350"/>
    <w:rsid w:val="00AC64D9"/>
    <w:rsid w:val="00B710F0"/>
    <w:rsid w:val="00B8345B"/>
    <w:rsid w:val="00C526B4"/>
    <w:rsid w:val="00C958CD"/>
    <w:rsid w:val="00CA637A"/>
    <w:rsid w:val="00CD213B"/>
    <w:rsid w:val="00CD3114"/>
    <w:rsid w:val="00CE759C"/>
    <w:rsid w:val="00CF1AC4"/>
    <w:rsid w:val="00D0513E"/>
    <w:rsid w:val="00D35E8F"/>
    <w:rsid w:val="00D65314"/>
    <w:rsid w:val="00D745B9"/>
    <w:rsid w:val="00DA585C"/>
    <w:rsid w:val="00DB3F15"/>
    <w:rsid w:val="00DD7300"/>
    <w:rsid w:val="00DF0D33"/>
    <w:rsid w:val="00DF70F9"/>
    <w:rsid w:val="00E15D41"/>
    <w:rsid w:val="00E229A3"/>
    <w:rsid w:val="00E30563"/>
    <w:rsid w:val="00E55B1F"/>
    <w:rsid w:val="00E6063E"/>
    <w:rsid w:val="00E67D06"/>
    <w:rsid w:val="00E91DD1"/>
    <w:rsid w:val="00E971C9"/>
    <w:rsid w:val="00ED006E"/>
    <w:rsid w:val="00F2382E"/>
    <w:rsid w:val="00F7292A"/>
    <w:rsid w:val="00F74421"/>
    <w:rsid w:val="00FA2C0C"/>
    <w:rsid w:val="00FC7EED"/>
    <w:rsid w:val="00FF09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B87DE"/>
  <w15:chartTrackingRefBased/>
  <w15:docId w15:val="{1739EA29-2250-4246-8FB1-7EDD4C51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208E"/>
    <w:pPr>
      <w:spacing w:after="0" w:line="240" w:lineRule="auto"/>
    </w:pPr>
    <w:rPr>
      <w:rFonts w:ascii="Times New Roman" w:hAnsi="Times New Roman" w:cs="Times New Roman"/>
      <w:sz w:val="24"/>
      <w:szCs w:val="24"/>
      <w:lang w:eastAsia="pl-PL"/>
    </w:rPr>
  </w:style>
  <w:style w:type="paragraph" w:styleId="Nagwek3">
    <w:name w:val="heading 3"/>
    <w:basedOn w:val="Normalny"/>
    <w:link w:val="Nagwek3Znak"/>
    <w:uiPriority w:val="9"/>
    <w:qFormat/>
    <w:rsid w:val="003015CA"/>
    <w:pPr>
      <w:spacing w:before="100" w:beforeAutospacing="1" w:after="100" w:afterAutospacing="1"/>
      <w:outlineLvl w:val="2"/>
    </w:pPr>
    <w:rPr>
      <w:rFonts w:eastAsia="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1849EE"/>
    <w:rPr>
      <w:sz w:val="20"/>
      <w:szCs w:val="20"/>
    </w:rPr>
  </w:style>
  <w:style w:type="character" w:customStyle="1" w:styleId="TekstprzypisukocowegoZnak">
    <w:name w:val="Tekst przypisu końcowego Znak"/>
    <w:basedOn w:val="Domylnaczcionkaakapitu"/>
    <w:link w:val="Tekstprzypisukocowego"/>
    <w:uiPriority w:val="99"/>
    <w:semiHidden/>
    <w:rsid w:val="001849EE"/>
    <w:rPr>
      <w:rFonts w:ascii="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849EE"/>
    <w:rPr>
      <w:vertAlign w:val="superscript"/>
    </w:rPr>
  </w:style>
  <w:style w:type="character" w:styleId="Odwoaniedokomentarza">
    <w:name w:val="annotation reference"/>
    <w:basedOn w:val="Domylnaczcionkaakapitu"/>
    <w:uiPriority w:val="99"/>
    <w:semiHidden/>
    <w:unhideWhenUsed/>
    <w:rsid w:val="001849EE"/>
    <w:rPr>
      <w:sz w:val="16"/>
      <w:szCs w:val="16"/>
    </w:rPr>
  </w:style>
  <w:style w:type="paragraph" w:styleId="Tekstkomentarza">
    <w:name w:val="annotation text"/>
    <w:basedOn w:val="Normalny"/>
    <w:link w:val="TekstkomentarzaZnak"/>
    <w:uiPriority w:val="99"/>
    <w:semiHidden/>
    <w:unhideWhenUsed/>
    <w:rsid w:val="001849EE"/>
    <w:rPr>
      <w:sz w:val="20"/>
      <w:szCs w:val="20"/>
    </w:rPr>
  </w:style>
  <w:style w:type="character" w:customStyle="1" w:styleId="TekstkomentarzaZnak">
    <w:name w:val="Tekst komentarza Znak"/>
    <w:basedOn w:val="Domylnaczcionkaakapitu"/>
    <w:link w:val="Tekstkomentarza"/>
    <w:uiPriority w:val="99"/>
    <w:semiHidden/>
    <w:rsid w:val="001849EE"/>
    <w:rPr>
      <w:rFonts w:ascii="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849EE"/>
    <w:rPr>
      <w:b/>
      <w:bCs/>
    </w:rPr>
  </w:style>
  <w:style w:type="character" w:customStyle="1" w:styleId="TematkomentarzaZnak">
    <w:name w:val="Temat komentarza Znak"/>
    <w:basedOn w:val="TekstkomentarzaZnak"/>
    <w:link w:val="Tematkomentarza"/>
    <w:uiPriority w:val="99"/>
    <w:semiHidden/>
    <w:rsid w:val="001849EE"/>
    <w:rPr>
      <w:rFonts w:ascii="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1849EE"/>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49EE"/>
    <w:rPr>
      <w:rFonts w:ascii="Segoe UI" w:hAnsi="Segoe UI" w:cs="Segoe UI"/>
      <w:sz w:val="18"/>
      <w:szCs w:val="18"/>
      <w:lang w:eastAsia="pl-PL"/>
    </w:rPr>
  </w:style>
  <w:style w:type="paragraph" w:styleId="Nagwek">
    <w:name w:val="header"/>
    <w:basedOn w:val="Normalny"/>
    <w:link w:val="NagwekZnak"/>
    <w:uiPriority w:val="99"/>
    <w:unhideWhenUsed/>
    <w:rsid w:val="00F7292A"/>
    <w:pPr>
      <w:tabs>
        <w:tab w:val="center" w:pos="4536"/>
        <w:tab w:val="right" w:pos="9072"/>
      </w:tabs>
    </w:pPr>
  </w:style>
  <w:style w:type="character" w:customStyle="1" w:styleId="NagwekZnak">
    <w:name w:val="Nagłówek Znak"/>
    <w:basedOn w:val="Domylnaczcionkaakapitu"/>
    <w:link w:val="Nagwek"/>
    <w:uiPriority w:val="99"/>
    <w:rsid w:val="00F7292A"/>
    <w:rPr>
      <w:rFonts w:ascii="Times New Roman" w:hAnsi="Times New Roman" w:cs="Times New Roman"/>
      <w:sz w:val="24"/>
      <w:szCs w:val="24"/>
      <w:lang w:eastAsia="pl-PL"/>
    </w:rPr>
  </w:style>
  <w:style w:type="paragraph" w:styleId="Stopka">
    <w:name w:val="footer"/>
    <w:basedOn w:val="Normalny"/>
    <w:link w:val="StopkaZnak"/>
    <w:uiPriority w:val="99"/>
    <w:unhideWhenUsed/>
    <w:rsid w:val="00F7292A"/>
    <w:pPr>
      <w:tabs>
        <w:tab w:val="center" w:pos="4536"/>
        <w:tab w:val="right" w:pos="9072"/>
      </w:tabs>
    </w:pPr>
  </w:style>
  <w:style w:type="character" w:customStyle="1" w:styleId="StopkaZnak">
    <w:name w:val="Stopka Znak"/>
    <w:basedOn w:val="Domylnaczcionkaakapitu"/>
    <w:link w:val="Stopka"/>
    <w:uiPriority w:val="99"/>
    <w:rsid w:val="00F7292A"/>
    <w:rPr>
      <w:rFonts w:ascii="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3015CA"/>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3015C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518315">
      <w:bodyDiv w:val="1"/>
      <w:marLeft w:val="0"/>
      <w:marRight w:val="0"/>
      <w:marTop w:val="0"/>
      <w:marBottom w:val="0"/>
      <w:divBdr>
        <w:top w:val="none" w:sz="0" w:space="0" w:color="auto"/>
        <w:left w:val="none" w:sz="0" w:space="0" w:color="auto"/>
        <w:bottom w:val="none" w:sz="0" w:space="0" w:color="auto"/>
        <w:right w:val="none" w:sz="0" w:space="0" w:color="auto"/>
      </w:divBdr>
    </w:div>
    <w:div w:id="118778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6A4FB-726A-45F5-9135-5DC0BD5437C0}">
  <ds:schemaRefs>
    <ds:schemaRef ds:uri="http://schemas.openxmlformats.org/officeDocument/2006/bibliography"/>
  </ds:schemaRefs>
</ds:datastoreItem>
</file>

<file path=docMetadata/LabelInfo.xml><?xml version="1.0" encoding="utf-8"?>
<clbl:labelList xmlns:clbl="http://schemas.microsoft.com/office/2020/mipLabelMetadata">
  <clbl:label id="{42456824-4a1f-4684-bab0-042cc5c82137}" enabled="1" method="Standard" siteId="{38fa5efc-db83-4a8a-9602-356fa2fac3cc}" contentBits="0" removed="0"/>
</clbl:labelList>
</file>

<file path=docProps/app.xml><?xml version="1.0" encoding="utf-8"?>
<Properties xmlns="http://schemas.openxmlformats.org/officeDocument/2006/extended-properties" xmlns:vt="http://schemas.openxmlformats.org/officeDocument/2006/docPropsVTypes">
  <Template>Normal</Template>
  <TotalTime>125</TotalTime>
  <Pages>2</Pages>
  <Words>639</Words>
  <Characters>3840</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zoltek design Kamil Zembrzuski</vt:lpstr>
    </vt:vector>
  </TitlesOfParts>
  <Manager>Kmil Zembrzuski</Manager>
  <Company>zoltek deisgn - Projekty-it.eu</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Cyber wodociągi</dc:title>
  <dc:subject>SWZ Cyber wodociągi</dc:subject>
  <dc:creator>zoltek design; Kamil Zembrzuski</dc:creator>
  <cp:keywords>SWZ Cyber wodociągi; Cyber; cyberbezpieczny; cyberbezpieczny samorząd; SWZ OPZ Cyber zoltek design Kamil Zembrzuski zoltek design kamil Zembrzuski; SWZ, OPZ, Cyber, zoltek design, Kamil Zembrzuski; umowa, cyber; umowa, cyberbezpieczny samorząd; zoltek design Kamil Zembrzuski</cp:keywords>
  <dc:description>SWZ Cyber wodociągi</dc:description>
  <cp:lastModifiedBy>Marcin Nadolski</cp:lastModifiedBy>
  <cp:revision>8</cp:revision>
  <dcterms:created xsi:type="dcterms:W3CDTF">2025-09-18T12:18:00Z</dcterms:created>
  <dcterms:modified xsi:type="dcterms:W3CDTF">2026-10-28T21:45:00Z</dcterms:modified>
  <cp:category>SWZ Cyber wodociągi; cybersamorząd; zoltek design Kamil Zembrzuski</cp:category>
  <cp:contentStatus>SWZ</cp:contentStatus>
  <cp:version>2</cp:version>
</cp:coreProperties>
</file>