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387" w:firstLine="0"/>
        <w:jc w:val="both"/>
        <w:rPr>
          <w:rFonts w:ascii="Arial Narrow" w:cs="Arial Narrow" w:eastAsia="Arial Narrow" w:hAnsi="Arial Narrow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 Narrow" w:cs="Arial Narrow" w:eastAsia="Arial Narrow" w:hAnsi="Arial Narrow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Wykonawca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04">
      <w:pPr>
        <w:ind w:right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05">
      <w:pPr>
        <w:tabs>
          <w:tab w:val="left" w:leader="none" w:pos="6405"/>
        </w:tabs>
        <w:ind w:right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…………………………………………………………………………………………….……</w:t>
        <w:tab/>
      </w:r>
    </w:p>
    <w:p w:rsidR="00000000" w:rsidDel="00000000" w:rsidP="00000000" w:rsidRDefault="00000000" w:rsidRPr="00000000" w14:paraId="00000006">
      <w:pPr>
        <w:tabs>
          <w:tab w:val="left" w:leader="none" w:pos="9072"/>
        </w:tabs>
        <w:rPr>
          <w:rFonts w:ascii="Arial Narrow" w:cs="Arial Narrow" w:eastAsia="Arial Narrow" w:hAnsi="Arial Narrow"/>
          <w:sz w:val="22"/>
          <w:szCs w:val="22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(pełna nazwa/firma, adres, w zależności od podmiotu: NIP/PESEL, KRS/CEiDG)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9072"/>
        </w:tabs>
        <w:rPr>
          <w:rFonts w:ascii="Arial Narrow" w:cs="Arial Narrow" w:eastAsia="Arial Narrow" w:hAnsi="Arial Narrow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072"/>
        </w:tabs>
        <w:rPr>
          <w:rFonts w:ascii="Arial Narrow" w:cs="Arial Narrow" w:eastAsia="Arial Narrow" w:hAnsi="Arial Narrow"/>
          <w:sz w:val="22"/>
          <w:szCs w:val="22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u w:val="single"/>
          <w:rtl w:val="0"/>
        </w:rPr>
        <w:t xml:space="preserve">reprezentowany przez:</w:t>
      </w:r>
    </w:p>
    <w:p w:rsidR="00000000" w:rsidDel="00000000" w:rsidP="00000000" w:rsidRDefault="00000000" w:rsidRPr="00000000" w14:paraId="00000009">
      <w:pPr>
        <w:tabs>
          <w:tab w:val="left" w:leader="none" w:pos="9072"/>
        </w:tabs>
        <w:ind w:right="2693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……………………………………………………………………………………….……</w:t>
      </w:r>
    </w:p>
    <w:p w:rsidR="00000000" w:rsidDel="00000000" w:rsidP="00000000" w:rsidRDefault="00000000" w:rsidRPr="00000000" w14:paraId="0000000A">
      <w:pPr>
        <w:tabs>
          <w:tab w:val="left" w:leader="none" w:pos="9072"/>
        </w:tabs>
        <w:ind w:right="2693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……………………………………………………………………………………….……</w:t>
      </w:r>
    </w:p>
    <w:p w:rsidR="00000000" w:rsidDel="00000000" w:rsidP="00000000" w:rsidRDefault="00000000" w:rsidRPr="00000000" w14:paraId="0000000B">
      <w:pP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(imię, nazwisko, stanowisko/podstawa do reprezentacji, </w:t>
      </w:r>
    </w:p>
    <w:p w:rsidR="00000000" w:rsidDel="00000000" w:rsidP="00000000" w:rsidRDefault="00000000" w:rsidRPr="00000000" w14:paraId="0000000C">
      <w:pP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np. KRS/CEiDG/Pełnomocnictwo)</w:t>
      </w:r>
    </w:p>
    <w:p w:rsidR="00000000" w:rsidDel="00000000" w:rsidP="00000000" w:rsidRDefault="00000000" w:rsidRPr="00000000" w14:paraId="0000000D">
      <w:pPr>
        <w:tabs>
          <w:tab w:val="left" w:leader="none" w:pos="9072"/>
        </w:tabs>
        <w:ind w:left="709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072"/>
        </w:tabs>
        <w:spacing w:line="360" w:lineRule="auto"/>
        <w:ind w:right="5245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072"/>
        </w:tabs>
        <w:spacing w:line="360" w:lineRule="auto"/>
        <w:ind w:right="5245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Ś W I A D C Z E N I E W Y K O N A W C Y *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DOTYCZĄCE  PRZESŁANEK WYKLUCZENIA Z POSTĘPOWANIA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uwzględniające przesłanki wykluczenia z art. 7 ust. 1 ustawy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dnia 13 kwietnia 2022 r. o szczególnych rozwiązaniach w zakresie przeciwdziałania wspieraniu agresji na Ukrainę oraz służących ochronie bezpieczeństwa narodowego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/składane na podstawie art. 125 ustawy z dnia 11 września 2019 r. Prawo zamówień publicznych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(dalej jako „ustawa Pzp.”)/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Składając ofertę w postępowaniu o udzielenie zamówienia publicznego prowadzonego w trybie podstawowym bez negocjacji pod nazwą: pn.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„Zakup 7 zestawów komputerowych wraz z oprogramowaniem (jednostka centralna, monitor, klawiatura, mysz, system operacyjny)”,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prowadzonego przez Akademię Sztuk Pięknych </w:t>
      </w:r>
    </w:p>
    <w:p w:rsidR="00000000" w:rsidDel="00000000" w:rsidP="00000000" w:rsidRDefault="00000000" w:rsidRPr="00000000" w14:paraId="0000001A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w Warszawie,  </w:t>
      </w:r>
    </w:p>
    <w:p w:rsidR="00000000" w:rsidDel="00000000" w:rsidP="00000000" w:rsidRDefault="00000000" w:rsidRPr="00000000" w14:paraId="0000001B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bookmarkStart w:colFirst="0" w:colLast="0" w:name="_heading=h.ek8pyn4k0mjn" w:id="0"/>
      <w:bookmarkEnd w:id="0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nie podlegam wykluczeniu z postępowania na podstawie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art. 108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art. 109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ustawy Pzp.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nie zachodzą w stosunku do mnie przesłanki wykluczenia z postępowania o których mowa w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art. 7 ust. 1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ustawy z dnia 13 kwietnia 2022 r. o szczególnych rozwiązaniach w zakresie przeciwdziałania wspieraniu agresji na Ukrainę oraz służących ochronie bezpieczeństwa narodowego (tj. Dz. U. z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2025 r. poz. 514.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z późn. zm.)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**Oświadczam (jeżeli dotyczy), że zachodzą w stosunku do mnie podstawy wykluczenia z postępowania </w:t>
        <w:br w:type="textWrapping"/>
        <w:t xml:space="preserve">na podstawie art. …………………….… ustawy Pzp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(podać mającą zastosowanie podstawę wykluczenia spośród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wymienionych w art. 108 ust. 1 pkt 1, 2 i 5 lub art. 109 ust. 1 pkt 4, 5, 7 ustawy Pzp).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Jednocześnie oświadczam, że w związku z ww. okolicznością, na podstawie art. 110 ust. 2 ustawy Pzp podjąłem następujące środki naprawcze: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………………………………………………………………………………………………………………………..……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…………………………………………………………………………………………………………………………..…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bookmarkStart w:colFirst="0" w:colLast="0" w:name="_heading=h.yvznzasmtwxn" w:id="1"/>
      <w:bookmarkEnd w:id="1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wymieniony w ofercie Podwykonawca, któremu zamierzam powierzyć wykonanie części zamówienia nie podlega wykluczeniu z postępowania o udzielenie zamówienia na podstawie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art. 108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art. 109 ustawy Pzp.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oraz że nie zachodzą w stosunku do niego przesłanki wykluczenia z postępowania o których mowa w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art. 7 ust. 1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ustawy z dnia 13 kwietnia 2022 r. o szczególnych rozwiązaniach w zakresie przeciwdziałania wspieraniu agresji na Ukrainę oraz służących ochronie bezpieczeństwa narodowego.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OŚWIADCZENIE DOTYCZĄCE PODANYCH INFORMACJI: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120" w:lineRule="auto"/>
        <w:ind w:left="66" w:firstLine="0"/>
        <w:jc w:val="both"/>
        <w:rPr>
          <w:rFonts w:ascii="Arial Narrow" w:cs="Arial Narrow" w:eastAsia="Arial Narrow" w:hAnsi="Arial Narrow"/>
          <w:i w:val="1"/>
          <w:iCs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*W przypadku Wykonawców wspólnie ubiegających się o zamówienie, niniejsze oświadczenie powinno być złożone przez każdego z Wykonawców</w:t>
      </w:r>
    </w:p>
    <w:p w:rsidR="00000000" w:rsidDel="00000000" w:rsidP="00000000" w:rsidRDefault="00000000" w:rsidRPr="00000000" w14:paraId="0000002C">
      <w:pPr>
        <w:spacing w:before="120" w:lineRule="auto"/>
        <w:ind w:left="66" w:firstLine="0"/>
        <w:jc w:val="both"/>
        <w:rPr>
          <w:rFonts w:ascii="Arial Narrow" w:cs="Arial Narrow" w:eastAsia="Arial Narrow" w:hAnsi="Arial Narrow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**Należy uzupełnić,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u w:val="single"/>
          <w:rtl w:val="0"/>
        </w:rPr>
        <w:t xml:space="preserve">jeżeli dotyczy</w:t>
      </w:r>
    </w:p>
    <w:p w:rsidR="00000000" w:rsidDel="00000000" w:rsidP="00000000" w:rsidRDefault="00000000" w:rsidRPr="00000000" w14:paraId="0000002D">
      <w:pPr>
        <w:spacing w:before="120" w:lineRule="auto"/>
        <w:ind w:left="66" w:firstLine="0"/>
        <w:jc w:val="both"/>
        <w:rPr>
          <w:rFonts w:ascii="Arial Narrow" w:cs="Arial Narrow" w:eastAsia="Arial Narrow" w:hAnsi="Arial Narrow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Dokument należy wypełnić i podpisać kwalifikowanym podpisem elektronicznym lub podpisem zaufanym lub podpisem osobistym osób wskazanych w dokumencie uprawniającym do występowania </w:t>
        <w:br w:type="textWrapping"/>
        <w:t xml:space="preserve">w obrocie prawnym lub posiadających pełnomocnictwo. Zamawiający zaleca zapisanie dokumentu w formacie PDF.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1417" w:right="1417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3">
      <w:pPr>
        <w:jc w:val="both"/>
        <w:rPr>
          <w:rFonts w:ascii="Calibri" w:cs="Calibri" w:eastAsia="Calibri" w:hAnsi="Calibri"/>
          <w:color w:val="222222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222222"/>
          <w:sz w:val="18"/>
          <w:szCs w:val="18"/>
          <w:rtl w:val="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18"/>
          <w:szCs w:val="18"/>
          <w:rtl w:val="0"/>
        </w:rPr>
        <w:t xml:space="preserve">”, </w:t>
      </w:r>
      <w:r w:rsidDel="00000000" w:rsidR="00000000" w:rsidRPr="00000000">
        <w:rPr>
          <w:rFonts w:ascii="Calibri" w:cs="Calibri" w:eastAsia="Calibri" w:hAnsi="Calibri"/>
          <w:color w:val="222222"/>
          <w:sz w:val="18"/>
          <w:szCs w:val="18"/>
          <w:rtl w:val="0"/>
        </w:rPr>
        <w:t xml:space="preserve">z postępowania o udzielenie zamówienia publicznego lub konkursu prowadzonego na podstawie ustawy Pzp wyklucza się: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wykonawcę oraz uczestnika konkursu, którego beneficjentem rzeczywistym w rozumieniu ustawy z dnia 1 marca 2018 r. </w:t>
        <w:br w:type="textWrapping"/>
        <w:t xml:space="preserve">o przeciwdziałaniu praniu pieniędzy oraz finansowaniu terroryzmu (Dz. U. z </w:t>
      </w:r>
      <w:r w:rsidDel="00000000" w:rsidR="00000000" w:rsidRPr="00000000">
        <w:rPr>
          <w:rFonts w:ascii="Calibri" w:cs="Calibri" w:eastAsia="Calibri" w:hAnsi="Calibri"/>
          <w:color w:val="222222"/>
          <w:sz w:val="18"/>
          <w:szCs w:val="18"/>
          <w:rtl w:val="0"/>
        </w:rPr>
        <w:t xml:space="preserve">2025 r. poz. 644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wykonawcę oraz uczestnika konkursu, którego jednostką dominującą w rozumieniu art. 3 ust. 1 pkt 37 ustawy z dnia 29 września 1994 r. o rachunkowości (Dz. U. z </w:t>
      </w:r>
      <w:r w:rsidDel="00000000" w:rsidR="00000000" w:rsidRPr="00000000">
        <w:rPr>
          <w:rFonts w:ascii="Calibri" w:cs="Calibri" w:eastAsia="Calibri" w:hAnsi="Calibri"/>
          <w:color w:val="222222"/>
          <w:sz w:val="18"/>
          <w:szCs w:val="18"/>
          <w:rtl w:val="0"/>
        </w:rPr>
        <w:t xml:space="preserve">2026 r. poz. 522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18"/>
          <w:szCs w:val="18"/>
          <w:u w:val="none"/>
          <w:shd w:fill="auto" w:val="clear"/>
          <w:vertAlign w:val="baseline"/>
          <w:rtl w:val="0"/>
        </w:rPr>
        <w:t xml:space="preserve">z późn. zm.),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22222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923.0" w:type="dxa"/>
      <w:jc w:val="center"/>
      <w:tblLayout w:type="fixed"/>
      <w:tblLook w:val="0400"/>
    </w:tblPr>
    <w:tblGrid>
      <w:gridCol w:w="1701"/>
      <w:gridCol w:w="4536"/>
      <w:gridCol w:w="3686"/>
      <w:tblGridChange w:id="0">
        <w:tblGrid>
          <w:gridCol w:w="1701"/>
          <w:gridCol w:w="4536"/>
          <w:gridCol w:w="3686"/>
        </w:tblGrid>
      </w:tblGridChange>
    </w:tblGrid>
    <w:tr>
      <w:trPr>
        <w:cantSplit w:val="0"/>
        <w:trHeight w:val="378" w:hRule="atLeast"/>
        <w:tblHeader w:val="0"/>
      </w:trPr>
      <w:tc>
        <w:tcPr>
          <w:vMerge w:val="restart"/>
          <w:shd w:fill="auto" w:val="clear"/>
          <w:vAlign w:val="center"/>
        </w:tcPr>
        <w:p w:rsidR="00000000" w:rsidDel="00000000" w:rsidP="00000000" w:rsidRDefault="00000000" w:rsidRPr="00000000" w14:paraId="0000003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716915" cy="716915"/>
                <wp:effectExtent b="0" l="0" r="0" t="0"/>
                <wp:docPr descr="Logo_ASP" id="2" name="image1.jpg"/>
                <a:graphic>
                  <a:graphicData uri="http://schemas.openxmlformats.org/drawingml/2006/picture">
                    <pic:pic>
                      <pic:nvPicPr>
                        <pic:cNvPr descr="Logo_ASP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915" cy="7169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39">
          <w:pPr>
            <w:jc w:val="right"/>
            <w:rPr>
              <w:rFonts w:ascii="Arial Narrow" w:cs="Arial Narrow" w:eastAsia="Arial Narrow" w:hAnsi="Arial Narrow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78" w:hRule="atLeast"/>
        <w:tblHeader w:val="0"/>
      </w:trPr>
      <w:tc>
        <w:tcPr>
          <w:vMerge w:val="continue"/>
          <w:shd w:fill="auto" w:val="clear"/>
          <w:vAlign w:val="center"/>
        </w:tcPr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  <w:tab w:val="center" w:leader="none" w:pos="1587"/>
            </w:tabs>
            <w:spacing w:after="0" w:before="0" w:line="240" w:lineRule="auto"/>
            <w:ind w:left="0" w:right="0" w:firstLine="0"/>
            <w:jc w:val="righ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sygnatura postępowania: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sz w:val="22"/>
              <w:szCs w:val="22"/>
              <w:rtl w:val="0"/>
            </w:rPr>
            <w:t xml:space="preserve">DA-ZP.26.8.2026/EZ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br w:type="textWrapping"/>
            <w:br w:type="textWrapping"/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Oświadczenie o braku podstaw wykluczenia</w:t>
          </w:r>
        </w:p>
      </w:tc>
    </w:tr>
    <w:tr>
      <w:trPr>
        <w:cantSplit w:val="0"/>
        <w:trHeight w:val="80" w:hRule="atLeast"/>
        <w:tblHeader w:val="0"/>
      </w:trPr>
      <w:tc>
        <w:tcPr>
          <w:vMerge w:val="continue"/>
          <w:shd w:fill="auto" w:val="clear"/>
          <w:vAlign w:val="center"/>
        </w:tcPr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3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65" w:hanging="360"/>
      </w:pPr>
      <w:rPr>
        <w:rFonts w:ascii="Calibri" w:cs="Calibri" w:eastAsia="Calibri" w:hAnsi="Calibri"/>
        <w:sz w:val="20"/>
        <w:szCs w:val="20"/>
      </w:rPr>
    </w:lvl>
    <w:lvl w:ilvl="1">
      <w:start w:val="1"/>
      <w:numFmt w:val="lowerLetter"/>
      <w:lvlText w:val="%2."/>
      <w:lvlJc w:val="left"/>
      <w:pPr>
        <w:ind w:left="1485" w:hanging="360"/>
      </w:pPr>
      <w:rPr/>
    </w:lvl>
    <w:lvl w:ilvl="2">
      <w:start w:val="1"/>
      <w:numFmt w:val="lowerRoman"/>
      <w:lvlText w:val="%3."/>
      <w:lvlJc w:val="right"/>
      <w:pPr>
        <w:ind w:left="2205" w:hanging="180"/>
      </w:pPr>
      <w:rPr/>
    </w:lvl>
    <w:lvl w:ilvl="3">
      <w:start w:val="1"/>
      <w:numFmt w:val="decimal"/>
      <w:lvlText w:val="%4."/>
      <w:lvlJc w:val="left"/>
      <w:pPr>
        <w:ind w:left="2925" w:hanging="360"/>
      </w:pPr>
      <w:rPr/>
    </w:lvl>
    <w:lvl w:ilvl="4">
      <w:start w:val="1"/>
      <w:numFmt w:val="lowerLetter"/>
      <w:lvlText w:val="%5."/>
      <w:lvlJc w:val="left"/>
      <w:pPr>
        <w:ind w:left="3645" w:hanging="360"/>
      </w:pPr>
      <w:rPr/>
    </w:lvl>
    <w:lvl w:ilvl="5">
      <w:start w:val="1"/>
      <w:numFmt w:val="lowerRoman"/>
      <w:lvlText w:val="%6."/>
      <w:lvlJc w:val="right"/>
      <w:pPr>
        <w:ind w:left="4365" w:hanging="180"/>
      </w:pPr>
      <w:rPr/>
    </w:lvl>
    <w:lvl w:ilvl="6">
      <w:start w:val="1"/>
      <w:numFmt w:val="decimal"/>
      <w:lvlText w:val="%7."/>
      <w:lvlJc w:val="left"/>
      <w:pPr>
        <w:ind w:left="5085" w:hanging="360"/>
      </w:pPr>
      <w:rPr/>
    </w:lvl>
    <w:lvl w:ilvl="7">
      <w:start w:val="1"/>
      <w:numFmt w:val="lowerLetter"/>
      <w:lvlText w:val="%8."/>
      <w:lvlJc w:val="left"/>
      <w:pPr>
        <w:ind w:left="5805" w:hanging="360"/>
      </w:pPr>
      <w:rPr/>
    </w:lvl>
    <w:lvl w:ilvl="8">
      <w:start w:val="1"/>
      <w:numFmt w:val="lowerRoman"/>
      <w:lvlText w:val="%9."/>
      <w:lvlJc w:val="right"/>
      <w:pPr>
        <w:ind w:left="6525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7OrYHE0aZys9EhL/wenq3Ozj+Q==">CgMxLjAyDmguZWs4cHluNGswbWpuMg5oLnl2em56YXNtdHd4bjgAciExVDBQangyY25fTmM1MVZzX2swcDZyRzFhaW9PMWdpTU4=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