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cs="Calibri"/>
          <w:sz w:val="22"/>
          <w:szCs w:val="22"/>
        </w:rPr>
        <w:t>DPS.ZP.264/TP</w:t>
      </w:r>
      <w:r>
        <w:rPr>
          <w:rFonts w:cs="Calibri"/>
          <w:sz w:val="22"/>
          <w:szCs w:val="22"/>
        </w:rPr>
        <w:t>9</w:t>
      </w:r>
      <w:r>
        <w:rPr>
          <w:rFonts w:cs="Calibri"/>
          <w:sz w:val="22"/>
          <w:szCs w:val="22"/>
        </w:rPr>
        <w:t>/2026</w:t>
      </w:r>
    </w:p>
    <w:p>
      <w:pPr>
        <w:pStyle w:val="Normal"/>
        <w:tabs>
          <w:tab w:val="clear" w:pos="708"/>
          <w:tab w:val="left" w:pos="2460" w:leader="none"/>
        </w:tabs>
        <w:spacing w:lineRule="auto" w:line="360"/>
        <w:rPr>
          <w:rFonts w:ascii="Times New Roman" w:hAnsi="Times New Roman" w:cs="Calibri"/>
          <w:sz w:val="22"/>
          <w:szCs w:val="22"/>
        </w:rPr>
      </w:pPr>
      <w:r>
        <w:rPr>
          <w:rFonts w:cs="Calibri"/>
          <w:sz w:val="22"/>
          <w:szCs w:val="22"/>
        </w:rPr>
      </w:r>
    </w:p>
    <w:p>
      <w:pPr>
        <w:pStyle w:val="Normal"/>
        <w:tabs>
          <w:tab w:val="clear" w:pos="708"/>
          <w:tab w:val="center" w:pos="5256" w:leader="none"/>
          <w:tab w:val="right" w:pos="9792" w:leader="none"/>
        </w:tabs>
        <w:spacing w:lineRule="auto" w:line="360"/>
        <w:jc w:val="both"/>
        <w:rPr>
          <w:rFonts w:ascii="Times New Roman" w:hAnsi="Times New Roman"/>
          <w:sz w:val="22"/>
          <w:szCs w:val="22"/>
        </w:rPr>
      </w:pPr>
      <w:r>
        <w:rPr>
          <w:rFonts w:cs="Calibri"/>
          <w:b/>
          <w:bCs/>
          <w:sz w:val="22"/>
          <w:szCs w:val="22"/>
        </w:rPr>
        <w:t>ZAMAWIAJĄCY</w:t>
      </w:r>
      <w:r>
        <w:rPr>
          <w:rFonts w:cs="Calibri"/>
          <w:sz w:val="22"/>
          <w:szCs w:val="22"/>
        </w:rPr>
        <w:t>:</w:t>
      </w:r>
    </w:p>
    <w:p>
      <w:pPr>
        <w:pStyle w:val="Normal"/>
        <w:rPr>
          <w:rFonts w:ascii="Times New Roman" w:hAnsi="Times New Roman" w:cs="Calibri"/>
          <w:b/>
          <w:b/>
          <w:bCs/>
          <w:sz w:val="22"/>
          <w:szCs w:val="22"/>
        </w:rPr>
      </w:pPr>
      <w:r>
        <w:rPr>
          <w:rFonts w:cs="Calibri"/>
          <w:b/>
          <w:bCs/>
          <w:sz w:val="22"/>
          <w:szCs w:val="22"/>
        </w:rPr>
        <w:t>Powiat Pułtuski</w:t>
      </w:r>
    </w:p>
    <w:p>
      <w:pPr>
        <w:pStyle w:val="Normal"/>
        <w:rPr>
          <w:rFonts w:ascii="Times New Roman" w:hAnsi="Times New Roman"/>
          <w:sz w:val="22"/>
          <w:szCs w:val="22"/>
        </w:rPr>
      </w:pPr>
      <w:r>
        <w:rPr>
          <w:rFonts w:cs="Calibri"/>
          <w:sz w:val="22"/>
          <w:szCs w:val="22"/>
        </w:rPr>
        <w:t xml:space="preserve">Jednostka Organizacyjna: </w:t>
      </w:r>
      <w:r>
        <w:rPr>
          <w:rFonts w:cs="Calibri"/>
          <w:b/>
          <w:sz w:val="22"/>
          <w:szCs w:val="22"/>
        </w:rPr>
        <w:t>Dom Pomocy Społecznej w Obrytem</w:t>
      </w:r>
    </w:p>
    <w:p>
      <w:pPr>
        <w:pStyle w:val="Normal"/>
        <w:tabs>
          <w:tab w:val="clear" w:pos="708"/>
          <w:tab w:val="center" w:pos="5256" w:leader="none"/>
          <w:tab w:val="right" w:pos="9792" w:leader="none"/>
        </w:tabs>
        <w:rPr>
          <w:rFonts w:ascii="Times New Roman" w:hAnsi="Times New Roman" w:cs="Calibri"/>
          <w:sz w:val="22"/>
          <w:szCs w:val="22"/>
        </w:rPr>
      </w:pPr>
      <w:r>
        <w:rPr>
          <w:rFonts w:cs="Calibri"/>
          <w:sz w:val="22"/>
          <w:szCs w:val="22"/>
        </w:rPr>
        <w:t xml:space="preserve">Obryte 188                 07-215 Obryte </w:t>
        <w:tab/>
        <w:tab/>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tel. 29 741-10-80</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fax 29 741-10-80</w:t>
      </w:r>
    </w:p>
    <w:p>
      <w:pPr>
        <w:pStyle w:val="Normal"/>
        <w:tabs>
          <w:tab w:val="clear" w:pos="708"/>
          <w:tab w:val="center" w:pos="5432" w:leader="none"/>
          <w:tab w:val="right" w:pos="9968" w:leader="none"/>
        </w:tabs>
        <w:ind w:left="11" w:right="0" w:hanging="0"/>
        <w:jc w:val="both"/>
        <w:rPr/>
      </w:pPr>
      <w:hyperlink r:id="rId2">
        <w:r>
          <w:rPr>
            <w:rStyle w:val="Czeinternetowe"/>
            <w:rFonts w:cs="Calibri"/>
            <w:color w:val="auto"/>
            <w:sz w:val="22"/>
            <w:szCs w:val="22"/>
          </w:rPr>
          <w:t>www.</w:t>
        </w:r>
      </w:hyperlink>
      <w:hyperlink r:id="rId3">
        <w:r>
          <w:rPr>
            <w:rStyle w:val="Czeinternetowe"/>
            <w:rFonts w:cs="Calibri"/>
            <w:color w:val="auto"/>
            <w:sz w:val="22"/>
            <w:szCs w:val="22"/>
          </w:rPr>
          <w:t>dpsobryte.</w:t>
        </w:r>
      </w:hyperlink>
      <w:hyperlink r:id="rId4">
        <w:r>
          <w:rPr>
            <w:rStyle w:val="Czeinternetowe"/>
            <w:rFonts w:cs="Calibri"/>
            <w:color w:val="auto"/>
            <w:sz w:val="22"/>
            <w:szCs w:val="22"/>
          </w:rPr>
          <w:t>pl</w:t>
        </w:r>
      </w:hyperlink>
      <w:r>
        <w:rPr>
          <w:rFonts w:cs="Calibri"/>
          <w:sz w:val="22"/>
          <w:szCs w:val="22"/>
        </w:rPr>
        <w:t xml:space="preserve">; </w:t>
      </w:r>
      <w:hyperlink r:id="rId5">
        <w:r>
          <w:rPr>
            <w:rStyle w:val="Czeinternetowe"/>
            <w:rFonts w:cs="Calibri"/>
            <w:color w:val="auto"/>
            <w:sz w:val="22"/>
            <w:szCs w:val="22"/>
          </w:rPr>
          <w:t>www.</w:t>
        </w:r>
      </w:hyperlink>
      <w:hyperlink r:id="rId6">
        <w:r>
          <w:rPr>
            <w:rStyle w:val="Czeinternetowe"/>
            <w:rFonts w:cs="Calibri"/>
            <w:color w:val="auto"/>
            <w:sz w:val="22"/>
            <w:szCs w:val="22"/>
          </w:rPr>
          <w:t>dpsobryte</w:t>
        </w:r>
      </w:hyperlink>
      <w:hyperlink r:id="rId7">
        <w:r>
          <w:rPr>
            <w:rStyle w:val="Czeinternetowe"/>
            <w:rFonts w:cs="Calibri"/>
            <w:color w:val="auto"/>
            <w:sz w:val="22"/>
            <w:szCs w:val="22"/>
          </w:rPr>
          <w:t>.</w:t>
        </w:r>
      </w:hyperlink>
      <w:hyperlink r:id="rId8">
        <w:r>
          <w:rPr>
            <w:rStyle w:val="Czeinternetowe"/>
            <w:rFonts w:cs="Calibri"/>
            <w:color w:val="auto"/>
            <w:sz w:val="22"/>
            <w:szCs w:val="22"/>
          </w:rPr>
          <w:t>bip.gov.</w:t>
        </w:r>
      </w:hyperlink>
      <w:hyperlink r:id="rId9">
        <w:r>
          <w:rPr>
            <w:rStyle w:val="Czeinternetowe"/>
            <w:rFonts w:cs="Calibri"/>
            <w:color w:val="auto"/>
            <w:sz w:val="22"/>
            <w:szCs w:val="22"/>
          </w:rPr>
          <w:t>pl</w:t>
        </w:r>
      </w:hyperlink>
      <w:r>
        <w:rPr>
          <w:rFonts w:cs="Calibri"/>
          <w:sz w:val="22"/>
          <w:szCs w:val="22"/>
        </w:rPr>
        <w:t xml:space="preserve"> </w:t>
      </w:r>
    </w:p>
    <w:p>
      <w:pPr>
        <w:pStyle w:val="Normal"/>
        <w:tabs>
          <w:tab w:val="clear" w:pos="708"/>
          <w:tab w:val="center" w:pos="5256" w:leader="none"/>
          <w:tab w:val="right" w:pos="9792" w:leader="none"/>
        </w:tabs>
        <w:rPr/>
      </w:pPr>
      <w:r>
        <w:rPr>
          <w:rFonts w:cs="Calibri"/>
          <w:sz w:val="22"/>
          <w:szCs w:val="22"/>
          <w:lang w:val="de-DE"/>
        </w:rPr>
        <w:t xml:space="preserve">e-mail: </w:t>
      </w:r>
      <w:hyperlink r:id="rId10">
        <w:r>
          <w:rPr>
            <w:rStyle w:val="Czeinternetowe"/>
            <w:rFonts w:cs="Calibri"/>
            <w:color w:val="auto"/>
            <w:sz w:val="22"/>
            <w:szCs w:val="22"/>
          </w:rPr>
          <w:t>sekretariat@</w:t>
        </w:r>
      </w:hyperlink>
      <w:hyperlink r:id="rId11">
        <w:r>
          <w:rPr>
            <w:rStyle w:val="Czeinternetowe"/>
            <w:rFonts w:cs="Calibri"/>
            <w:color w:val="auto"/>
            <w:sz w:val="22"/>
            <w:szCs w:val="22"/>
          </w:rPr>
          <w:t>dpsobryte</w:t>
        </w:r>
      </w:hyperlink>
      <w:hyperlink r:id="rId12">
        <w:r>
          <w:rPr>
            <w:rStyle w:val="Czeinternetowe"/>
            <w:rFonts w:cs="Calibri"/>
            <w:color w:val="auto"/>
            <w:sz w:val="22"/>
            <w:szCs w:val="22"/>
          </w:rPr>
          <w:t>.pl</w:t>
        </w:r>
      </w:hyperlink>
      <w:r>
        <w:rPr>
          <w:rFonts w:cs="Calibri"/>
          <w:sz w:val="22"/>
          <w:szCs w:val="22"/>
        </w:rPr>
        <w:t xml:space="preserve"> </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NIP 762 11 32 724</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REGON: 000308927</w:t>
      </w:r>
    </w:p>
    <w:p>
      <w:pPr>
        <w:pStyle w:val="Normal"/>
        <w:tabs>
          <w:tab w:val="clear" w:pos="708"/>
          <w:tab w:val="center" w:pos="5256" w:leader="none"/>
          <w:tab w:val="right" w:pos="9792" w:leader="none"/>
        </w:tabs>
        <w:rPr>
          <w:rFonts w:ascii="Times New Roman" w:hAnsi="Times New Roman" w:cs="Calibri"/>
          <w:b/>
          <w:b/>
          <w:bCs/>
          <w:sz w:val="22"/>
          <w:szCs w:val="22"/>
        </w:rPr>
      </w:pPr>
      <w:r>
        <w:rPr>
          <w:rFonts w:cs="Calibri"/>
          <w:b/>
          <w:bCs/>
          <w:sz w:val="22"/>
          <w:szCs w:val="22"/>
        </w:rPr>
      </w:r>
    </w:p>
    <w:p>
      <w:pPr>
        <w:pStyle w:val="Normal"/>
        <w:tabs>
          <w:tab w:val="clear" w:pos="708"/>
          <w:tab w:val="center" w:pos="5256" w:leader="none"/>
          <w:tab w:val="right" w:pos="9792" w:leader="none"/>
        </w:tabs>
        <w:spacing w:lineRule="auto" w:line="360"/>
        <w:jc w:val="center"/>
        <w:rPr>
          <w:rFonts w:ascii="Times New Roman" w:hAnsi="Times New Roman"/>
          <w:sz w:val="22"/>
          <w:szCs w:val="22"/>
        </w:rPr>
      </w:pPr>
      <w:r>
        <w:rPr>
          <w:rFonts w:cs="Calibri"/>
          <w:b/>
          <w:bCs/>
          <w:sz w:val="22"/>
          <w:szCs w:val="22"/>
          <w:highlight w:val="lightGray"/>
        </w:rPr>
        <w:t xml:space="preserve">SPECYFIKACJA WARUNKÓW ZAMÓWIENIA NA </w:t>
        <w:br/>
      </w:r>
      <w:r>
        <w:rPr>
          <w:rFonts w:cs="Calibri"/>
          <w:b/>
          <w:i/>
          <w:sz w:val="22"/>
          <w:szCs w:val="22"/>
          <w:highlight w:val="lightGray"/>
        </w:rPr>
        <w:t>„Dostawę fabrycznie nowego stacjonarnego agregatu prądotwórczego na potrzeby zasilania awaryjnego Domu Pomocy Społecznej w Obrytem</w:t>
      </w:r>
      <w:r>
        <w:rPr>
          <w:rFonts w:cs="Calibri"/>
          <w:b/>
          <w:i/>
          <w:sz w:val="22"/>
          <w:szCs w:val="22"/>
        </w:rPr>
        <w:t>”</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t>W POSTĘPOWANIU O UDZIELENIE ZAMÓWIENIA PROWADZONYM</w:t>
      </w:r>
    </w:p>
    <w:p>
      <w:pPr>
        <w:pStyle w:val="Normal"/>
        <w:tabs>
          <w:tab w:val="clear" w:pos="708"/>
          <w:tab w:val="center" w:pos="5256" w:leader="none"/>
          <w:tab w:val="right" w:pos="9792" w:leader="none"/>
        </w:tabs>
        <w:spacing w:lineRule="auto" w:line="360"/>
        <w:jc w:val="center"/>
        <w:rPr>
          <w:rFonts w:ascii="Times New Roman" w:hAnsi="Times New Roman" w:cs="Calibri"/>
          <w:b/>
          <w:b/>
          <w:bCs/>
          <w:sz w:val="22"/>
          <w:szCs w:val="22"/>
        </w:rPr>
      </w:pPr>
      <w:r>
        <w:rPr>
          <w:rFonts w:cs="Calibri"/>
          <w:b/>
          <w:bCs/>
          <w:sz w:val="22"/>
          <w:szCs w:val="22"/>
        </w:rPr>
        <w:t>W TRYBIE PODSTAWOWYM BEZ MOŻLIWOŚCI PRZEPROWADZENIA NEGOCJACJI</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t>NA PODSTAWIE ART. 275 PKT 1</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t>USTAWY Z DNIA 11 WRZEŚNIA 2019 r. PRAWO ZAMÓWIEŃ PUBLICZNYCH</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t xml:space="preserve">(Dz. U. z 2026 r. poz. 793) </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t>ZWANEJ DALEJ "USTAWĄ PZP"</w:t>
      </w:r>
    </w:p>
    <w:p>
      <w:pPr>
        <w:pStyle w:val="Normal"/>
        <w:tabs>
          <w:tab w:val="clear" w:pos="708"/>
          <w:tab w:val="center" w:pos="5256" w:leader="none"/>
          <w:tab w:val="right" w:pos="9792" w:leader="none"/>
        </w:tabs>
        <w:jc w:val="center"/>
        <w:rPr>
          <w:rFonts w:ascii="Times New Roman" w:hAnsi="Times New Roman" w:cs="Calibri"/>
          <w:sz w:val="22"/>
          <w:szCs w:val="22"/>
        </w:rPr>
      </w:pPr>
      <w:r>
        <w:rPr>
          <w:rFonts w:cs="Calibri"/>
          <w:sz w:val="22"/>
          <w:szCs w:val="22"/>
        </w:rPr>
        <w:t>Wartość zamówienia nie przekracza progów unijnych, o których mowa w Obwieszczeniu Prezesa Urzędu Zamówień Publicznych z dnia 8 grudnia 2025 r. w sprawie aktualnych progów unijnych, ich równowartości w złotych, równowartości w złotych kwot wyrażonych w euro oraz średniego kursu złotego w stosunku do euro stanowiącego podstawę przeliczenia wartości zamówień publicznych lub konkursów</w:t>
      </w:r>
    </w:p>
    <w:p>
      <w:pPr>
        <w:pStyle w:val="Normal"/>
        <w:tabs>
          <w:tab w:val="clear" w:pos="708"/>
          <w:tab w:val="center" w:pos="5256" w:leader="none"/>
          <w:tab w:val="right" w:pos="9792" w:leader="none"/>
        </w:tabs>
        <w:spacing w:lineRule="auto" w:line="360"/>
        <w:jc w:val="center"/>
        <w:rPr>
          <w:rFonts w:ascii="Times New Roman" w:hAnsi="Times New Roman" w:cs="Calibri"/>
          <w:sz w:val="22"/>
          <w:szCs w:val="22"/>
        </w:rPr>
      </w:pPr>
      <w:r>
        <w:rPr>
          <w:rFonts w:cs="Calibri"/>
          <w:sz w:val="22"/>
          <w:szCs w:val="22"/>
        </w:rPr>
      </w:r>
    </w:p>
    <w:p>
      <w:pPr>
        <w:pStyle w:val="Tretekstu"/>
        <w:tabs>
          <w:tab w:val="clear" w:pos="708"/>
          <w:tab w:val="center" w:pos="5256" w:leader="none"/>
          <w:tab w:val="right" w:pos="9792" w:leader="none"/>
        </w:tabs>
        <w:spacing w:before="0" w:after="0"/>
        <w:jc w:val="both"/>
        <w:rPr>
          <w:rFonts w:ascii="Times New Roman" w:hAnsi="Times New Roman" w:cs="Calibri"/>
          <w:sz w:val="22"/>
          <w:szCs w:val="22"/>
        </w:rPr>
      </w:pPr>
      <w:r>
        <w:rPr>
          <w:rFonts w:cs="Calibri"/>
          <w:sz w:val="22"/>
          <w:szCs w:val="22"/>
        </w:rPr>
        <w:t>Postępowanie o udzielenie zamówienia publicznego prowadzone jest na podstawie przepisów ustawy PZP oraz aktów wykonawczych do tej ustawy.</w:t>
      </w:r>
    </w:p>
    <w:p>
      <w:pPr>
        <w:pStyle w:val="Tretekstu"/>
        <w:tabs>
          <w:tab w:val="clear" w:pos="708"/>
          <w:tab w:val="center" w:pos="5256" w:leader="none"/>
          <w:tab w:val="right" w:pos="9792" w:leader="none"/>
        </w:tabs>
        <w:spacing w:before="0" w:after="0"/>
        <w:jc w:val="both"/>
        <w:rPr>
          <w:rFonts w:ascii="Times New Roman" w:hAnsi="Times New Roman" w:cs="Calibri"/>
          <w:sz w:val="22"/>
          <w:szCs w:val="22"/>
        </w:rPr>
      </w:pPr>
      <w:r>
        <w:rPr>
          <w:rFonts w:cs="Calibri"/>
          <w:sz w:val="22"/>
          <w:szCs w:val="22"/>
        </w:rPr>
      </w:r>
    </w:p>
    <w:p>
      <w:pPr>
        <w:pStyle w:val="Normal"/>
        <w:tabs>
          <w:tab w:val="clear" w:pos="708"/>
          <w:tab w:val="center" w:pos="5256" w:leader="none"/>
          <w:tab w:val="right" w:pos="9792" w:leader="none"/>
        </w:tabs>
        <w:jc w:val="both"/>
        <w:rPr>
          <w:rFonts w:ascii="Times New Roman" w:hAnsi="Times New Roman" w:cs="Calibri"/>
          <w:sz w:val="22"/>
          <w:szCs w:val="22"/>
        </w:rPr>
      </w:pPr>
      <w:r>
        <w:rPr>
          <w:rFonts w:cs="Calibri"/>
          <w:sz w:val="22"/>
          <w:szCs w:val="22"/>
        </w:rPr>
        <w:t>Do czynności podejmowanych przez Zamawiającego i Wykonawców w postępowaniu o udzielenie zamówienia stosuje się przepisy ustawy z dnia 23 kwietnia 1964 r. Kodeks cywilny (Dz. U. z 2026 r. poz. 795), jeżeli przepisy ustawy PZP nie stanowią inaczej.</w:t>
      </w:r>
    </w:p>
    <w:p>
      <w:pPr>
        <w:pStyle w:val="Normal"/>
        <w:tabs>
          <w:tab w:val="clear" w:pos="708"/>
          <w:tab w:val="center" w:pos="5432" w:leader="none"/>
          <w:tab w:val="right" w:pos="9968" w:leader="none"/>
        </w:tabs>
        <w:spacing w:before="120" w:after="0"/>
        <w:ind w:left="11" w:right="0" w:hanging="0"/>
        <w:jc w:val="both"/>
        <w:rPr>
          <w:rFonts w:ascii="Times New Roman" w:hAnsi="Times New Roman" w:cs="Calibri"/>
          <w:sz w:val="22"/>
          <w:szCs w:val="22"/>
        </w:rPr>
      </w:pPr>
      <w:r>
        <w:rPr>
          <w:rFonts w:cs="Calibri"/>
          <w:sz w:val="22"/>
          <w:szCs w:val="22"/>
        </w:rPr>
        <w:t xml:space="preserve">Miejsce ogłoszenia postępowania: </w:t>
      </w:r>
    </w:p>
    <w:p>
      <w:pPr>
        <w:pStyle w:val="Normal"/>
        <w:tabs>
          <w:tab w:val="clear" w:pos="708"/>
          <w:tab w:val="center" w:pos="5432" w:leader="none"/>
          <w:tab w:val="right" w:pos="9968" w:leader="none"/>
        </w:tabs>
        <w:spacing w:before="120" w:after="0"/>
        <w:ind w:left="11" w:right="0" w:hanging="0"/>
        <w:jc w:val="both"/>
        <w:rPr/>
      </w:pPr>
      <w:r>
        <w:rPr>
          <w:rFonts w:cs="Calibri"/>
          <w:sz w:val="22"/>
          <w:szCs w:val="22"/>
        </w:rPr>
        <w:t xml:space="preserve">Portal e-zamówienia: </w:t>
      </w:r>
      <w:r>
        <w:rPr>
          <w:rFonts w:cs="Calibri" w:ascii="Times New Roman" w:hAnsi="Times New Roman"/>
          <w:b w:val="false"/>
          <w:i w:val="false"/>
          <w:caps w:val="false"/>
          <w:smallCaps w:val="false"/>
          <w:color w:val="000000"/>
          <w:spacing w:val="0"/>
          <w:sz w:val="22"/>
          <w:szCs w:val="22"/>
        </w:rPr>
        <w:t xml:space="preserve">ocds-148610-442748b9-0583-4844-9bae-b4dea27b252a </w:t>
      </w:r>
    </w:p>
    <w:p>
      <w:pPr>
        <w:pStyle w:val="Normal"/>
        <w:tabs>
          <w:tab w:val="clear" w:pos="708"/>
          <w:tab w:val="center" w:pos="5432" w:leader="none"/>
          <w:tab w:val="right" w:pos="9968" w:leader="none"/>
        </w:tabs>
        <w:spacing w:before="120" w:after="0"/>
        <w:ind w:left="11" w:right="0" w:hanging="0"/>
        <w:jc w:val="both"/>
        <w:rPr>
          <w:rFonts w:ascii="Times New Roman" w:hAnsi="Times New Roman" w:cs="Calibri"/>
          <w:i/>
          <w:i/>
          <w:sz w:val="22"/>
          <w:szCs w:val="22"/>
        </w:rPr>
      </w:pPr>
      <w:r>
        <w:rPr>
          <w:rFonts w:cs="Calibri"/>
          <w:i/>
          <w:sz w:val="22"/>
          <w:szCs w:val="22"/>
        </w:rPr>
      </w:r>
    </w:p>
    <w:p>
      <w:pPr>
        <w:pStyle w:val="Normal"/>
        <w:tabs>
          <w:tab w:val="clear" w:pos="708"/>
          <w:tab w:val="center" w:pos="5256" w:leader="none"/>
          <w:tab w:val="right" w:pos="9792" w:leader="none"/>
        </w:tabs>
        <w:rPr>
          <w:rFonts w:ascii="Times New Roman" w:hAnsi="Times New Roman" w:cs="Calibri"/>
          <w:sz w:val="22"/>
          <w:szCs w:val="22"/>
        </w:rPr>
      </w:pPr>
      <w:r>
        <w:rPr>
          <w:rFonts w:cs="Calibri"/>
          <w:sz w:val="22"/>
          <w:szCs w:val="22"/>
        </w:rPr>
      </w:r>
    </w:p>
    <w:p>
      <w:pPr>
        <w:pStyle w:val="Normal"/>
        <w:tabs>
          <w:tab w:val="clear" w:pos="708"/>
          <w:tab w:val="center" w:pos="5256" w:leader="none"/>
          <w:tab w:val="right" w:pos="9792" w:leader="none"/>
        </w:tabs>
        <w:rPr>
          <w:rFonts w:ascii="Times New Roman" w:hAnsi="Times New Roman" w:cs="Calibri"/>
          <w:sz w:val="22"/>
          <w:szCs w:val="22"/>
        </w:rPr>
      </w:pPr>
      <w:r>
        <w:rPr>
          <w:rFonts w:cs="Calibri"/>
          <w:sz w:val="22"/>
          <w:szCs w:val="22"/>
        </w:rPr>
        <mc:AlternateContent>
          <mc:Choice Requires="wps">
            <w:drawing>
              <wp:anchor behindDoc="0" distT="0" distB="9525" distL="0" distR="3175" simplePos="0" locked="0" layoutInCell="1" allowOverlap="1" relativeHeight="149">
                <wp:simplePos x="0" y="0"/>
                <wp:positionH relativeFrom="column">
                  <wp:posOffset>3548380</wp:posOffset>
                </wp:positionH>
                <wp:positionV relativeFrom="paragraph">
                  <wp:posOffset>10795</wp:posOffset>
                </wp:positionV>
                <wp:extent cx="2131695" cy="829945"/>
                <wp:effectExtent l="0" t="0" r="0" b="0"/>
                <wp:wrapSquare wrapText="bothSides"/>
                <wp:docPr id="1" name="Pole tekstowe 1"/>
                <a:graphic xmlns:a="http://schemas.openxmlformats.org/drawingml/2006/main">
                  <a:graphicData uri="http://schemas.microsoft.com/office/word/2010/wordprocessingShape">
                    <wps:wsp>
                      <wps:cNvSpPr/>
                      <wps:spPr>
                        <a:xfrm>
                          <a:off x="0" y="0"/>
                          <a:ext cx="2131200" cy="829440"/>
                        </a:xfrm>
                        <a:prstGeom prst="rect">
                          <a:avLst/>
                        </a:prstGeom>
                        <a:solidFill>
                          <a:srgbClr val="ffffff"/>
                        </a:solidFill>
                        <a:ln>
                          <a:noFill/>
                        </a:ln>
                      </wps:spPr>
                      <wps:style>
                        <a:lnRef idx="0"/>
                        <a:fillRef idx="0"/>
                        <a:effectRef idx="0"/>
                        <a:fontRef idx="minor"/>
                      </wps:style>
                      <wps:txbx>
                        <w:txbxContent>
                          <w:p>
                            <w:pPr>
                              <w:pStyle w:val="Zawartoramki"/>
                              <w:tabs>
                                <w:tab w:val="clear" w:pos="708"/>
                                <w:tab w:val="center" w:pos="5256" w:leader="none"/>
                                <w:tab w:val="right" w:pos="9792" w:leader="none"/>
                              </w:tabs>
                              <w:jc w:val="center"/>
                              <w:rPr>
                                <w:rFonts w:ascii="Calibri" w:hAnsi="Calibri" w:cs="Calibri"/>
                              </w:rPr>
                            </w:pPr>
                            <w:r>
                              <w:rPr>
                                <w:rFonts w:cs="Calibri" w:ascii="Calibri" w:hAnsi="Calibri"/>
                                <w:color w:val="000000"/>
                              </w:rPr>
                              <w:t>DYREKTOR</w:t>
                            </w:r>
                          </w:p>
                          <w:p>
                            <w:pPr>
                              <w:pStyle w:val="Zawartoramki"/>
                              <w:tabs>
                                <w:tab w:val="clear" w:pos="708"/>
                                <w:tab w:val="center" w:pos="5256" w:leader="none"/>
                                <w:tab w:val="right" w:pos="9792" w:leader="none"/>
                              </w:tabs>
                              <w:jc w:val="center"/>
                              <w:rPr>
                                <w:color w:val="000000"/>
                              </w:rPr>
                            </w:pPr>
                            <w:r>
                              <w:rPr>
                                <w:rFonts w:cs="Calibri" w:ascii="Calibri" w:hAnsi="Calibri"/>
                                <w:color w:val="000000"/>
                              </w:rPr>
                              <w:t>/-/ Dariusz Smyk</w:t>
                            </w:r>
                          </w:p>
                          <w:p>
                            <w:pPr>
                              <w:pStyle w:val="WWTekstpodstawowy2"/>
                              <w:tabs>
                                <w:tab w:val="clear" w:pos="708"/>
                                <w:tab w:val="left" w:pos="7920" w:leader="none"/>
                                <w:tab w:val="center" w:pos="19296" w:leader="none"/>
                                <w:tab w:val="right" w:pos="23832" w:leader="none"/>
                              </w:tabs>
                              <w:ind w:left="360" w:right="0" w:hanging="360"/>
                              <w:jc w:val="center"/>
                              <w:rPr>
                                <w:rFonts w:ascii="Calibri" w:hAnsi="Calibri" w:cs="Calibri"/>
                                <w:sz w:val="20"/>
                                <w:szCs w:val="20"/>
                              </w:rPr>
                            </w:pPr>
                            <w:r>
                              <w:rPr>
                                <w:rFonts w:cs="Calibri" w:ascii="Calibri" w:hAnsi="Calibri"/>
                                <w:color w:val="000000"/>
                                <w:sz w:val="20"/>
                                <w:szCs w:val="20"/>
                              </w:rPr>
                              <w:t>Zatwierdził</w:t>
                            </w:r>
                          </w:p>
                          <w:p>
                            <w:pPr>
                              <w:pStyle w:val="WWTekstpodstawowy2"/>
                              <w:tabs>
                                <w:tab w:val="clear" w:pos="708"/>
                                <w:tab w:val="left" w:pos="7920" w:leader="none"/>
                                <w:tab w:val="center" w:pos="19296" w:leader="none"/>
                                <w:tab w:val="right" w:pos="23832" w:leader="none"/>
                              </w:tabs>
                              <w:ind w:left="360" w:right="0" w:hanging="360"/>
                              <w:jc w:val="center"/>
                              <w:rPr>
                                <w:color w:val="000000"/>
                              </w:rPr>
                            </w:pPr>
                            <w:r>
                              <w:rPr>
                                <w:rFonts w:cs="Calibri" w:ascii="Calibri" w:hAnsi="Calibri"/>
                                <w:color w:val="000000"/>
                              </w:rPr>
                              <w:t xml:space="preserve">data, </w:t>
                            </w:r>
                            <w:r>
                              <w:rPr>
                                <w:rFonts w:cs="Calibri" w:ascii="Calibri" w:hAnsi="Calibri"/>
                                <w:color w:val="000000"/>
                              </w:rPr>
                              <w:t>29</w:t>
                            </w:r>
                            <w:r>
                              <w:rPr>
                                <w:rFonts w:cs="Calibri" w:ascii="Calibri" w:hAnsi="Calibri"/>
                                <w:color w:val="000000"/>
                              </w:rPr>
                              <w:t>.10.2026 r.</w:t>
                            </w:r>
                          </w:p>
                        </w:txbxContent>
                      </wps:txbx>
                      <wps:bodyPr lIns="0" rIns="0" tIns="0" bIns="0">
                        <a:noAutofit/>
                      </wps:bodyPr>
                    </wps:wsp>
                  </a:graphicData>
                </a:graphic>
              </wp:anchor>
            </w:drawing>
          </mc:Choice>
          <mc:Fallback>
            <w:pict>
              <v:rect id="shape_0" ID="Pole tekstowe 1" fillcolor="white" stroked="f" style="position:absolute;margin-left:279.4pt;margin-top:0.85pt;width:167.75pt;height:65.25pt">
                <w10:wrap type="square"/>
                <v:fill o:detectmouseclick="t" type="solid" color2="black"/>
                <v:stroke color="#3465a4" joinstyle="round" endcap="flat"/>
                <v:textbox>
                  <w:txbxContent>
                    <w:p>
                      <w:pPr>
                        <w:pStyle w:val="Zawartoramki"/>
                        <w:tabs>
                          <w:tab w:val="clear" w:pos="708"/>
                          <w:tab w:val="center" w:pos="5256" w:leader="none"/>
                          <w:tab w:val="right" w:pos="9792" w:leader="none"/>
                        </w:tabs>
                        <w:jc w:val="center"/>
                        <w:rPr>
                          <w:rFonts w:ascii="Calibri" w:hAnsi="Calibri" w:cs="Calibri"/>
                        </w:rPr>
                      </w:pPr>
                      <w:r>
                        <w:rPr>
                          <w:rFonts w:cs="Calibri" w:ascii="Calibri" w:hAnsi="Calibri"/>
                          <w:color w:val="000000"/>
                        </w:rPr>
                        <w:t>DYREKTOR</w:t>
                      </w:r>
                    </w:p>
                    <w:p>
                      <w:pPr>
                        <w:pStyle w:val="Zawartoramki"/>
                        <w:tabs>
                          <w:tab w:val="clear" w:pos="708"/>
                          <w:tab w:val="center" w:pos="5256" w:leader="none"/>
                          <w:tab w:val="right" w:pos="9792" w:leader="none"/>
                        </w:tabs>
                        <w:jc w:val="center"/>
                        <w:rPr>
                          <w:color w:val="000000"/>
                        </w:rPr>
                      </w:pPr>
                      <w:r>
                        <w:rPr>
                          <w:rFonts w:cs="Calibri" w:ascii="Calibri" w:hAnsi="Calibri"/>
                          <w:color w:val="000000"/>
                        </w:rPr>
                        <w:t>/-/ Dariusz Smyk</w:t>
                      </w:r>
                    </w:p>
                    <w:p>
                      <w:pPr>
                        <w:pStyle w:val="WWTekstpodstawowy2"/>
                        <w:tabs>
                          <w:tab w:val="clear" w:pos="708"/>
                          <w:tab w:val="left" w:pos="7920" w:leader="none"/>
                          <w:tab w:val="center" w:pos="19296" w:leader="none"/>
                          <w:tab w:val="right" w:pos="23832" w:leader="none"/>
                        </w:tabs>
                        <w:ind w:left="360" w:right="0" w:hanging="360"/>
                        <w:jc w:val="center"/>
                        <w:rPr>
                          <w:rFonts w:ascii="Calibri" w:hAnsi="Calibri" w:cs="Calibri"/>
                          <w:sz w:val="20"/>
                          <w:szCs w:val="20"/>
                        </w:rPr>
                      </w:pPr>
                      <w:r>
                        <w:rPr>
                          <w:rFonts w:cs="Calibri" w:ascii="Calibri" w:hAnsi="Calibri"/>
                          <w:color w:val="000000"/>
                          <w:sz w:val="20"/>
                          <w:szCs w:val="20"/>
                        </w:rPr>
                        <w:t>Zatwierdził</w:t>
                      </w:r>
                    </w:p>
                    <w:p>
                      <w:pPr>
                        <w:pStyle w:val="WWTekstpodstawowy2"/>
                        <w:tabs>
                          <w:tab w:val="clear" w:pos="708"/>
                          <w:tab w:val="left" w:pos="7920" w:leader="none"/>
                          <w:tab w:val="center" w:pos="19296" w:leader="none"/>
                          <w:tab w:val="right" w:pos="23832" w:leader="none"/>
                        </w:tabs>
                        <w:ind w:left="360" w:right="0" w:hanging="360"/>
                        <w:jc w:val="center"/>
                        <w:rPr>
                          <w:color w:val="000000"/>
                        </w:rPr>
                      </w:pPr>
                      <w:r>
                        <w:rPr>
                          <w:rFonts w:cs="Calibri" w:ascii="Calibri" w:hAnsi="Calibri"/>
                          <w:color w:val="000000"/>
                        </w:rPr>
                        <w:t xml:space="preserve">data, </w:t>
                      </w:r>
                      <w:r>
                        <w:rPr>
                          <w:rFonts w:cs="Calibri" w:ascii="Calibri" w:hAnsi="Calibri"/>
                          <w:color w:val="000000"/>
                        </w:rPr>
                        <w:t>29</w:t>
                      </w:r>
                      <w:r>
                        <w:rPr>
                          <w:rFonts w:cs="Calibri" w:ascii="Calibri" w:hAnsi="Calibri"/>
                          <w:color w:val="000000"/>
                        </w:rPr>
                        <w:t>.10.2026 r.</w:t>
                      </w:r>
                    </w:p>
                  </w:txbxContent>
                </v:textbox>
              </v:rect>
            </w:pict>
          </mc:Fallback>
        </mc:AlternateContent>
      </w:r>
      <w:r>
        <w:br w:type="page"/>
      </w:r>
    </w:p>
    <w:tbl>
      <w:tblPr>
        <w:tblW w:w="9812" w:type="dxa"/>
        <w:jc w:val="left"/>
        <w:tblInd w:w="70" w:type="dxa"/>
        <w:tblCellMar>
          <w:top w:w="0" w:type="dxa"/>
          <w:left w:w="70" w:type="dxa"/>
          <w:bottom w:w="0" w:type="dxa"/>
          <w:right w:w="70" w:type="dxa"/>
        </w:tblCellMar>
      </w:tblPr>
      <w:tblGrid>
        <w:gridCol w:w="9253"/>
        <w:gridCol w:w="209"/>
        <w:gridCol w:w="182"/>
        <w:gridCol w:w="167"/>
      </w:tblGrid>
      <w:tr>
        <w:trPr>
          <w:trHeight w:val="572" w:hRule="atLeast"/>
          <w:cantSplit w:val="true"/>
        </w:trPr>
        <w:tc>
          <w:tcPr>
            <w:tcW w:w="9253" w:type="dxa"/>
            <w:tcBorders/>
            <w:shd w:fill="auto" w:val="clear"/>
            <w:vAlign w:val="center"/>
          </w:tcPr>
          <w:p>
            <w:pPr>
              <w:pStyle w:val="WWTekst11111111111111111111111111111111111111111111111111111111111111111111111111111111111111111111111"/>
              <w:pageBreakBefore/>
              <w:snapToGrid w:val="false"/>
              <w:spacing w:before="0" w:after="0"/>
              <w:jc w:val="center"/>
              <w:rPr>
                <w:rFonts w:ascii="Times New Roman" w:hAnsi="Times New Roman" w:cs="Calibri"/>
                <w:b/>
                <w:b/>
                <w:bCs/>
                <w:i w:val="false"/>
                <w:i w:val="false"/>
                <w:iCs w:val="false"/>
                <w:sz w:val="22"/>
                <w:szCs w:val="22"/>
              </w:rPr>
            </w:pPr>
            <w:r>
              <w:rPr>
                <w:rFonts w:cs="Calibri"/>
                <w:b/>
                <w:bCs/>
                <w:i w:val="false"/>
                <w:iCs w:val="false"/>
                <w:sz w:val="22"/>
                <w:szCs w:val="22"/>
              </w:rPr>
              <w:t>Spis treści (zawartość specyfikacji warunków zamówienia)</w:t>
            </w:r>
          </w:p>
        </w:tc>
        <w:tc>
          <w:tcPr>
            <w:tcW w:w="209" w:type="dxa"/>
            <w:tcBorders/>
            <w:shd w:fill="auto" w:val="clear"/>
          </w:tcPr>
          <w:p>
            <w:pPr>
              <w:pStyle w:val="Normal"/>
              <w:snapToGrid w:val="false"/>
              <w:rPr>
                <w:rFonts w:ascii="Times New Roman" w:hAnsi="Times New Roman" w:cs="Calibri"/>
                <w:sz w:val="22"/>
                <w:szCs w:val="22"/>
              </w:rPr>
            </w:pPr>
            <w:r>
              <w:rPr>
                <w:rFonts w:cs="Calibri"/>
                <w:sz w:val="22"/>
                <w:szCs w:val="22"/>
              </w:rPr>
            </w:r>
          </w:p>
        </w:tc>
        <w:tc>
          <w:tcPr>
            <w:tcW w:w="182" w:type="dxa"/>
            <w:tcBorders/>
            <w:shd w:fill="auto" w:val="clear"/>
          </w:tcPr>
          <w:p>
            <w:pPr>
              <w:pStyle w:val="Normal"/>
              <w:snapToGrid w:val="false"/>
              <w:rPr>
                <w:rFonts w:ascii="Times New Roman" w:hAnsi="Times New Roman" w:cs="Calibri"/>
                <w:sz w:val="22"/>
                <w:szCs w:val="22"/>
              </w:rPr>
            </w:pPr>
            <w:r>
              <w:rPr>
                <w:rFonts w:cs="Calibri"/>
                <w:sz w:val="22"/>
                <w:szCs w:val="22"/>
              </w:rPr>
            </w:r>
          </w:p>
        </w:tc>
        <w:tc>
          <w:tcPr>
            <w:tcW w:w="167" w:type="dxa"/>
            <w:tcBorders/>
            <w:shd w:fill="auto" w:val="clear"/>
          </w:tcPr>
          <w:p>
            <w:pPr>
              <w:pStyle w:val="Normal"/>
              <w:snapToGrid w:val="false"/>
              <w:rPr>
                <w:rFonts w:ascii="Times New Roman" w:hAnsi="Times New Roman" w:cs="Calibri"/>
                <w:sz w:val="22"/>
                <w:szCs w:val="22"/>
              </w:rPr>
            </w:pPr>
            <w:r>
              <w:rPr>
                <w:rFonts w:cs="Calibri"/>
                <w:sz w:val="22"/>
                <w:szCs w:val="22"/>
              </w:rPr>
            </w:r>
          </w:p>
        </w:tc>
      </w:tr>
    </w:tbl>
    <w:p>
      <w:pPr>
        <w:pStyle w:val="Normal"/>
        <w:rPr>
          <w:rFonts w:ascii="Times New Roman" w:hAnsi="Times New Roman"/>
          <w:vanish/>
          <w:sz w:val="22"/>
          <w:szCs w:val="22"/>
        </w:rPr>
      </w:pPr>
      <w:r>
        <w:rPr>
          <w:vanish/>
          <w:sz w:val="22"/>
          <w:szCs w:val="22"/>
        </w:rPr>
      </w:r>
    </w:p>
    <w:tbl>
      <w:tblPr>
        <w:tblW w:w="9781" w:type="dxa"/>
        <w:jc w:val="left"/>
        <w:tblInd w:w="70" w:type="dxa"/>
        <w:tblCellMar>
          <w:top w:w="0" w:type="dxa"/>
          <w:left w:w="70" w:type="dxa"/>
          <w:bottom w:w="0" w:type="dxa"/>
          <w:right w:w="70" w:type="dxa"/>
        </w:tblCellMar>
      </w:tblPr>
      <w:tblGrid>
        <w:gridCol w:w="819"/>
        <w:gridCol w:w="8961"/>
      </w:tblGrid>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iCs w:val="false"/>
                <w:sz w:val="22"/>
                <w:szCs w:val="22"/>
              </w:rPr>
              <w:t>N</w:t>
            </w:r>
            <w:r>
              <w:rPr>
                <w:rFonts w:cs="Calibri"/>
                <w:i w:val="false"/>
                <w:sz w:val="22"/>
                <w:szCs w:val="22"/>
              </w:rPr>
              <w:t>azwa oraz adres Zamawiającego, numer telefonu, adres poczty elektronicznej oraz strony internetowej prowadzonego postępowanie</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Adres strony internetowej, na której udostępniane będą zmiany i wyjaśnienia treści SWZ oraz inne dokumenty zamówienia bezpośrednio związane z postępowaniem o udzielenie zamówienia</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3</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sz w:val="22"/>
                <w:szCs w:val="22"/>
              </w:rPr>
              <w:t>Tryb udzielenia zamówienia.  Informacja, czy Zamawiający przewiduje wybór najkorzystniejszej oferty z możliwością prowadzenia negocjacji oraz</w:t>
            </w:r>
            <w:r>
              <w:rPr>
                <w:rFonts w:eastAsia="Times New Roman" w:cs="Calibri"/>
                <w:i w:val="false"/>
                <w:sz w:val="22"/>
                <w:szCs w:val="22"/>
                <w:lang w:eastAsia="pl-PL"/>
              </w:rPr>
              <w:t xml:space="preserve"> czy Zamawiający przewiduje możliwość ograniczenia liczby Wykonawców, których zaprosi do negocjacji, stosując kryteria oceny ofert.</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4</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sz w:val="22"/>
                <w:szCs w:val="22"/>
              </w:rPr>
              <w:t>Opis przedmiotu zamówienia, w</w:t>
            </w:r>
            <w:r>
              <w:rPr>
                <w:rFonts w:eastAsia="Times New Roman" w:cs="Calibri"/>
                <w:i w:val="false"/>
                <w:sz w:val="22"/>
                <w:szCs w:val="22"/>
                <w:lang w:eastAsia="pl-PL"/>
              </w:rPr>
              <w:t>ymagania w zakresie zatrudnienia na podstawie stosunku pracy, w okolicznościach, o których mowa w art. 95</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5</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iCs w:val="false"/>
                <w:sz w:val="22"/>
                <w:szCs w:val="22"/>
              </w:rPr>
              <w:t>T</w:t>
            </w:r>
            <w:r>
              <w:rPr>
                <w:rFonts w:cs="Calibri"/>
                <w:i w:val="false"/>
                <w:sz w:val="22"/>
                <w:szCs w:val="22"/>
              </w:rPr>
              <w:t>ermin wykonania zamówienia</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6</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Projektowane postanowienia umowy w sprawie zamówienia publicznego, które zostaną wprowadzone do treści tej umowy</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7</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8</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Informacje o sposobie komunikowania się Zamawiającego z Wykonawcami w inny sposób niż przy użyciu środków komunikacji elektronicznej w przypadku zaistnienia jednej z sytuacji określonych w art. 65 ust. 1, art. 66 i art. 69</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9</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Wskazanie osób uprawnionych do komunikowania się z Wykonawcami</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10</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Termin związania ofertą</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11</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Opis sposobu przygotowania oferty</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12</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Sposób oraz termin składania ofert</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13</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Termin otwarcia ofert</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14</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 xml:space="preserve">Podstawy wykluczenia, o których mowa w art. 108 ust. 1, w art. 109 ust. 1 pkt 1 i 4, w art. 7 ust. 1 UOBN </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15</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Sposób obliczenia ceny</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16</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Opis kryteriów oceny ofert, wraz z podaniem wag tych kryteriów, i sposobu oceny ofert</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17</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Informacje o formalnościach, jakie muszą zostać dopełnione po wyborze oferty w celu zawarcia umowy w sprawie zamówienia publicznego</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18</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Pouczenie o środkach ochrony prawnej przysługujących Wykonawcy</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19</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iCs w:val="false"/>
                <w:sz w:val="22"/>
                <w:szCs w:val="22"/>
              </w:rPr>
              <w:t>I</w:t>
            </w:r>
            <w:r>
              <w:rPr>
                <w:rFonts w:cs="Calibri"/>
                <w:i w:val="false"/>
                <w:sz w:val="22"/>
                <w:szCs w:val="22"/>
              </w:rPr>
              <w:t>nformacja o warunkach udziału w postępowaniu oraz o przedmiotowych środkach dowodowych, jeżeli Zamawiający je przewiduje</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20</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Informacja o podmiotowych środkach dowodowych, jeżeli Zamawiający będzie wymagał ich złożenia</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21</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sz w:val="22"/>
                <w:szCs w:val="22"/>
              </w:rPr>
            </w:pPr>
            <w:r>
              <w:rPr>
                <w:rFonts w:cs="Calibri"/>
                <w:i w:val="false"/>
                <w:sz w:val="22"/>
                <w:szCs w:val="22"/>
              </w:rPr>
              <w:t>Opis części zamówienia, jeżeli Zamawiający dopuszcza składanie ofert częściowych, l</w:t>
            </w:r>
            <w:r>
              <w:rPr>
                <w:rFonts w:eastAsia="Times New Roman" w:cs="Calibri"/>
                <w:i w:val="false"/>
                <w:sz w:val="22"/>
                <w:szCs w:val="22"/>
                <w:lang w:eastAsia="pl-PL"/>
              </w:rPr>
              <w:t>iczba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22</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 xml:space="preserve">Informacje dotyczące ofert wariantowych, w tym informacje o sposobie przedstawiania ofert wariantowych oraz minimalne warunki, jakim muszą odpowiadać oferty wariantowe, jeżeli Zamawiający wymaga </w:t>
              <w:br/>
              <w:t>lub dopuszcza ich składanie</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23</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Wymagania w zakresie zatrudnienia osób, o których mowa w art. 96 ust. 2 pkt 2, jeżeli Zamawiający przewiduje takie wymagania;</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24</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Times New Roman" w:hAnsi="Times New Roman" w:eastAsia="Times New Roman" w:cs="Calibri"/>
                <w:sz w:val="22"/>
                <w:szCs w:val="22"/>
                <w:lang w:eastAsia="pl-PL"/>
              </w:rPr>
            </w:pPr>
            <w:r>
              <w:rPr>
                <w:rFonts w:eastAsia="Times New Roman" w:cs="Calibri"/>
                <w:sz w:val="22"/>
                <w:szCs w:val="22"/>
                <w:lang w:eastAsia="pl-PL"/>
              </w:rPr>
              <w:t>Informacja o zastrzeżeniu możliwości ubiegania się o udzielenie zamówienia wyłącznie przez Wykonawców, o których mowa w art. 94, jeżeli Zamawiający przewiduje takie wymagania</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25</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Wymagania dotyczące wadium, w tym jego kwotę, jeżeli Zamawiający przewiduje obowiązek wniesienia wadium</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26</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Times New Roman" w:hAnsi="Times New Roman" w:eastAsia="Times New Roman" w:cs="Calibri"/>
                <w:sz w:val="22"/>
                <w:szCs w:val="22"/>
                <w:lang w:eastAsia="pl-PL"/>
              </w:rPr>
            </w:pPr>
            <w:r>
              <w:rPr>
                <w:rFonts w:eastAsia="Times New Roman" w:cs="Calibri"/>
                <w:sz w:val="22"/>
                <w:szCs w:val="22"/>
                <w:lang w:eastAsia="pl-PL"/>
              </w:rPr>
              <w:t>Informacja o przewidywanych zamówieniach, o których mowa w art. 214 ust. 1 pkt 8, jeżeli Zamawiający przewiduje udzielenie takich zamówień</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27</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Times New Roman" w:hAnsi="Times New Roman" w:eastAsia="Times New Roman" w:cs="Calibri"/>
                <w:sz w:val="22"/>
                <w:szCs w:val="22"/>
                <w:lang w:eastAsia="pl-PL"/>
              </w:rPr>
            </w:pPr>
            <w:r>
              <w:rPr>
                <w:rFonts w:eastAsia="Times New Roman" w:cs="Calibri"/>
                <w:sz w:val="22"/>
                <w:szCs w:val="22"/>
                <w:lang w:eastAsia="pl-PL"/>
              </w:rPr>
              <w:t>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28</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Informacje dotyczące walut obcych, w jakich mogą być prowadzone rozliczenia między zamawiającym a Wykonawcą, jeżeli Zamawiający przewiduje rozliczenia w walutach obcych</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§29</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Informacje dotyczące zwrotu kosztów udziału w postępowaniu, jeżeli Zamawiający przewiduje ich zwrot</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30</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Informacja o obowiązku osobistego wykonania przez Wykonawcę kluczowych zadań, jeżeli Zamawiający dokonuje takiego zastrzeżenia zgodnie z art. 60 i art. 121</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31</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Maksymalna liczbę Wykonawców, z którymi Zamawiający zawrze umowę ramową, jeżeli Zamawiający przewiduje zawarcie umowy ramowej</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32</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Times New Roman" w:hAnsi="Times New Roman" w:eastAsia="Times New Roman" w:cs="Calibri"/>
                <w:sz w:val="22"/>
                <w:szCs w:val="22"/>
                <w:lang w:eastAsia="pl-PL"/>
              </w:rPr>
            </w:pPr>
            <w:r>
              <w:rPr>
                <w:rFonts w:eastAsia="Times New Roman" w:cs="Calibri"/>
                <w:sz w:val="22"/>
                <w:szCs w:val="22"/>
                <w:lang w:eastAsia="pl-PL"/>
              </w:rPr>
              <w:t>Informacja o przewidywanym wyborze najkorzystniejszej oferty z zastosowaniem aukcji elektronicznej wraz z informacjami, o których mowa w art. 230, jeżeli Zamawiający przewiduje aukcję elektroniczną</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Times New Roman" w:hAnsi="Times New Roman" w:cs="Calibri"/>
                <w:i w:val="false"/>
                <w:i w:val="false"/>
                <w:iCs w:val="false"/>
                <w:sz w:val="22"/>
                <w:szCs w:val="22"/>
              </w:rPr>
            </w:pPr>
            <w:r>
              <w:rPr>
                <w:rFonts w:cs="Calibri"/>
                <w:i w:val="false"/>
                <w:iCs w:val="false"/>
                <w:sz w:val="22"/>
                <w:szCs w:val="22"/>
              </w:rPr>
              <w:t>§ 33</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Times New Roman" w:hAnsi="Times New Roman" w:eastAsia="Times New Roman" w:cs="Calibri"/>
                <w:sz w:val="22"/>
                <w:szCs w:val="22"/>
                <w:lang w:eastAsia="pl-PL"/>
              </w:rPr>
            </w:pPr>
            <w:r>
              <w:rPr>
                <w:rFonts w:eastAsia="Times New Roman" w:cs="Calibri"/>
                <w:sz w:val="22"/>
                <w:szCs w:val="22"/>
                <w:lang w:eastAsia="pl-PL"/>
              </w:rPr>
              <w:t>Wymóg lub możliwość złożenia ofert w postaci katalogów elektronicznych lub dołączenia katalogów elektronicznych do oferty, w sytuacji określonej w art. 93</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Cs/>
                <w:sz w:val="22"/>
                <w:szCs w:val="22"/>
              </w:rPr>
            </w:pPr>
            <w:r>
              <w:rPr>
                <w:rFonts w:cs="Calibri"/>
                <w:iCs/>
                <w:sz w:val="22"/>
                <w:szCs w:val="22"/>
              </w:rPr>
              <w:t>§ 34</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eastAsia="Times New Roman" w:cs="Calibri"/>
                <w:i w:val="false"/>
                <w:i w:val="false"/>
                <w:sz w:val="22"/>
                <w:szCs w:val="22"/>
                <w:lang w:eastAsia="pl-PL"/>
              </w:rPr>
            </w:pPr>
            <w:r>
              <w:rPr>
                <w:rFonts w:eastAsia="Times New Roman" w:cs="Calibri"/>
                <w:i w:val="false"/>
                <w:sz w:val="22"/>
                <w:szCs w:val="22"/>
                <w:lang w:eastAsia="pl-PL"/>
              </w:rPr>
              <w:t>Informacje dotyczące zabezpieczenia należytego wykonania umowy, jeżeli Zamawiający je przewiduje</w:t>
            </w:r>
          </w:p>
        </w:tc>
      </w:tr>
      <w:tr>
        <w:trPr>
          <w:trHeight w:val="572"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Cs/>
                <w:sz w:val="22"/>
                <w:szCs w:val="22"/>
              </w:rPr>
            </w:pPr>
            <w:r>
              <w:rPr>
                <w:rFonts w:cs="Calibri"/>
                <w:iCs/>
                <w:sz w:val="22"/>
                <w:szCs w:val="22"/>
              </w:rPr>
              <w:t>§ 35</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Załączniki</w:t>
            </w:r>
          </w:p>
        </w:tc>
      </w:tr>
      <w:tr>
        <w:trPr>
          <w:trHeight w:val="279"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sz w:val="22"/>
                <w:szCs w:val="22"/>
              </w:rPr>
            </w:pPr>
            <w:r>
              <w:rPr>
                <w:rFonts w:cs="Calibri"/>
                <w:sz w:val="22"/>
                <w:szCs w:val="22"/>
              </w:rPr>
              <w:t>1</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Oferta wraz z załącznikami nr 1-7</w:t>
            </w:r>
          </w:p>
        </w:tc>
      </w:tr>
      <w:tr>
        <w:trPr>
          <w:trHeight w:val="343" w:hRule="atLeast"/>
          <w:cantSplit w:val="true"/>
        </w:trPr>
        <w:tc>
          <w:tcPr>
            <w:tcW w:w="8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sz w:val="22"/>
                <w:szCs w:val="22"/>
              </w:rPr>
            </w:pPr>
            <w:r>
              <w:rPr>
                <w:rFonts w:cs="Calibri"/>
                <w:sz w:val="22"/>
                <w:szCs w:val="22"/>
              </w:rPr>
              <w:t>2</w:t>
            </w:r>
          </w:p>
        </w:tc>
        <w:tc>
          <w:tcPr>
            <w:tcW w:w="8961"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Times New Roman" w:hAnsi="Times New Roman" w:cs="Calibri"/>
                <w:i w:val="false"/>
                <w:i w:val="false"/>
                <w:sz w:val="22"/>
                <w:szCs w:val="22"/>
              </w:rPr>
            </w:pPr>
            <w:r>
              <w:rPr>
                <w:rFonts w:cs="Calibri"/>
                <w:i w:val="false"/>
                <w:sz w:val="22"/>
                <w:szCs w:val="22"/>
              </w:rPr>
              <w:t xml:space="preserve">Istotne dla stron postanowienia umowne </w:t>
            </w:r>
          </w:p>
        </w:tc>
      </w:tr>
    </w:tbl>
    <w:p>
      <w:pPr>
        <w:pStyle w:val="Normal"/>
        <w:jc w:val="center"/>
        <w:rPr>
          <w:rFonts w:ascii="Times New Roman" w:hAnsi="Times New Roman"/>
          <w:sz w:val="22"/>
          <w:szCs w:val="22"/>
        </w:rPr>
      </w:pPr>
      <w:r>
        <w:br w:type="page"/>
      </w:r>
      <w:r>
        <w:rPr>
          <w:rFonts w:cs="Calibri"/>
          <w:b/>
          <w:iCs/>
          <w:sz w:val="22"/>
          <w:szCs w:val="22"/>
          <w:highlight w:val="lightGray"/>
        </w:rPr>
        <w:t>§ 1. N</w:t>
      </w:r>
      <w:r>
        <w:rPr>
          <w:rFonts w:cs="Calibri"/>
          <w:b/>
          <w:sz w:val="22"/>
          <w:szCs w:val="22"/>
          <w:highlight w:val="lightGray"/>
        </w:rPr>
        <w:t>azwa oraz adres Zamawiającego, numer telefonu, adres poczty elektronicznej oraz strony internetowej prowadzonego postępowanie</w:t>
      </w:r>
    </w:p>
    <w:p>
      <w:pPr>
        <w:pStyle w:val="Nagwek311"/>
        <w:tabs>
          <w:tab w:val="left" w:pos="0" w:leader="none"/>
          <w:tab w:val="center" w:pos="16056" w:leader="none"/>
          <w:tab w:val="left" w:pos="18351" w:leader="none"/>
          <w:tab w:val="right" w:pos="20592" w:leader="none"/>
        </w:tabs>
        <w:ind w:left="19071" w:right="0" w:hanging="720"/>
        <w:rPr>
          <w:rFonts w:ascii="Times New Roman" w:hAnsi="Times New Roman" w:cs="Calibri"/>
          <w:sz w:val="22"/>
          <w:szCs w:val="22"/>
        </w:rPr>
      </w:pPr>
      <w:r>
        <w:rPr>
          <w:rFonts w:cs="Calibri"/>
          <w:sz w:val="22"/>
          <w:szCs w:val="22"/>
        </w:rPr>
      </w:r>
    </w:p>
    <w:p>
      <w:pPr>
        <w:pStyle w:val="Normal"/>
        <w:rPr>
          <w:rFonts w:ascii="Times New Roman" w:hAnsi="Times New Roman" w:cs="Calibri"/>
          <w:b/>
          <w:b/>
          <w:bCs/>
          <w:sz w:val="22"/>
          <w:szCs w:val="22"/>
        </w:rPr>
      </w:pPr>
      <w:r>
        <w:rPr>
          <w:rFonts w:cs="Calibri"/>
          <w:b/>
          <w:bCs/>
          <w:sz w:val="22"/>
          <w:szCs w:val="22"/>
        </w:rPr>
        <w:t>Powiat Pułtuski</w:t>
      </w:r>
    </w:p>
    <w:p>
      <w:pPr>
        <w:pStyle w:val="Normal"/>
        <w:rPr>
          <w:rFonts w:ascii="Times New Roman" w:hAnsi="Times New Roman"/>
          <w:sz w:val="22"/>
          <w:szCs w:val="22"/>
        </w:rPr>
      </w:pPr>
      <w:r>
        <w:rPr>
          <w:rFonts w:cs="Calibri"/>
          <w:sz w:val="22"/>
          <w:szCs w:val="22"/>
        </w:rPr>
        <w:t xml:space="preserve">Jednostka organizacyjna: </w:t>
      </w:r>
      <w:r>
        <w:rPr>
          <w:rFonts w:cs="Calibri"/>
          <w:b/>
          <w:bCs/>
          <w:sz w:val="22"/>
          <w:szCs w:val="22"/>
        </w:rPr>
        <w:t>Dom Pomocy Społecznej w Obrytem</w:t>
      </w:r>
    </w:p>
    <w:p>
      <w:pPr>
        <w:pStyle w:val="Normal"/>
        <w:tabs>
          <w:tab w:val="clear" w:pos="708"/>
          <w:tab w:val="center" w:pos="5256" w:leader="none"/>
          <w:tab w:val="right" w:pos="9792" w:leader="none"/>
        </w:tabs>
        <w:rPr>
          <w:rFonts w:ascii="Times New Roman" w:hAnsi="Times New Roman" w:cs="Calibri"/>
          <w:sz w:val="22"/>
          <w:szCs w:val="22"/>
        </w:rPr>
      </w:pPr>
      <w:r>
        <w:rPr>
          <w:rFonts w:cs="Calibri"/>
          <w:sz w:val="22"/>
          <w:szCs w:val="22"/>
        </w:rPr>
        <w:t xml:space="preserve">Obryte 188, 07-215 Obryte </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tel. 29 741 10 80, fax. 29 741 10 80</w:t>
      </w:r>
    </w:p>
    <w:p>
      <w:pPr>
        <w:pStyle w:val="Normal"/>
        <w:tabs>
          <w:tab w:val="clear" w:pos="708"/>
          <w:tab w:val="center" w:pos="5432" w:leader="none"/>
          <w:tab w:val="right" w:pos="9968" w:leader="none"/>
        </w:tabs>
        <w:ind w:left="11" w:right="0" w:hanging="0"/>
        <w:jc w:val="both"/>
        <w:rPr/>
      </w:pPr>
      <w:hyperlink r:id="rId13">
        <w:r>
          <w:rPr>
            <w:rStyle w:val="Czeinternetowe"/>
            <w:rFonts w:cs="Calibri"/>
            <w:color w:val="000000"/>
            <w:sz w:val="22"/>
            <w:szCs w:val="22"/>
          </w:rPr>
          <w:t>www.</w:t>
        </w:r>
      </w:hyperlink>
      <w:hyperlink r:id="rId14">
        <w:r>
          <w:rPr>
            <w:rStyle w:val="Czeinternetowe"/>
            <w:rFonts w:cs="Calibri"/>
            <w:color w:val="000000"/>
            <w:sz w:val="22"/>
            <w:szCs w:val="22"/>
          </w:rPr>
          <w:t>dpsobryte</w:t>
        </w:r>
      </w:hyperlink>
      <w:hyperlink r:id="rId15">
        <w:r>
          <w:rPr>
            <w:rStyle w:val="Czeinternetowe"/>
            <w:rFonts w:cs="Calibri"/>
            <w:color w:val="000000"/>
            <w:sz w:val="22"/>
            <w:szCs w:val="22"/>
          </w:rPr>
          <w:t>.pl</w:t>
        </w:r>
      </w:hyperlink>
      <w:r>
        <w:rPr>
          <w:rFonts w:cs="Calibri"/>
          <w:color w:val="000000"/>
          <w:sz w:val="22"/>
          <w:szCs w:val="22"/>
        </w:rPr>
        <w:t xml:space="preserve">; </w:t>
      </w:r>
      <w:hyperlink r:id="rId16">
        <w:r>
          <w:rPr>
            <w:rStyle w:val="Czeinternetowe"/>
            <w:rFonts w:cs="Calibri"/>
            <w:color w:val="000000"/>
            <w:sz w:val="22"/>
            <w:szCs w:val="22"/>
          </w:rPr>
          <w:t>www.</w:t>
        </w:r>
      </w:hyperlink>
      <w:hyperlink r:id="rId17">
        <w:r>
          <w:rPr>
            <w:rStyle w:val="Czeinternetowe"/>
            <w:rFonts w:cs="Calibri"/>
            <w:color w:val="000000"/>
            <w:sz w:val="22"/>
            <w:szCs w:val="22"/>
          </w:rPr>
          <w:t>dpsobryte</w:t>
        </w:r>
      </w:hyperlink>
      <w:hyperlink r:id="rId18">
        <w:r>
          <w:rPr>
            <w:rStyle w:val="Czeinternetowe"/>
            <w:rFonts w:cs="Calibri"/>
            <w:color w:val="000000"/>
            <w:sz w:val="22"/>
            <w:szCs w:val="22"/>
          </w:rPr>
          <w:t>.</w:t>
        </w:r>
      </w:hyperlink>
      <w:hyperlink r:id="rId19">
        <w:r>
          <w:rPr>
            <w:rStyle w:val="Czeinternetowe"/>
            <w:rFonts w:cs="Calibri"/>
            <w:color w:val="000000"/>
            <w:sz w:val="22"/>
            <w:szCs w:val="22"/>
          </w:rPr>
          <w:t>bip.gov.</w:t>
        </w:r>
      </w:hyperlink>
      <w:hyperlink r:id="rId20">
        <w:r>
          <w:rPr>
            <w:rStyle w:val="Czeinternetowe"/>
            <w:rFonts w:cs="Calibri"/>
            <w:color w:val="000000"/>
            <w:sz w:val="22"/>
            <w:szCs w:val="22"/>
          </w:rPr>
          <w:t>pl</w:t>
        </w:r>
      </w:hyperlink>
      <w:r>
        <w:rPr>
          <w:rFonts w:cs="Calibri"/>
          <w:color w:val="000000"/>
          <w:sz w:val="22"/>
          <w:szCs w:val="22"/>
        </w:rPr>
        <w:t xml:space="preserve"> </w:t>
      </w:r>
    </w:p>
    <w:p>
      <w:pPr>
        <w:pStyle w:val="Normal"/>
        <w:tabs>
          <w:tab w:val="clear" w:pos="708"/>
          <w:tab w:val="center" w:pos="5256" w:leader="none"/>
          <w:tab w:val="right" w:pos="9792" w:leader="none"/>
        </w:tabs>
        <w:rPr/>
      </w:pPr>
      <w:r>
        <w:rPr>
          <w:rFonts w:cs="Calibri"/>
          <w:sz w:val="22"/>
          <w:szCs w:val="22"/>
          <w:lang w:val="de-DE"/>
        </w:rPr>
        <w:t xml:space="preserve">e-mail: </w:t>
      </w:r>
      <w:hyperlink r:id="rId21">
        <w:r>
          <w:rPr>
            <w:rStyle w:val="Czeinternetowe"/>
            <w:rFonts w:cs="Calibri"/>
            <w:color w:val="auto"/>
            <w:sz w:val="22"/>
            <w:szCs w:val="22"/>
          </w:rPr>
          <w:t>sekretariat@</w:t>
        </w:r>
      </w:hyperlink>
      <w:hyperlink r:id="rId22">
        <w:r>
          <w:rPr>
            <w:rStyle w:val="Czeinternetowe"/>
            <w:rFonts w:cs="Calibri"/>
            <w:color w:val="auto"/>
            <w:sz w:val="22"/>
            <w:szCs w:val="22"/>
          </w:rPr>
          <w:t>dpsobryte</w:t>
        </w:r>
      </w:hyperlink>
      <w:hyperlink r:id="rId23">
        <w:r>
          <w:rPr>
            <w:rStyle w:val="Czeinternetowe"/>
            <w:rFonts w:cs="Calibri"/>
            <w:color w:val="auto"/>
            <w:sz w:val="22"/>
            <w:szCs w:val="22"/>
          </w:rPr>
          <w:t>.pl</w:t>
        </w:r>
      </w:hyperlink>
      <w:r>
        <w:rPr>
          <w:rFonts w:cs="Calibri"/>
          <w:sz w:val="22"/>
          <w:szCs w:val="22"/>
        </w:rPr>
        <w:t xml:space="preserve"> </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NIP 762 11 32 724</w:t>
      </w:r>
    </w:p>
    <w:p>
      <w:pPr>
        <w:pStyle w:val="Normal"/>
        <w:tabs>
          <w:tab w:val="clear" w:pos="708"/>
          <w:tab w:val="center" w:pos="5256" w:leader="none"/>
          <w:tab w:val="right" w:pos="9792" w:leader="none"/>
        </w:tabs>
        <w:rPr>
          <w:rFonts w:ascii="Times New Roman" w:hAnsi="Times New Roman"/>
          <w:sz w:val="22"/>
          <w:szCs w:val="22"/>
        </w:rPr>
      </w:pPr>
      <w:r>
        <w:rPr>
          <w:rFonts w:cs="Calibri"/>
          <w:sz w:val="22"/>
          <w:szCs w:val="22"/>
        </w:rPr>
        <w:t>REGON: 000308927</w:t>
      </w:r>
    </w:p>
    <w:p>
      <w:pPr>
        <w:pStyle w:val="Normal"/>
        <w:jc w:val="both"/>
        <w:rPr>
          <w:rFonts w:ascii="Times New Roman" w:hAnsi="Times New Roman" w:cs="Calibri"/>
          <w:b/>
          <w:b/>
          <w:bCs/>
          <w:sz w:val="22"/>
          <w:szCs w:val="22"/>
        </w:rPr>
      </w:pPr>
      <w:r>
        <w:rPr>
          <w:rFonts w:cs="Calibri"/>
          <w:b/>
          <w:bCs/>
          <w:sz w:val="22"/>
          <w:szCs w:val="22"/>
        </w:rPr>
      </w:r>
    </w:p>
    <w:p>
      <w:pPr>
        <w:pStyle w:val="WWTekst11111111111111111111111111111111111111111111111111111111111111111111111111111111111111111111111"/>
        <w:snapToGrid w:val="false"/>
        <w:spacing w:before="0" w:after="0"/>
        <w:jc w:val="center"/>
        <w:rPr>
          <w:rFonts w:ascii="Times New Roman" w:hAnsi="Times New Roman" w:cs="Calibri"/>
          <w:b/>
          <w:b/>
          <w:i w:val="false"/>
          <w:i w:val="false"/>
          <w:sz w:val="22"/>
          <w:szCs w:val="22"/>
          <w:highlight w:val="lightGray"/>
        </w:rPr>
      </w:pPr>
      <w:r>
        <w:rPr>
          <w:rFonts w:cs="Calibri"/>
          <w:b/>
          <w:i w:val="false"/>
          <w:sz w:val="22"/>
          <w:szCs w:val="22"/>
          <w:highlight w:val="lightGray"/>
        </w:rPr>
        <w:t>§ 2. Adres strony internetowej, na której udostępniane będą zmiany i wyjaśnienia treści SWZ oraz inne dokumenty zamówienia bezpośrednio związane z postępowaniem o udzielenie zamówienia</w:t>
      </w:r>
    </w:p>
    <w:p>
      <w:pPr>
        <w:pStyle w:val="Tretekstu"/>
        <w:tabs>
          <w:tab w:val="clear" w:pos="708"/>
          <w:tab w:val="center" w:pos="5432" w:leader="none"/>
          <w:tab w:val="right" w:pos="9968" w:leader="none"/>
        </w:tabs>
        <w:spacing w:before="120" w:after="0"/>
        <w:ind w:left="11" w:right="0" w:hanging="0"/>
        <w:jc w:val="both"/>
        <w:rPr>
          <w:rFonts w:ascii="Times New Roman" w:hAnsi="Times New Roman" w:cs="Calibri"/>
          <w:i w:val="false"/>
          <w:i w:val="false"/>
          <w:iCs w:val="false"/>
          <w:sz w:val="22"/>
          <w:szCs w:val="22"/>
        </w:rPr>
      </w:pPr>
      <w:r>
        <w:rPr>
          <w:rFonts w:cs="Calibri"/>
          <w:i w:val="false"/>
          <w:iCs w:val="false"/>
          <w:sz w:val="22"/>
          <w:szCs w:val="22"/>
        </w:rPr>
        <w:t xml:space="preserve">Wszelkie zmiany i wyjaśnienia treści SWZ, a także inne dokumenty zamówienia bezpośrednio związane z postępowaniem o udzielenie zamówienia będą udostępniane na stronie internetowej prowadzonego postępowania na Platformie e-Zamówienia, dostępnej pod adresem: </w:t>
      </w:r>
      <w:r>
        <w:rPr>
          <w:rStyle w:val="Mocnowyrniony"/>
          <w:rFonts w:cs="Calibri"/>
          <w:i w:val="false"/>
          <w:iCs w:val="false"/>
          <w:sz w:val="22"/>
          <w:szCs w:val="22"/>
        </w:rPr>
        <w:t>e-zamowienia.gov.pl</w:t>
      </w:r>
      <w:r>
        <w:rPr>
          <w:rFonts w:cs="Calibri"/>
          <w:i w:val="false"/>
          <w:iCs w:val="false"/>
          <w:sz w:val="22"/>
          <w:szCs w:val="22"/>
        </w:rPr>
        <w:t xml:space="preserve">. Identyfikator postępowania: </w:t>
      </w:r>
      <w:r>
        <w:rPr>
          <w:rFonts w:cs="Calibri"/>
          <w:b w:val="false"/>
          <w:i w:val="false"/>
          <w:iCs w:val="false"/>
          <w:caps w:val="false"/>
          <w:smallCaps w:val="false"/>
          <w:color w:val="000000"/>
          <w:spacing w:val="0"/>
          <w:sz w:val="22"/>
          <w:szCs w:val="22"/>
        </w:rPr>
        <w:t>ocds-148610-357d4a17-168e-4432-872a-ac7b61a975b2</w:t>
      </w:r>
      <w:r>
        <w:rPr>
          <w:rFonts w:cs="Calibri"/>
          <w:i w:val="false"/>
          <w:iCs w:val="false"/>
          <w:color w:val="000000"/>
          <w:sz w:val="22"/>
          <w:szCs w:val="22"/>
        </w:rPr>
        <w:t xml:space="preserve"> </w:t>
      </w:r>
    </w:p>
    <w:p>
      <w:pPr>
        <w:pStyle w:val="Normal"/>
        <w:jc w:val="center"/>
        <w:rPr>
          <w:rFonts w:ascii="Times New Roman" w:hAnsi="Times New Roman" w:cs="Calibri"/>
          <w:b/>
          <w:b/>
          <w:bCs/>
          <w:sz w:val="22"/>
          <w:szCs w:val="22"/>
          <w:highlight w:val="lightGray"/>
        </w:rPr>
      </w:pPr>
      <w:r>
        <w:rPr>
          <w:rFonts w:cs="Calibri"/>
          <w:b/>
          <w:bCs/>
          <w:sz w:val="22"/>
          <w:szCs w:val="22"/>
          <w:highlight w:val="lightGray"/>
        </w:rPr>
      </w:r>
    </w:p>
    <w:p>
      <w:pPr>
        <w:pStyle w:val="Normal"/>
        <w:jc w:val="center"/>
        <w:rPr>
          <w:rFonts w:ascii="Times New Roman" w:hAnsi="Times New Roman"/>
          <w:sz w:val="22"/>
          <w:szCs w:val="22"/>
        </w:rPr>
      </w:pPr>
      <w:r>
        <w:rPr>
          <w:rFonts w:cs="Calibri"/>
          <w:b/>
          <w:bCs/>
          <w:sz w:val="22"/>
          <w:szCs w:val="22"/>
          <w:highlight w:val="lightGray"/>
        </w:rPr>
        <w:t xml:space="preserve">§ 3. Tryb udzielenia zamówienia. </w:t>
      </w:r>
      <w:r>
        <w:rPr>
          <w:rFonts w:cs="Calibri"/>
          <w:b/>
          <w:sz w:val="22"/>
          <w:szCs w:val="22"/>
          <w:highlight w:val="lightGray"/>
        </w:rPr>
        <w:t>Informacja, czy Zamawiający przewiduje wybór najkorzystniejszej oferty z możliwością prowadzenia negocjacji oraz</w:t>
      </w:r>
      <w:r>
        <w:rPr>
          <w:rFonts w:eastAsia="Times New Roman" w:cs="Calibri"/>
          <w:b/>
          <w:sz w:val="22"/>
          <w:szCs w:val="22"/>
          <w:highlight w:val="lightGray"/>
          <w:lang w:eastAsia="pl-PL"/>
        </w:rPr>
        <w:t xml:space="preserve"> czy Zamawiający przewiduje możliwość ograniczenia liczby Wykonawców, których zaprosi do negocjacji, stosując kryteria oceny ofert</w:t>
      </w:r>
    </w:p>
    <w:p>
      <w:pPr>
        <w:pStyle w:val="Tretekstu"/>
        <w:rPr>
          <w:rFonts w:ascii="Times New Roman" w:hAnsi="Times New Roman" w:cs="Calibri"/>
          <w:sz w:val="22"/>
          <w:szCs w:val="22"/>
        </w:rPr>
      </w:pPr>
      <w:r>
        <w:rPr>
          <w:rFonts w:cs="Calibri"/>
          <w:sz w:val="22"/>
          <w:szCs w:val="22"/>
        </w:rPr>
      </w:r>
    </w:p>
    <w:p>
      <w:pPr>
        <w:pStyle w:val="Tretekstu"/>
        <w:rPr/>
      </w:pPr>
      <w:r>
        <w:rPr>
          <w:rFonts w:cs="Calibri"/>
          <w:sz w:val="22"/>
          <w:szCs w:val="22"/>
        </w:rPr>
        <w:t xml:space="preserve">1. Postępowanie o udzielenie zamówienia publicznego prowadzone jest w </w:t>
      </w:r>
      <w:r>
        <w:rPr>
          <w:rStyle w:val="Mocnowyrniony"/>
          <w:rFonts w:cs="Calibri"/>
          <w:sz w:val="22"/>
          <w:szCs w:val="22"/>
        </w:rPr>
        <w:t>trybie podstawowym bez przeprowadzenia negocjacji</w:t>
      </w:r>
      <w:r>
        <w:rPr>
          <w:rFonts w:cs="Calibri"/>
          <w:sz w:val="22"/>
          <w:szCs w:val="22"/>
        </w:rPr>
        <w:t>, na podstawie art. 275 pkt 1 ustawy z dnia 11 września 2019 r. – Prawo zamówień publicznych (Dz. U. z 2026 r. poz. 793), zwanej dalej „ustawą PZP”.</w:t>
      </w:r>
    </w:p>
    <w:p>
      <w:pPr>
        <w:pStyle w:val="Tretekstu"/>
        <w:jc w:val="both"/>
        <w:rPr/>
      </w:pPr>
      <w:r>
        <w:rPr>
          <w:rFonts w:cs="Calibri"/>
          <w:sz w:val="22"/>
          <w:szCs w:val="22"/>
        </w:rPr>
        <w:t xml:space="preserve">2. </w:t>
      </w:r>
      <w:r>
        <w:rPr>
          <w:sz w:val="22"/>
          <w:szCs w:val="22"/>
        </w:rPr>
        <w:t xml:space="preserve">Zamawiający </w:t>
      </w:r>
      <w:r>
        <w:rPr>
          <w:rStyle w:val="Mocnowyrniony"/>
          <w:sz w:val="22"/>
          <w:szCs w:val="22"/>
        </w:rPr>
        <w:t>nie przewiduje możliwości prowadzenia negocjacji</w:t>
      </w:r>
      <w:r>
        <w:rPr>
          <w:sz w:val="22"/>
          <w:szCs w:val="22"/>
        </w:rPr>
        <w:t>, o których mowa w art. 275 pkt 2 i 3 ustawy PZP, a tym samym nie przewiduje ograniczenia liczby Wykonawców zapraszanych do negocjacji.</w:t>
      </w:r>
    </w:p>
    <w:p>
      <w:pPr>
        <w:pStyle w:val="Tretekstu"/>
        <w:jc w:val="both"/>
        <w:rPr>
          <w:rFonts w:ascii="Times New Roman" w:hAnsi="Times New Roman"/>
          <w:sz w:val="22"/>
          <w:szCs w:val="22"/>
        </w:rPr>
      </w:pPr>
      <w:r>
        <w:rPr>
          <w:sz w:val="22"/>
          <w:szCs w:val="22"/>
        </w:rPr>
        <w:t>3. W zakresie nieuregulowanym ustawą PZP lub niniejszą SWZ do oświadczeń i dokumentów składanych przez Wykonawców w postępowaniu zastosowanie mają w szczególności przepisy:</w:t>
      </w:r>
    </w:p>
    <w:p>
      <w:pPr>
        <w:pStyle w:val="Tretekstu"/>
        <w:numPr>
          <w:ilvl w:val="0"/>
          <w:numId w:val="43"/>
        </w:numPr>
        <w:jc w:val="both"/>
        <w:rPr>
          <w:rFonts w:ascii="Times New Roman" w:hAnsi="Times New Roman"/>
          <w:sz w:val="22"/>
          <w:szCs w:val="22"/>
        </w:rPr>
      </w:pPr>
      <w:r>
        <w:rPr>
          <w:sz w:val="22"/>
          <w:szCs w:val="22"/>
        </w:rPr>
        <w:t>rozporządzenia Ministra Rozwoju, Pracy i Technologii z dnia 23 grudnia 2020 r. w sprawie podmiotowych środków dowodowych oraz innych dokumentów lub oświadczeń, jakich może żądać Zamawiający od Wykonawcy (Dz. U. poz. 2415, z późn. zm.);</w:t>
      </w:r>
    </w:p>
    <w:p>
      <w:pPr>
        <w:pStyle w:val="Tretekstu"/>
        <w:numPr>
          <w:ilvl w:val="0"/>
          <w:numId w:val="43"/>
        </w:numPr>
        <w:jc w:val="both"/>
        <w:rPr>
          <w:rFonts w:ascii="Times New Roman" w:hAnsi="Times New Roman"/>
          <w:sz w:val="22"/>
          <w:szCs w:val="22"/>
        </w:rPr>
      </w:pPr>
      <w:r>
        <w:rPr>
          <w:sz w:val="22"/>
          <w:szCs w:val="22"/>
        </w:rPr>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poz. 2452).</w:t>
      </w:r>
    </w:p>
    <w:p>
      <w:pPr>
        <w:pStyle w:val="Normal"/>
        <w:jc w:val="both"/>
        <w:rPr>
          <w:rFonts w:ascii="Times New Roman" w:hAnsi="Times New Roman" w:cs="Calibri"/>
          <w:sz w:val="22"/>
          <w:szCs w:val="22"/>
        </w:rPr>
      </w:pPr>
      <w:r>
        <w:rPr>
          <w:rFonts w:cs="Calibri"/>
          <w:sz w:val="22"/>
          <w:szCs w:val="22"/>
        </w:rPr>
      </w:r>
    </w:p>
    <w:p>
      <w:pPr>
        <w:pStyle w:val="Normal"/>
        <w:jc w:val="center"/>
        <w:rPr>
          <w:rFonts w:ascii="Times New Roman" w:hAnsi="Times New Roman"/>
          <w:sz w:val="22"/>
          <w:szCs w:val="22"/>
        </w:rPr>
      </w:pPr>
      <w:r>
        <w:rPr>
          <w:rFonts w:cs="Calibri"/>
          <w:b/>
          <w:bCs/>
          <w:sz w:val="22"/>
          <w:szCs w:val="22"/>
          <w:highlight w:val="lightGray"/>
        </w:rPr>
        <w:t>§ 4. Opis przedmiotu zamówienia, w</w:t>
      </w:r>
      <w:r>
        <w:rPr>
          <w:rFonts w:eastAsia="Times New Roman" w:cs="Calibri"/>
          <w:b/>
          <w:sz w:val="22"/>
          <w:szCs w:val="22"/>
          <w:highlight w:val="lightGray"/>
          <w:lang w:eastAsia="pl-PL"/>
        </w:rPr>
        <w:t>ymagania w zakresie zatrudnienia na podstawie stosunku pracy, w okolicznościach, o których mowa w art. 95</w:t>
      </w:r>
    </w:p>
    <w:p>
      <w:pPr>
        <w:pStyle w:val="Tretekstu"/>
        <w:numPr>
          <w:ilvl w:val="0"/>
          <w:numId w:val="0"/>
        </w:numPr>
        <w:ind w:left="720" w:hanging="0"/>
        <w:rPr>
          <w:rStyle w:val="Mocnowyrniony"/>
          <w:rFonts w:ascii="Times New Roman" w:hAnsi="Times New Roman"/>
          <w:sz w:val="22"/>
          <w:szCs w:val="22"/>
        </w:rPr>
      </w:pPr>
      <w:r>
        <w:rPr>
          <w:sz w:val="22"/>
          <w:szCs w:val="22"/>
        </w:rPr>
      </w:r>
    </w:p>
    <w:p>
      <w:pPr>
        <w:pStyle w:val="Tretekstu"/>
        <w:jc w:val="both"/>
        <w:rPr/>
      </w:pPr>
      <w:r>
        <w:rPr>
          <w:sz w:val="22"/>
          <w:szCs w:val="22"/>
        </w:rPr>
        <w:t xml:space="preserve">1. Przedmiotem zamówienia jest dostawa, rozładunek, montaż i pierwsze uruchomienie fabrycznie nowego stacjonarnego agregatu prądotwórczego w zabudowie, z automatycznym i manualnym rozruchem, o mocy znamionowej minimum </w:t>
      </w:r>
      <w:r>
        <w:rPr>
          <w:rStyle w:val="Mocnowyrniony"/>
          <w:sz w:val="22"/>
          <w:szCs w:val="22"/>
        </w:rPr>
        <w:t>250 kVA / 160 kW</w:t>
      </w:r>
      <w:r>
        <w:rPr>
          <w:sz w:val="22"/>
          <w:szCs w:val="22"/>
        </w:rPr>
        <w:t>, wraz z podłączeniem do wewnętrznej instalacji elektrycznej, wykonaniem niezbędnej instalacji przyłączeniowej, automatyki SZR, płyty fundamentowej oraz ogrodzenia z zadaszeniem agregatu, na potrzeby zasilania awaryjnego Domu Pomocy Społecznej w Obrytem, zgodnie z dokumentacją techniczną stanowiącą załączniki do SWZ.</w:t>
      </w:r>
    </w:p>
    <w:p>
      <w:pPr>
        <w:pStyle w:val="Tretekstu"/>
        <w:jc w:val="both"/>
        <w:rPr/>
      </w:pPr>
      <w:r>
        <w:rPr>
          <w:sz w:val="22"/>
          <w:szCs w:val="22"/>
        </w:rPr>
        <w:t xml:space="preserve">2. Zamówienie realizowane jest w ramach zadania inwestycyjnego pn. </w:t>
      </w:r>
      <w:r>
        <w:rPr>
          <w:rStyle w:val="Mocnowyrniony"/>
          <w:sz w:val="22"/>
          <w:szCs w:val="22"/>
        </w:rPr>
        <w:t>„Doposażenie w stacjonarny agregat prądotwórczy o mocy min. 250 kVA wraz z instalacją podłączeniową na potrzeby Domu Pomocy Społecznej w Obrytem”</w:t>
      </w:r>
      <w:r>
        <w:rPr>
          <w:sz w:val="22"/>
          <w:szCs w:val="22"/>
        </w:rPr>
        <w:t>.</w:t>
      </w:r>
    </w:p>
    <w:p>
      <w:pPr>
        <w:pStyle w:val="Tretekstu"/>
        <w:jc w:val="both"/>
        <w:rPr>
          <w:rFonts w:ascii="Times New Roman" w:hAnsi="Times New Roman"/>
          <w:sz w:val="22"/>
          <w:szCs w:val="22"/>
        </w:rPr>
      </w:pPr>
      <w:r>
        <w:rPr>
          <w:sz w:val="22"/>
          <w:szCs w:val="22"/>
        </w:rPr>
        <w:t>3. Zamawiający nie dokonuje podziału zamówienia na części i nie dopuszcza składania ofert częściowych.</w:t>
      </w:r>
    </w:p>
    <w:p>
      <w:pPr>
        <w:pStyle w:val="Tretekstu"/>
        <w:jc w:val="both"/>
        <w:rPr>
          <w:rFonts w:ascii="Times New Roman" w:hAnsi="Times New Roman"/>
          <w:sz w:val="22"/>
          <w:szCs w:val="22"/>
        </w:rPr>
      </w:pPr>
      <w:r>
        <w:rPr>
          <w:sz w:val="22"/>
          <w:szCs w:val="22"/>
        </w:rPr>
        <w:t>4. Szczegółowy opis przedmiotu zamówienia oraz wymagania Zamawiającego określają w szczególności: dokumentacja projektowa, specyfikacje techniczne wykonania i odbioru robót, przedmiary robót, Karta informacyjna stanowiąca załącznik nr 1 do oferty oraz projektowane postanowienia umowy stanowiące załącznik nr 2 do SWZ.</w:t>
      </w:r>
    </w:p>
    <w:p>
      <w:pPr>
        <w:pStyle w:val="Tretekstu"/>
        <w:jc w:val="both"/>
        <w:rPr>
          <w:rFonts w:ascii="Times New Roman" w:hAnsi="Times New Roman"/>
          <w:sz w:val="22"/>
          <w:szCs w:val="22"/>
        </w:rPr>
      </w:pPr>
      <w:r>
        <w:rPr>
          <w:sz w:val="22"/>
          <w:szCs w:val="22"/>
        </w:rPr>
        <w:t>5. Przedmiot zamówienia obejmuje w szczególności:</w:t>
      </w:r>
    </w:p>
    <w:p>
      <w:pPr>
        <w:pStyle w:val="Tretekstu"/>
        <w:numPr>
          <w:ilvl w:val="0"/>
          <w:numId w:val="44"/>
        </w:numPr>
        <w:jc w:val="both"/>
        <w:rPr/>
      </w:pPr>
      <w:r>
        <w:rPr>
          <w:sz w:val="22"/>
          <w:szCs w:val="22"/>
        </w:rPr>
        <w:t xml:space="preserve">dostawę i rozładunek fabrycznie nowego stacjonarnego agregatu prądotwórczego w zabudowie, z automatycznym i manualnym rozruchem, o mocy znamionowej minimum </w:t>
      </w:r>
      <w:r>
        <w:rPr>
          <w:rStyle w:val="Mocnowyrniony"/>
          <w:sz w:val="22"/>
          <w:szCs w:val="22"/>
        </w:rPr>
        <w:t>250 kVA / 160 kW</w:t>
      </w:r>
      <w:r>
        <w:rPr>
          <w:sz w:val="22"/>
          <w:szCs w:val="22"/>
        </w:rPr>
        <w:t>, wraz z wymaganym wyposażeniem i podzespołami;</w:t>
      </w:r>
    </w:p>
    <w:p>
      <w:pPr>
        <w:pStyle w:val="Tretekstu"/>
        <w:numPr>
          <w:ilvl w:val="0"/>
          <w:numId w:val="44"/>
        </w:numPr>
        <w:jc w:val="both"/>
        <w:rPr>
          <w:rFonts w:ascii="Times New Roman" w:hAnsi="Times New Roman"/>
          <w:sz w:val="22"/>
          <w:szCs w:val="22"/>
        </w:rPr>
      </w:pPr>
      <w:r>
        <w:rPr>
          <w:sz w:val="22"/>
          <w:szCs w:val="22"/>
        </w:rPr>
        <w:t>wykonanie płyty fundamentowej oraz ogrodzenia z zadaszeniem agregatu, zgodnie z dokumentacją techniczną;</w:t>
      </w:r>
    </w:p>
    <w:p>
      <w:pPr>
        <w:pStyle w:val="Tretekstu"/>
        <w:numPr>
          <w:ilvl w:val="0"/>
          <w:numId w:val="44"/>
        </w:numPr>
        <w:jc w:val="both"/>
        <w:rPr>
          <w:rFonts w:ascii="Times New Roman" w:hAnsi="Times New Roman"/>
          <w:sz w:val="22"/>
          <w:szCs w:val="22"/>
        </w:rPr>
      </w:pPr>
      <w:r>
        <w:rPr>
          <w:sz w:val="22"/>
          <w:szCs w:val="22"/>
        </w:rPr>
        <w:t>dostarczenie agregatu z kompletem płynów eksploatacyjnych oraz zbiornikiem paliwa zatankowanym do pełna;</w:t>
      </w:r>
    </w:p>
    <w:p>
      <w:pPr>
        <w:pStyle w:val="Tretekstu"/>
        <w:numPr>
          <w:ilvl w:val="0"/>
          <w:numId w:val="44"/>
        </w:numPr>
        <w:jc w:val="both"/>
        <w:rPr>
          <w:rFonts w:ascii="Times New Roman" w:hAnsi="Times New Roman"/>
          <w:sz w:val="22"/>
          <w:szCs w:val="22"/>
        </w:rPr>
      </w:pPr>
      <w:r>
        <w:rPr>
          <w:sz w:val="22"/>
          <w:szCs w:val="22"/>
        </w:rPr>
        <w:t>podłączenie agregatu do istniejącej instalacji elektrycznej poprzez układ automatyki SZR wraz z wykonaniem wszystkich niezbędnych prac instalacyjnych i przyłączeniowych;</w:t>
      </w:r>
    </w:p>
    <w:p>
      <w:pPr>
        <w:pStyle w:val="Tretekstu"/>
        <w:numPr>
          <w:ilvl w:val="0"/>
          <w:numId w:val="44"/>
        </w:numPr>
        <w:jc w:val="both"/>
        <w:rPr>
          <w:rFonts w:ascii="Times New Roman" w:hAnsi="Times New Roman"/>
          <w:sz w:val="22"/>
          <w:szCs w:val="22"/>
        </w:rPr>
      </w:pPr>
      <w:r>
        <w:rPr>
          <w:sz w:val="22"/>
          <w:szCs w:val="22"/>
        </w:rPr>
        <w:t>wykonanie wszelkich czynności, zgłoszeń i uzgodnień wymaganych przepisami prawa oraz przez właściwego operatora systemu dystrybucyjnego lub inne właściwe podmioty, jeżeli są one niezbędne do prawidłowego uruchomienia i użytkowania agregatu;</w:t>
      </w:r>
    </w:p>
    <w:p>
      <w:pPr>
        <w:pStyle w:val="Tretekstu"/>
        <w:numPr>
          <w:ilvl w:val="0"/>
          <w:numId w:val="44"/>
        </w:numPr>
        <w:jc w:val="both"/>
        <w:rPr>
          <w:rFonts w:ascii="Times New Roman" w:hAnsi="Times New Roman"/>
          <w:sz w:val="22"/>
          <w:szCs w:val="22"/>
        </w:rPr>
      </w:pPr>
      <w:r>
        <w:rPr>
          <w:sz w:val="22"/>
          <w:szCs w:val="22"/>
        </w:rPr>
        <w:t>przeprowadzenie pierwszego uruchomienia agregatu w miejscu jego posadowienia, tj. na terenie Domu Pomocy Społecznej w Obrytem, Obryte 188, 07-215 Obryte;</w:t>
      </w:r>
    </w:p>
    <w:p>
      <w:pPr>
        <w:pStyle w:val="Tretekstu"/>
        <w:numPr>
          <w:ilvl w:val="0"/>
          <w:numId w:val="44"/>
        </w:numPr>
        <w:jc w:val="both"/>
        <w:rPr>
          <w:rFonts w:ascii="Times New Roman" w:hAnsi="Times New Roman"/>
          <w:sz w:val="22"/>
          <w:szCs w:val="22"/>
        </w:rPr>
      </w:pPr>
      <w:r>
        <w:rPr>
          <w:sz w:val="22"/>
          <w:szCs w:val="22"/>
        </w:rPr>
        <w:t>przeprowadzenie testów dynamicznych, w tym testu pełnego zaniku zasilania sieciowego oraz testu ciągłej pracy agregatu pod obciążeniem przez okres minimum 2 godzin;</w:t>
      </w:r>
    </w:p>
    <w:p>
      <w:pPr>
        <w:pStyle w:val="Tretekstu"/>
        <w:numPr>
          <w:ilvl w:val="0"/>
          <w:numId w:val="44"/>
        </w:numPr>
        <w:jc w:val="both"/>
        <w:rPr>
          <w:rFonts w:ascii="Times New Roman" w:hAnsi="Times New Roman"/>
          <w:sz w:val="22"/>
          <w:szCs w:val="22"/>
        </w:rPr>
      </w:pPr>
      <w:r>
        <w:rPr>
          <w:sz w:val="22"/>
          <w:szCs w:val="22"/>
        </w:rPr>
        <w:t>wykonanie wszystkich wymaganych prób, badań i pomiarów instalacji elektrycznej, w tym w szczególności pomiarów rezystancji izolacji, uziemienia oraz skuteczności ochrony przeciwporażeniowej;</w:t>
      </w:r>
    </w:p>
    <w:p>
      <w:pPr>
        <w:pStyle w:val="Tretekstu"/>
        <w:numPr>
          <w:ilvl w:val="0"/>
          <w:numId w:val="44"/>
        </w:numPr>
        <w:jc w:val="both"/>
        <w:rPr>
          <w:rFonts w:ascii="Times New Roman" w:hAnsi="Times New Roman"/>
          <w:sz w:val="22"/>
          <w:szCs w:val="22"/>
        </w:rPr>
      </w:pPr>
      <w:r>
        <w:rPr>
          <w:sz w:val="22"/>
          <w:szCs w:val="22"/>
        </w:rPr>
        <w:t>przeprowadzenie szkolenia wskazanych przez Zamawiającego pracowników w miejscu montażu agregatu, w wymiarze minimum 1 godziny, w zakresie prawidłowej obsługi agregatu wraz z jego wyposażeniem, potwierdzonego protokołem;</w:t>
      </w:r>
    </w:p>
    <w:p>
      <w:pPr>
        <w:pStyle w:val="Tretekstu"/>
        <w:numPr>
          <w:ilvl w:val="0"/>
          <w:numId w:val="44"/>
        </w:numPr>
        <w:jc w:val="both"/>
        <w:rPr>
          <w:rFonts w:ascii="Times New Roman" w:hAnsi="Times New Roman"/>
          <w:sz w:val="22"/>
          <w:szCs w:val="22"/>
        </w:rPr>
      </w:pPr>
      <w:r>
        <w:rPr>
          <w:sz w:val="22"/>
          <w:szCs w:val="22"/>
        </w:rPr>
        <w:t>sporządzenie i przekazanie Zamawiającemu kompletnej dokumentacji powykonawczej, w tym w szczególności schematów, protokołów prób i pomiarów, instrukcji obsługi, konserwacji i serwisowania w języku polskim, deklaracji zgodności UE, dokumentów gwarancyjnych oraz innych dokumentów wymaganych przepisami prawa lub przez producenta urządzenia.</w:t>
      </w:r>
    </w:p>
    <w:p>
      <w:pPr>
        <w:pStyle w:val="Tretekstu"/>
        <w:jc w:val="both"/>
        <w:rPr>
          <w:rFonts w:ascii="Times New Roman" w:hAnsi="Times New Roman"/>
          <w:sz w:val="22"/>
          <w:szCs w:val="22"/>
        </w:rPr>
      </w:pPr>
      <w:r>
        <w:rPr>
          <w:sz w:val="22"/>
          <w:szCs w:val="22"/>
        </w:rPr>
        <w:t>6. Zamawiający wymaga, aby przedmiot zamówienia był fabrycznie nowy, kompletny, wolny od wad fizycznych, konstrukcyjnych, materiałowych i jakościowych, nieużywany, nieposiadający śladów użytkowania oraz wyprodukowany nie wcześniej niż 12 miesięcy przed datą dostawy. Nie dopuszcza się urządzeń powystawowych, demonstracyjnych ani rekondycjonowanych.</w:t>
      </w:r>
    </w:p>
    <w:p>
      <w:pPr>
        <w:pStyle w:val="Tretekstu"/>
        <w:jc w:val="both"/>
        <w:rPr>
          <w:rFonts w:ascii="Times New Roman" w:hAnsi="Times New Roman"/>
          <w:sz w:val="22"/>
          <w:szCs w:val="22"/>
        </w:rPr>
      </w:pPr>
      <w:r>
        <w:rPr>
          <w:sz w:val="22"/>
          <w:szCs w:val="22"/>
        </w:rPr>
        <w:t>7. Oferowany agregat musi być dopuszczony do obrotu i użytkowania na terytorium Unii Europejskiej, posiadać wymagane oznakowanie CE, deklarację zgodności UE oraz spełniać wymagania właściwych przepisów i norm.</w:t>
      </w:r>
    </w:p>
    <w:p>
      <w:pPr>
        <w:pStyle w:val="Tretekstu"/>
        <w:jc w:val="both"/>
        <w:rPr>
          <w:rFonts w:ascii="Times New Roman" w:hAnsi="Times New Roman"/>
          <w:sz w:val="22"/>
          <w:szCs w:val="22"/>
        </w:rPr>
      </w:pPr>
      <w:r>
        <w:rPr>
          <w:sz w:val="22"/>
          <w:szCs w:val="22"/>
        </w:rPr>
        <w:t>8. Wykonawca zobowiązany jest przekazać Zamawiającemu, najpóźniej w dniu odbioru końcowego przedmiotu zamówienia, sporządzone w języku polskim instrukcje obsługi, konserwacji i serwisowania, deklarację zgodności UE, protokół pierwszego uruchomienia, jeżeli jest wymagany przez producenta, dokumenty gwarancyjne oraz inne dokumenty niezbędne do prawidłowego i bezpiecznego użytkowania agregatu.</w:t>
      </w:r>
    </w:p>
    <w:p>
      <w:pPr>
        <w:pStyle w:val="Tretekstu"/>
        <w:jc w:val="both"/>
        <w:rPr/>
      </w:pPr>
      <w:r>
        <w:rPr>
          <w:sz w:val="22"/>
          <w:szCs w:val="22"/>
        </w:rPr>
        <w:t xml:space="preserve">9. Wykonawca udzieli gwarancji na agregat wraz z jego wyposażeniem, wykonane instalacje oraz pozostały zakres przedmiotu zamówienia na okres zaoferowany w ofercie, nie krótszy niż </w:t>
      </w:r>
      <w:r>
        <w:rPr>
          <w:rStyle w:val="Mocnowyrniony"/>
          <w:sz w:val="22"/>
          <w:szCs w:val="22"/>
        </w:rPr>
        <w:t>24 miesiące i nie dłuższy niż 59 miesięcy</w:t>
      </w:r>
      <w:r>
        <w:rPr>
          <w:sz w:val="22"/>
          <w:szCs w:val="22"/>
        </w:rPr>
        <w:t>, liczony od dnia podpisania bez zastrzeżeń protokołu odbioru końcowego. Okres gwarancji stanowi kryterium oceny ofert.</w:t>
      </w:r>
    </w:p>
    <w:p>
      <w:pPr>
        <w:pStyle w:val="Tretekstu"/>
        <w:jc w:val="both"/>
        <w:rPr>
          <w:rFonts w:ascii="Times New Roman" w:hAnsi="Times New Roman"/>
          <w:sz w:val="22"/>
          <w:szCs w:val="22"/>
        </w:rPr>
      </w:pPr>
      <w:r>
        <w:rPr>
          <w:sz w:val="22"/>
          <w:szCs w:val="22"/>
        </w:rPr>
        <w:t>10. W okresie gwarancji Wykonawca zapewni, w ramach wynagrodzenia określonego w umowie, wymagane przez producenta przeglądy i czynności serwisowe, zgodnie z wymaganiami producenta urządzenia oraz na zasadach określonych w projektowanych postanowieniach umowy.</w:t>
      </w:r>
    </w:p>
    <w:p>
      <w:pPr>
        <w:pStyle w:val="Tretekstu"/>
        <w:jc w:val="both"/>
        <w:rPr>
          <w:rFonts w:ascii="Times New Roman" w:hAnsi="Times New Roman"/>
          <w:sz w:val="22"/>
          <w:szCs w:val="22"/>
        </w:rPr>
      </w:pPr>
      <w:r>
        <w:rPr>
          <w:sz w:val="22"/>
          <w:szCs w:val="22"/>
        </w:rPr>
        <w:t>11. Wykonawca zobowiązany jest zapewnić przez cały okres gwarancji dostęp do serwisu posiadającego odpowiednie kwalifikacje, zaplecze techniczne oraz uprawnienia do wykonywania przeglądów, diagnostyki i napraw zaoferowanego agregatu prądotwórczego.</w:t>
      </w:r>
    </w:p>
    <w:p>
      <w:pPr>
        <w:pStyle w:val="Tretekstu"/>
        <w:jc w:val="both"/>
        <w:rPr/>
      </w:pPr>
      <w:r>
        <w:rPr>
          <w:sz w:val="22"/>
          <w:szCs w:val="22"/>
        </w:rPr>
        <w:t xml:space="preserve">12. Zamawiający wymaga, aby punkt serwisowy, z którego realizowana będzie obsługa serwisowa agregatu, znajdował się w odległości </w:t>
      </w:r>
      <w:r>
        <w:rPr>
          <w:rStyle w:val="Mocnowyrniony"/>
          <w:sz w:val="22"/>
          <w:szCs w:val="22"/>
        </w:rPr>
        <w:t>nie większej niż 100 km od siedziby Zamawiającego</w:t>
      </w:r>
      <w:r>
        <w:rPr>
          <w:sz w:val="22"/>
          <w:szCs w:val="22"/>
        </w:rPr>
        <w:t>, tj. Domu Pomocy Społecznej w Obrytem, Obryte 188, 07-215 Obryte, liczonej najkrótszą trasą przejazdu drogami publicznymi.</w:t>
      </w:r>
    </w:p>
    <w:p>
      <w:pPr>
        <w:pStyle w:val="Tretekstu"/>
        <w:jc w:val="both"/>
        <w:rPr>
          <w:rFonts w:ascii="Times New Roman" w:hAnsi="Times New Roman"/>
          <w:sz w:val="22"/>
          <w:szCs w:val="22"/>
        </w:rPr>
      </w:pPr>
      <w:r>
        <w:rPr>
          <w:sz w:val="22"/>
          <w:szCs w:val="22"/>
        </w:rPr>
        <w:t>13. Wykonawca zobowiązany jest zapewnić możliwość zgłaszania awarii telefonicznie oraz za pośrednictwem poczty elektronicznej.</w:t>
      </w:r>
    </w:p>
    <w:p>
      <w:pPr>
        <w:pStyle w:val="Tretekstu"/>
        <w:jc w:val="both"/>
        <w:rPr/>
      </w:pPr>
      <w:r>
        <w:rPr>
          <w:sz w:val="22"/>
          <w:szCs w:val="22"/>
        </w:rPr>
        <w:t xml:space="preserve">14. W przypadku zgłoszenia awarii Wykonawca zapewni przyjazd serwisu do miejsca zainstalowania agregatu i podjęcie czynności diagnostycznych zmierzających do ustalenia przyczyny awarii oraz sposobu jej usunięcia w terminie nie dłuższym niż </w:t>
      </w:r>
      <w:r>
        <w:rPr>
          <w:rStyle w:val="Mocnowyrniony"/>
          <w:sz w:val="22"/>
          <w:szCs w:val="22"/>
        </w:rPr>
        <w:t>24 godziny od momentu zgłoszenia awarii</w:t>
      </w:r>
      <w:r>
        <w:rPr>
          <w:sz w:val="22"/>
          <w:szCs w:val="22"/>
        </w:rPr>
        <w:t>.</w:t>
      </w:r>
    </w:p>
    <w:p>
      <w:pPr>
        <w:pStyle w:val="Tretekstu"/>
        <w:jc w:val="both"/>
        <w:rPr>
          <w:rFonts w:ascii="Times New Roman" w:hAnsi="Times New Roman"/>
          <w:sz w:val="22"/>
          <w:szCs w:val="22"/>
        </w:rPr>
      </w:pPr>
      <w:r>
        <w:rPr>
          <w:sz w:val="22"/>
          <w:szCs w:val="22"/>
        </w:rPr>
        <w:t>15. W przypadku awarii powodującej brak możliwości uruchomienia agregatu lub brak możliwości zapewnienia przez agregat awaryjnego zasilania obiektów Zamawiającego, Wykonawca zobowiązany jest traktować zgłoszenie jako awarię pilną i przystąpić do jej usuwania niezwłocznie po przeprowadzeniu diagnostyki.</w:t>
      </w:r>
    </w:p>
    <w:p>
      <w:pPr>
        <w:pStyle w:val="Tretekstu"/>
        <w:jc w:val="both"/>
        <w:rPr>
          <w:rFonts w:ascii="Times New Roman" w:hAnsi="Times New Roman"/>
          <w:sz w:val="22"/>
          <w:szCs w:val="22"/>
        </w:rPr>
      </w:pPr>
      <w:r>
        <w:rPr>
          <w:sz w:val="22"/>
          <w:szCs w:val="22"/>
        </w:rPr>
        <w:t>16. Wszystkie koszty związane z wykonywaniem obowiązków gwarancyjnych, w tym koszty dojazdu serwisu, diagnostyki, robocizny, części zamiennych, materiałów niezbędnych do wykonania naprawy oraz transportu urządzeń lub ich elementów, ponosi Wykonawca, z zastrzeżeniem przypadków, w których awaria powstała z przyczyn leżących po stronie Zamawiającego.</w:t>
      </w:r>
    </w:p>
    <w:p>
      <w:pPr>
        <w:pStyle w:val="Tretekstu"/>
        <w:jc w:val="both"/>
        <w:rPr>
          <w:rFonts w:ascii="Times New Roman" w:hAnsi="Times New Roman"/>
          <w:sz w:val="22"/>
          <w:szCs w:val="22"/>
        </w:rPr>
      </w:pPr>
      <w:r>
        <w:rPr>
          <w:sz w:val="22"/>
          <w:szCs w:val="22"/>
        </w:rPr>
        <w:t>17. Szczegółowe warunki świadczenia serwisu gwarancyjnego, terminy usuwania wad i usterek oraz konsekwencje niedotrzymania terminów określają projektowane postanowienia umowy.</w:t>
      </w:r>
    </w:p>
    <w:p>
      <w:pPr>
        <w:pStyle w:val="Tretekstu"/>
        <w:jc w:val="both"/>
        <w:rPr>
          <w:rFonts w:ascii="Times New Roman" w:hAnsi="Times New Roman"/>
          <w:sz w:val="22"/>
          <w:szCs w:val="22"/>
        </w:rPr>
      </w:pPr>
      <w:r>
        <w:rPr>
          <w:sz w:val="22"/>
          <w:szCs w:val="22"/>
        </w:rPr>
        <w:t>18. Szczegółowe wymagania dotyczące gwarancji, serwisu, czasu reakcji na zgłoszenie awarii oraz zasad usuwania wad i usterek określają projektowane postanowienia umowy.</w:t>
      </w:r>
    </w:p>
    <w:p>
      <w:pPr>
        <w:pStyle w:val="Tretekstu"/>
        <w:jc w:val="both"/>
        <w:rPr/>
      </w:pPr>
      <w:r>
        <w:rPr>
          <w:sz w:val="22"/>
          <w:szCs w:val="22"/>
        </w:rPr>
        <w:t xml:space="preserve">19. Jeżeli w dokumentacji opisującej przedmiot zamówienia wskazano znaki towarowe, patenty, pochodzenie, źródło, producenta, normy, oceny techniczne, specyfikacje techniczne lub systemy referencji technicznych, wskazaniom takim należy każdorazowo przypisać wyrazy </w:t>
      </w:r>
      <w:r>
        <w:rPr>
          <w:rStyle w:val="Mocnowyrniony"/>
          <w:sz w:val="22"/>
          <w:szCs w:val="22"/>
        </w:rPr>
        <w:t>„lub równoważny”</w:t>
      </w:r>
      <w:r>
        <w:rPr>
          <w:sz w:val="22"/>
          <w:szCs w:val="22"/>
        </w:rPr>
        <w:t xml:space="preserve"> albo </w:t>
      </w:r>
      <w:r>
        <w:rPr>
          <w:rStyle w:val="Mocnowyrniony"/>
          <w:sz w:val="22"/>
          <w:szCs w:val="22"/>
        </w:rPr>
        <w:t>„lub równoważne”</w:t>
      </w:r>
      <w:r>
        <w:rPr>
          <w:sz w:val="22"/>
          <w:szCs w:val="22"/>
        </w:rPr>
        <w:t>, stosownie do charakteru danego odniesienia.</w:t>
      </w:r>
    </w:p>
    <w:p>
      <w:pPr>
        <w:pStyle w:val="Tretekstu"/>
        <w:jc w:val="both"/>
        <w:rPr>
          <w:rFonts w:ascii="Times New Roman" w:hAnsi="Times New Roman"/>
          <w:sz w:val="22"/>
          <w:szCs w:val="22"/>
        </w:rPr>
      </w:pPr>
      <w:r>
        <w:rPr>
          <w:sz w:val="22"/>
          <w:szCs w:val="22"/>
        </w:rPr>
        <w:t>20. Zamawiający dopuszcza zastosowanie rozwiązań równoważnych w stosunku do rozwiązań opisanych w dokumentach zamówienia, pod warunkiem że oferowane rozwiązania zapewnią spełnienie wymagań funkcjonalnych, technicznych, jakościowych, eksploatacyjnych oraz dotyczących bezpieczeństwa, określonych przez Zamawiającego.</w:t>
      </w:r>
    </w:p>
    <w:p>
      <w:pPr>
        <w:pStyle w:val="Tretekstu"/>
        <w:jc w:val="both"/>
        <w:rPr>
          <w:rFonts w:ascii="Times New Roman" w:hAnsi="Times New Roman"/>
          <w:sz w:val="22"/>
          <w:szCs w:val="22"/>
        </w:rPr>
      </w:pPr>
      <w:r>
        <w:rPr>
          <w:sz w:val="22"/>
          <w:szCs w:val="22"/>
        </w:rPr>
        <w:t>21. Za rozwiązanie równoważne Zamawiający uzna rozwiązanie, które nie jest identyczne z rozwiązaniem wskazanym w dokumentacji zamówienia, lecz spełnia wymagania Zamawiającego na poziomie nie niższym niż wynikający z określonych przez Zamawiającego minimalnych parametrów i cech, w szczególności w zakresie:</w:t>
      </w:r>
    </w:p>
    <w:p>
      <w:pPr>
        <w:pStyle w:val="Tretekstu"/>
        <w:numPr>
          <w:ilvl w:val="0"/>
          <w:numId w:val="45"/>
        </w:numPr>
        <w:jc w:val="both"/>
        <w:rPr>
          <w:rFonts w:ascii="Times New Roman" w:hAnsi="Times New Roman"/>
          <w:sz w:val="22"/>
          <w:szCs w:val="22"/>
        </w:rPr>
      </w:pPr>
      <w:r>
        <w:rPr>
          <w:sz w:val="22"/>
          <w:szCs w:val="22"/>
        </w:rPr>
        <w:t>funkcji i przeznaczenia;</w:t>
      </w:r>
    </w:p>
    <w:p>
      <w:pPr>
        <w:pStyle w:val="Tretekstu"/>
        <w:numPr>
          <w:ilvl w:val="0"/>
          <w:numId w:val="45"/>
        </w:numPr>
        <w:jc w:val="both"/>
        <w:rPr>
          <w:rFonts w:ascii="Times New Roman" w:hAnsi="Times New Roman"/>
          <w:sz w:val="22"/>
          <w:szCs w:val="22"/>
        </w:rPr>
      </w:pPr>
      <w:r>
        <w:rPr>
          <w:sz w:val="22"/>
          <w:szCs w:val="22"/>
        </w:rPr>
        <w:t>parametrów technicznych i eksploatacyjnych;</w:t>
      </w:r>
    </w:p>
    <w:p>
      <w:pPr>
        <w:pStyle w:val="Tretekstu"/>
        <w:numPr>
          <w:ilvl w:val="0"/>
          <w:numId w:val="45"/>
        </w:numPr>
        <w:jc w:val="both"/>
        <w:rPr>
          <w:rFonts w:ascii="Times New Roman" w:hAnsi="Times New Roman"/>
          <w:sz w:val="22"/>
          <w:szCs w:val="22"/>
        </w:rPr>
      </w:pPr>
      <w:r>
        <w:rPr>
          <w:sz w:val="22"/>
          <w:szCs w:val="22"/>
        </w:rPr>
        <w:t>wydajności i sprawności;</w:t>
      </w:r>
    </w:p>
    <w:p>
      <w:pPr>
        <w:pStyle w:val="Tretekstu"/>
        <w:numPr>
          <w:ilvl w:val="0"/>
          <w:numId w:val="45"/>
        </w:numPr>
        <w:jc w:val="both"/>
        <w:rPr>
          <w:rFonts w:ascii="Times New Roman" w:hAnsi="Times New Roman"/>
          <w:sz w:val="22"/>
          <w:szCs w:val="22"/>
        </w:rPr>
      </w:pPr>
      <w:r>
        <w:rPr>
          <w:sz w:val="22"/>
          <w:szCs w:val="22"/>
        </w:rPr>
        <w:t>trwałości i niezawodności;</w:t>
      </w:r>
    </w:p>
    <w:p>
      <w:pPr>
        <w:pStyle w:val="Tretekstu"/>
        <w:numPr>
          <w:ilvl w:val="0"/>
          <w:numId w:val="45"/>
        </w:numPr>
        <w:jc w:val="both"/>
        <w:rPr>
          <w:rFonts w:ascii="Times New Roman" w:hAnsi="Times New Roman"/>
          <w:sz w:val="22"/>
          <w:szCs w:val="22"/>
        </w:rPr>
      </w:pPr>
      <w:r>
        <w:rPr>
          <w:sz w:val="22"/>
          <w:szCs w:val="22"/>
        </w:rPr>
        <w:t>bezpieczeństwa użytkowania;</w:t>
      </w:r>
    </w:p>
    <w:p>
      <w:pPr>
        <w:pStyle w:val="Tretekstu"/>
        <w:numPr>
          <w:ilvl w:val="0"/>
          <w:numId w:val="45"/>
        </w:numPr>
        <w:jc w:val="both"/>
        <w:rPr>
          <w:rFonts w:ascii="Times New Roman" w:hAnsi="Times New Roman"/>
          <w:sz w:val="22"/>
          <w:szCs w:val="22"/>
        </w:rPr>
      </w:pPr>
      <w:r>
        <w:rPr>
          <w:sz w:val="22"/>
          <w:szCs w:val="22"/>
        </w:rPr>
        <w:t>jakości zastosowanych materiałów;</w:t>
      </w:r>
    </w:p>
    <w:p>
      <w:pPr>
        <w:pStyle w:val="Tretekstu"/>
        <w:numPr>
          <w:ilvl w:val="0"/>
          <w:numId w:val="45"/>
        </w:numPr>
        <w:jc w:val="both"/>
        <w:rPr>
          <w:rFonts w:ascii="Times New Roman" w:hAnsi="Times New Roman"/>
          <w:sz w:val="22"/>
          <w:szCs w:val="22"/>
        </w:rPr>
      </w:pPr>
      <w:r>
        <w:rPr>
          <w:sz w:val="22"/>
          <w:szCs w:val="22"/>
        </w:rPr>
        <w:t>kompatybilności z istniejącą instalacją i infrastrukturą Zamawiającego;</w:t>
      </w:r>
    </w:p>
    <w:p>
      <w:pPr>
        <w:pStyle w:val="Tretekstu"/>
        <w:numPr>
          <w:ilvl w:val="0"/>
          <w:numId w:val="45"/>
        </w:numPr>
        <w:jc w:val="both"/>
        <w:rPr>
          <w:rFonts w:ascii="Times New Roman" w:hAnsi="Times New Roman"/>
          <w:sz w:val="22"/>
          <w:szCs w:val="22"/>
        </w:rPr>
      </w:pPr>
      <w:r>
        <w:rPr>
          <w:sz w:val="22"/>
          <w:szCs w:val="22"/>
        </w:rPr>
        <w:t>wymaganych standardów emisyjnych i środowiskowych – jeżeli mają zastosowanie;</w:t>
      </w:r>
    </w:p>
    <w:p>
      <w:pPr>
        <w:pStyle w:val="Tretekstu"/>
        <w:numPr>
          <w:ilvl w:val="0"/>
          <w:numId w:val="45"/>
        </w:numPr>
        <w:jc w:val="both"/>
        <w:rPr>
          <w:rFonts w:ascii="Times New Roman" w:hAnsi="Times New Roman"/>
          <w:sz w:val="22"/>
          <w:szCs w:val="22"/>
        </w:rPr>
      </w:pPr>
      <w:r>
        <w:rPr>
          <w:sz w:val="22"/>
          <w:szCs w:val="22"/>
        </w:rPr>
        <w:t>możliwości prawidłowego wykonania instalacji, uruchomienia oraz późniejszej eksploatacji urządzenia.</w:t>
      </w:r>
    </w:p>
    <w:p>
      <w:pPr>
        <w:pStyle w:val="Tretekstu"/>
        <w:jc w:val="both"/>
        <w:rPr>
          <w:rFonts w:ascii="Times New Roman" w:hAnsi="Times New Roman"/>
          <w:sz w:val="22"/>
          <w:szCs w:val="22"/>
        </w:rPr>
      </w:pPr>
      <w:r>
        <w:rPr>
          <w:sz w:val="22"/>
          <w:szCs w:val="22"/>
        </w:rPr>
        <w:t>22. W przypadku zaoferowania rozwiązania równoważnego Wykonawca zobowiązany jest wykazać, że oferowane rozwiązanie spełnia wymagania określone przez Zamawiającego. W tym celu Wykonawca w Karcie informacyjnej, stanowiącej załącznik nr 1 do oferty, wskazuje oferowane rozwiązanie równoważne oraz przedstawia informacje i dokumenty pozwalające na ocenę jego równoważności.</w:t>
      </w:r>
    </w:p>
    <w:p>
      <w:pPr>
        <w:pStyle w:val="Tretekstu"/>
        <w:jc w:val="both"/>
        <w:rPr>
          <w:rFonts w:ascii="Times New Roman" w:hAnsi="Times New Roman"/>
          <w:sz w:val="22"/>
          <w:szCs w:val="22"/>
        </w:rPr>
      </w:pPr>
      <w:r>
        <w:rPr>
          <w:sz w:val="22"/>
          <w:szCs w:val="22"/>
        </w:rPr>
        <w:t>23. W przypadku gdy Zamawiający określił minimalne lub maksymalne wartości parametrów technicznych albo dopuszczalny zakres lub tolerancję danego parametru, parametry oferowanego urządzenia muszą mieścić się w określonych przez Zamawiającego granicach.</w:t>
      </w:r>
    </w:p>
    <w:p>
      <w:pPr>
        <w:pStyle w:val="Tretekstu"/>
        <w:jc w:val="both"/>
        <w:rPr>
          <w:rFonts w:ascii="Times New Roman" w:hAnsi="Times New Roman"/>
          <w:sz w:val="22"/>
          <w:szCs w:val="22"/>
        </w:rPr>
      </w:pPr>
      <w:r>
        <w:rPr>
          <w:sz w:val="22"/>
          <w:szCs w:val="22"/>
        </w:rPr>
        <w:t>24. W przypadku odniesienia w dokumentacji zamówienia do norm, ocen technicznych, specyfikacji technicznych lub systemów referencji technicznych Zamawiający dopuszcza rozwiązania równoważne na zasadach określonych w art. 101 ustawy PZP.</w:t>
      </w:r>
    </w:p>
    <w:p>
      <w:pPr>
        <w:pStyle w:val="Tretekstu"/>
        <w:jc w:val="both"/>
        <w:rPr>
          <w:rFonts w:ascii="Times New Roman" w:hAnsi="Times New Roman"/>
          <w:sz w:val="22"/>
          <w:szCs w:val="22"/>
        </w:rPr>
      </w:pPr>
      <w:r>
        <w:rPr>
          <w:sz w:val="22"/>
          <w:szCs w:val="22"/>
        </w:rPr>
        <w:t>25. Z uwagi na ryczałtowy charakter wynagrodzenia podstawę wyceny oferty stanowi całość dokumentacji opisującej przedmiot zamówienia. Przedmiary robót mają charakter pomocniczy. W przypadku stwierdzenia przez Wykonawcę rozbieżności, niejasności lub sprzeczności pomiędzy dokumentami zamówienia Wykonawca powinien, przed upływem terminu składania ofert, zwrócić się do Zamawiającego o wyjaśnienie treści SWZ.</w:t>
      </w:r>
    </w:p>
    <w:p>
      <w:pPr>
        <w:pStyle w:val="Tretekstu"/>
        <w:jc w:val="both"/>
        <w:rPr>
          <w:rFonts w:ascii="Times New Roman" w:hAnsi="Times New Roman"/>
          <w:sz w:val="22"/>
          <w:szCs w:val="22"/>
        </w:rPr>
      </w:pPr>
      <w:r>
        <w:rPr>
          <w:sz w:val="22"/>
          <w:szCs w:val="22"/>
        </w:rPr>
        <w:t>26. Wykonawca zobowiązany jest wykonać wszystkie czynności, prace, próby, badania, pomiary, zgłoszenia, uzgodnienia i odbiory niezbędne do kompletnego i prawidłowego wykonania przedmiotu zamówienia oraz przekazania go Zamawiającemu w stanie umożliwiającym jego bezpieczne użytkowanie zgodnie z przeznaczeniem.</w:t>
      </w:r>
    </w:p>
    <w:p>
      <w:pPr>
        <w:pStyle w:val="Tretekstu"/>
        <w:jc w:val="both"/>
        <w:rPr>
          <w:rFonts w:ascii="Times New Roman" w:hAnsi="Times New Roman"/>
          <w:sz w:val="22"/>
          <w:szCs w:val="22"/>
        </w:rPr>
      </w:pPr>
      <w:r>
        <w:rPr>
          <w:sz w:val="22"/>
          <w:szCs w:val="22"/>
        </w:rPr>
        <w:t>27. W ramach realizacji zamówienia Wykonawca zobowiązany jest w szczególności do:</w:t>
      </w:r>
    </w:p>
    <w:p>
      <w:pPr>
        <w:pStyle w:val="Tretekstu"/>
        <w:numPr>
          <w:ilvl w:val="0"/>
          <w:numId w:val="46"/>
        </w:numPr>
        <w:jc w:val="both"/>
        <w:rPr>
          <w:rFonts w:ascii="Times New Roman" w:hAnsi="Times New Roman"/>
          <w:sz w:val="22"/>
          <w:szCs w:val="22"/>
        </w:rPr>
      </w:pPr>
      <w:r>
        <w:rPr>
          <w:sz w:val="22"/>
          <w:szCs w:val="22"/>
        </w:rPr>
        <w:t>właściwego zabezpieczenia i oznakowania miejsca prowadzenia prac;</w:t>
      </w:r>
    </w:p>
    <w:p>
      <w:pPr>
        <w:pStyle w:val="Tretekstu"/>
        <w:numPr>
          <w:ilvl w:val="0"/>
          <w:numId w:val="46"/>
        </w:numPr>
        <w:jc w:val="both"/>
        <w:rPr>
          <w:rFonts w:ascii="Times New Roman" w:hAnsi="Times New Roman"/>
          <w:sz w:val="22"/>
          <w:szCs w:val="22"/>
        </w:rPr>
      </w:pPr>
      <w:r>
        <w:rPr>
          <w:sz w:val="22"/>
          <w:szCs w:val="22"/>
        </w:rPr>
        <w:t>wykonania wszystkich niezbędnych prac przygotowawczych, montażowych, instalacyjnych i porządkowych;</w:t>
      </w:r>
    </w:p>
    <w:p>
      <w:pPr>
        <w:pStyle w:val="Tretekstu"/>
        <w:numPr>
          <w:ilvl w:val="0"/>
          <w:numId w:val="46"/>
        </w:numPr>
        <w:jc w:val="both"/>
        <w:rPr>
          <w:rFonts w:ascii="Times New Roman" w:hAnsi="Times New Roman"/>
          <w:sz w:val="22"/>
          <w:szCs w:val="22"/>
        </w:rPr>
      </w:pPr>
      <w:r>
        <w:rPr>
          <w:sz w:val="22"/>
          <w:szCs w:val="22"/>
        </w:rPr>
        <w:t>zabezpieczenia wykonywanych prac i urządzeń przed uszkodzeniem do czasu dokonania odbioru końcowego;</w:t>
      </w:r>
    </w:p>
    <w:p>
      <w:pPr>
        <w:pStyle w:val="Tretekstu"/>
        <w:numPr>
          <w:ilvl w:val="0"/>
          <w:numId w:val="46"/>
        </w:numPr>
        <w:jc w:val="both"/>
        <w:rPr>
          <w:rFonts w:ascii="Times New Roman" w:hAnsi="Times New Roman"/>
          <w:sz w:val="22"/>
          <w:szCs w:val="22"/>
        </w:rPr>
      </w:pPr>
      <w:r>
        <w:rPr>
          <w:sz w:val="22"/>
          <w:szCs w:val="22"/>
        </w:rPr>
        <w:t>właściwego postępowania z odpadami powstałymi w związku z realizacją przedmiotu zamówienia oraz ich zagospodarowania i wywozu zgodnie z obowiązującymi przepisami prawa, na własny koszt i odpowiedzialność;</w:t>
      </w:r>
    </w:p>
    <w:p>
      <w:pPr>
        <w:pStyle w:val="Tretekstu"/>
        <w:numPr>
          <w:ilvl w:val="0"/>
          <w:numId w:val="46"/>
        </w:numPr>
        <w:jc w:val="both"/>
        <w:rPr>
          <w:rFonts w:ascii="Times New Roman" w:hAnsi="Times New Roman"/>
          <w:sz w:val="22"/>
          <w:szCs w:val="22"/>
        </w:rPr>
      </w:pPr>
      <w:r>
        <w:rPr>
          <w:sz w:val="22"/>
          <w:szCs w:val="22"/>
        </w:rPr>
        <w:t>zagospodarowania i wywozu, we własnym zakresie i na własny koszt, gruntu powstałego z wykopów, jeżeli wystąpi taka konieczność;</w:t>
      </w:r>
    </w:p>
    <w:p>
      <w:pPr>
        <w:pStyle w:val="Tretekstu"/>
        <w:numPr>
          <w:ilvl w:val="0"/>
          <w:numId w:val="46"/>
        </w:numPr>
        <w:jc w:val="both"/>
        <w:rPr>
          <w:rFonts w:ascii="Times New Roman" w:hAnsi="Times New Roman"/>
          <w:sz w:val="22"/>
          <w:szCs w:val="22"/>
        </w:rPr>
      </w:pPr>
      <w:r>
        <w:rPr>
          <w:sz w:val="22"/>
          <w:szCs w:val="22"/>
        </w:rPr>
        <w:t>odtworzenia na własny koszt elementów terenu, nawierzchni, dróg, chodników, instalacji lub innych elementów infrastruktury uszkodzonych w związku z realizacją przedmiotu zamówienia;</w:t>
      </w:r>
    </w:p>
    <w:p>
      <w:pPr>
        <w:pStyle w:val="Tretekstu"/>
        <w:numPr>
          <w:ilvl w:val="0"/>
          <w:numId w:val="46"/>
        </w:numPr>
        <w:jc w:val="both"/>
        <w:rPr>
          <w:rFonts w:ascii="Times New Roman" w:hAnsi="Times New Roman"/>
          <w:sz w:val="22"/>
          <w:szCs w:val="22"/>
        </w:rPr>
      </w:pPr>
      <w:r>
        <w:rPr>
          <w:sz w:val="22"/>
          <w:szCs w:val="22"/>
        </w:rPr>
        <w:t>doprowadzenia terenu po zakończeniu prac do należytego porządku i stanu nie gorszego niż przed rozpoczęciem prac, z uwzględnieniem zmian wynikających z prawidłowo wykonanego przedmiotu zamówienia;</w:t>
      </w:r>
    </w:p>
    <w:p>
      <w:pPr>
        <w:pStyle w:val="Tretekstu"/>
        <w:numPr>
          <w:ilvl w:val="0"/>
          <w:numId w:val="46"/>
        </w:numPr>
        <w:jc w:val="both"/>
        <w:rPr>
          <w:rFonts w:ascii="Times New Roman" w:hAnsi="Times New Roman"/>
          <w:sz w:val="22"/>
          <w:szCs w:val="22"/>
        </w:rPr>
      </w:pPr>
      <w:r>
        <w:rPr>
          <w:sz w:val="22"/>
          <w:szCs w:val="22"/>
        </w:rPr>
        <w:t>zapewnienia, jeżeli będzie to wymagane zakresem wykonywanych prac, niezbędnej obsługi geodezyjnej oraz wykonania wymaganej dokumentacji lub inwentaryzacji powykonawczej;</w:t>
      </w:r>
    </w:p>
    <w:p>
      <w:pPr>
        <w:pStyle w:val="Tretekstu"/>
        <w:numPr>
          <w:ilvl w:val="0"/>
          <w:numId w:val="46"/>
        </w:numPr>
        <w:jc w:val="both"/>
        <w:rPr>
          <w:rFonts w:ascii="Times New Roman" w:hAnsi="Times New Roman"/>
          <w:sz w:val="22"/>
          <w:szCs w:val="22"/>
        </w:rPr>
      </w:pPr>
      <w:r>
        <w:rPr>
          <w:sz w:val="22"/>
          <w:szCs w:val="22"/>
        </w:rPr>
        <w:t>wykonania i przekazania Zamawiającemu kompletnej dokumentacji powykonawczej;</w:t>
      </w:r>
    </w:p>
    <w:p>
      <w:pPr>
        <w:pStyle w:val="Tretekstu"/>
        <w:numPr>
          <w:ilvl w:val="0"/>
          <w:numId w:val="46"/>
        </w:numPr>
        <w:jc w:val="both"/>
        <w:rPr>
          <w:rFonts w:ascii="Times New Roman" w:hAnsi="Times New Roman"/>
          <w:sz w:val="22"/>
          <w:szCs w:val="22"/>
        </w:rPr>
      </w:pPr>
      <w:r>
        <w:rPr>
          <w:sz w:val="22"/>
          <w:szCs w:val="22"/>
        </w:rPr>
        <w:t>ponoszenia pełnej odpowiedzialności za szkody wyrządzone Zamawiającemu lub osobom trzecim w związku z realizacją przedmiotu zamówienia.</w:t>
      </w:r>
    </w:p>
    <w:p>
      <w:pPr>
        <w:pStyle w:val="Tretekstu"/>
        <w:jc w:val="both"/>
        <w:rPr>
          <w:rFonts w:ascii="Times New Roman" w:hAnsi="Times New Roman"/>
          <w:sz w:val="22"/>
          <w:szCs w:val="22"/>
        </w:rPr>
      </w:pPr>
      <w:r>
        <w:rPr>
          <w:sz w:val="22"/>
          <w:szCs w:val="22"/>
        </w:rPr>
        <w:t>28. Wykonawca zobowiązany jest prowadzić prace w sposób zapewniający ciągłość i bezpieczeństwo funkcjonowania Domu Pomocy Społecznej w Obrytem. W szczególności wszelkie planowane wyłączenia, przełączenia, przepięcia, podłączenia lub inne ingerencje w istniejące instalacje i systemy zasilania wymagają wcześniejszego uzgodnienia z Zamawiającym.</w:t>
      </w:r>
    </w:p>
    <w:p>
      <w:pPr>
        <w:pStyle w:val="Tretekstu"/>
        <w:jc w:val="both"/>
        <w:rPr>
          <w:rFonts w:ascii="Times New Roman" w:hAnsi="Times New Roman"/>
          <w:sz w:val="22"/>
          <w:szCs w:val="22"/>
        </w:rPr>
      </w:pPr>
      <w:r>
        <w:rPr>
          <w:sz w:val="22"/>
          <w:szCs w:val="22"/>
        </w:rPr>
        <w:t>29. Wykonawca zobowiązany jest do takiej organizacji prac, aby ograniczyć do niezbędnego minimum przerwy w dostawie energii elektrycznej do obiektów Zamawiającego. Termin oraz przewidywany czas każdego planowanego wyłączenia zasilania wymagają wcześniejszego uzgodnienia z Zamawiającym.</w:t>
      </w:r>
    </w:p>
    <w:p>
      <w:pPr>
        <w:pStyle w:val="Tretekstu"/>
        <w:jc w:val="both"/>
        <w:rPr>
          <w:rFonts w:ascii="Times New Roman" w:hAnsi="Times New Roman"/>
          <w:sz w:val="22"/>
          <w:szCs w:val="22"/>
        </w:rPr>
      </w:pPr>
      <w:r>
        <w:rPr>
          <w:sz w:val="22"/>
          <w:szCs w:val="22"/>
        </w:rPr>
        <w:t>30. Prace należy wykonywać zgodnie z dokumentacją projektową, obowiązującymi przepisami prawa, zasadami wiedzy technicznej, właściwymi normami oraz wymaganiami producenta urządzenia. Zastosowanie rozwiązań zamiennych wymagających ingerencji w dokumentację projektową wymaga uprzedniej akceptacji Zamawiającego oraz projektanta, jeżeli zgodnie z przepisami lub dokumentacją taka akceptacja jest wymagana.</w:t>
      </w:r>
    </w:p>
    <w:p>
      <w:pPr>
        <w:pStyle w:val="Tretekstu"/>
        <w:jc w:val="both"/>
        <w:rPr>
          <w:rFonts w:ascii="Times New Roman" w:hAnsi="Times New Roman"/>
          <w:sz w:val="22"/>
          <w:szCs w:val="22"/>
        </w:rPr>
      </w:pPr>
      <w:r>
        <w:rPr>
          <w:sz w:val="22"/>
          <w:szCs w:val="22"/>
        </w:rPr>
        <w:t>31. Wszystkie materiały i wyroby zastosowane przy realizacji zamówienia muszą być fabrycznie nowe, odpowiedniej jakości oraz dopuszczone do stosowania zgodnie z obowiązującymi przepisami prawa.</w:t>
      </w:r>
    </w:p>
    <w:p>
      <w:pPr>
        <w:pStyle w:val="Tretekstu"/>
        <w:jc w:val="both"/>
        <w:rPr>
          <w:rFonts w:ascii="Times New Roman" w:hAnsi="Times New Roman"/>
          <w:sz w:val="22"/>
          <w:szCs w:val="22"/>
        </w:rPr>
      </w:pPr>
      <w:r>
        <w:rPr>
          <w:sz w:val="22"/>
          <w:szCs w:val="22"/>
        </w:rPr>
        <w:t>32. W przypadku wystąpienia w toku realizacji zamówienia okoliczności nieprzewidzianych w dokumentacji Wykonawca zobowiązany jest niezwłocznie powiadomić o nich Zamawiającego oraz powstrzymać się od wykonywania prac, które w związku z zaistniałą sytuacją mogłyby mieć wpływ na prawidłowość lub bezpieczeństwo realizacji przedmiotu zamówienia, do czasu dokonania niezbędnych uzgodnień.</w:t>
      </w:r>
    </w:p>
    <w:p>
      <w:pPr>
        <w:pStyle w:val="Tretekstu"/>
        <w:jc w:val="both"/>
        <w:rPr>
          <w:rFonts w:ascii="Times New Roman" w:hAnsi="Times New Roman"/>
          <w:sz w:val="22"/>
          <w:szCs w:val="22"/>
        </w:rPr>
      </w:pPr>
      <w:r>
        <w:rPr>
          <w:sz w:val="22"/>
          <w:szCs w:val="22"/>
        </w:rPr>
        <w:t>33. Wykonawca zobowiązany jest dokonać wszystkich wymaganych przepisami prawa zgłoszeń i uzgodnień związanych z realizacją przedmiotu zamówienia, w zakresie, w jakim obowiązek ich dokonania spoczywa na Wykonawcy zgodnie z przepisami prawa oraz dokumentami zamówienia.</w:t>
      </w:r>
    </w:p>
    <w:p>
      <w:pPr>
        <w:pStyle w:val="Tretekstu"/>
        <w:jc w:val="both"/>
        <w:rPr>
          <w:rFonts w:ascii="Times New Roman" w:hAnsi="Times New Roman"/>
          <w:sz w:val="22"/>
          <w:szCs w:val="22"/>
        </w:rPr>
      </w:pPr>
      <w:r>
        <w:rPr>
          <w:sz w:val="22"/>
          <w:szCs w:val="22"/>
        </w:rPr>
        <w:t>34. Wykonawca zobowiązany jest przed złożeniem oferty zapoznać się z całością dokumentacji zamówienia. Wszelkie stwierdzone niezgodności, niejasności, sprzeczności lub wątpliwości dotyczące zakresu zamówienia powinny zostać zgłoszone Zamawiającemu w trybie przewidzianym dla składania wniosków o wyjaśnienie treści SWZ.</w:t>
      </w:r>
    </w:p>
    <w:p>
      <w:pPr>
        <w:pStyle w:val="Tretekstu"/>
        <w:jc w:val="both"/>
        <w:rPr/>
      </w:pPr>
      <w:r>
        <w:rPr>
          <w:rStyle w:val="Mocnowyrniony"/>
          <w:sz w:val="22"/>
          <w:szCs w:val="22"/>
        </w:rPr>
        <w:t>35. Kod CPV: 31122000-7 – Jednostki prądotwórcze.</w:t>
      </w:r>
    </w:p>
    <w:p>
      <w:pPr>
        <w:pStyle w:val="Tretekstu"/>
        <w:jc w:val="both"/>
        <w:rPr/>
      </w:pPr>
      <w:r>
        <w:rPr>
          <w:rStyle w:val="Mocnowyrniony"/>
          <w:b w:val="false"/>
          <w:bCs w:val="false"/>
          <w:sz w:val="22"/>
          <w:szCs w:val="22"/>
        </w:rPr>
        <w:t xml:space="preserve">36. </w:t>
      </w:r>
      <w:r>
        <w:rPr>
          <w:sz w:val="22"/>
          <w:szCs w:val="22"/>
        </w:rPr>
        <w:t xml:space="preserve">Zamawiający kwalifikuje przedmiot niniejszego zamówienia jako </w:t>
      </w:r>
      <w:r>
        <w:rPr>
          <w:rStyle w:val="Mocnowyrniony"/>
          <w:sz w:val="22"/>
          <w:szCs w:val="22"/>
        </w:rPr>
        <w:t>dostawę</w:t>
      </w:r>
      <w:r>
        <w:rPr>
          <w:sz w:val="22"/>
          <w:szCs w:val="22"/>
        </w:rPr>
        <w:t>, której elementami towarzyszącymi są w szczególności montaż, podłączenie, uruchomienie oraz wykonanie prac niezbędnych do prawidłowego posadowienia i przyłączenia agregatu.</w:t>
      </w:r>
    </w:p>
    <w:p>
      <w:pPr>
        <w:pStyle w:val="Tretekstu"/>
        <w:jc w:val="both"/>
        <w:rPr/>
      </w:pPr>
      <w:r>
        <w:rPr>
          <w:sz w:val="22"/>
          <w:szCs w:val="22"/>
        </w:rPr>
        <w:t xml:space="preserve">37. Z uwagi na kwalifikację przedmiotu zamówienia jako dostawy Zamawiający </w:t>
      </w:r>
      <w:r>
        <w:rPr>
          <w:rStyle w:val="Mocnowyrniony"/>
          <w:sz w:val="22"/>
          <w:szCs w:val="22"/>
        </w:rPr>
        <w:t>nie określa wymagań w zakresie zatrudnienia na podstawie stosunku pracy, o których mowa w art. 95 ustawy PZP</w:t>
      </w:r>
      <w:r>
        <w:rPr>
          <w:sz w:val="22"/>
          <w:szCs w:val="22"/>
        </w:rPr>
        <w:t>.</w:t>
      </w:r>
    </w:p>
    <w:p>
      <w:pPr>
        <w:pStyle w:val="Tretekstu"/>
        <w:jc w:val="both"/>
        <w:rPr>
          <w:rFonts w:ascii="Times New Roman" w:hAnsi="Times New Roman"/>
          <w:sz w:val="22"/>
          <w:szCs w:val="22"/>
        </w:rPr>
      </w:pPr>
      <w:r>
        <w:rPr>
          <w:sz w:val="22"/>
          <w:szCs w:val="22"/>
        </w:rPr>
        <w:t>38. Należność Wykonawcy z tytułu realizacji umowy płatna będzie przelewem w terminie do 30 dni od dnia otrzymania przez Zamawiającego prawidłowo wystawionej faktury, na rachunek bankowy Wykonawcy wskazany na fakturze, z zastosowaniem mechanizmu podzielonej płatności (split payment), jeżeli obowiązek jego zastosowania wynika z obowiązujących przepisów prawa. Szczegółowe zasady rozliczenia określają projektowane postanowienia umowy.</w:t>
      </w:r>
    </w:p>
    <w:p>
      <w:pPr>
        <w:pStyle w:val="Tretekstu"/>
        <w:jc w:val="both"/>
        <w:rPr>
          <w:rFonts w:ascii="Times New Roman" w:hAnsi="Times New Roman"/>
          <w:sz w:val="22"/>
          <w:szCs w:val="22"/>
        </w:rPr>
      </w:pPr>
      <w:r>
        <w:rPr>
          <w:sz w:val="22"/>
          <w:szCs w:val="22"/>
        </w:rPr>
        <w:t>39. Z uwagi na charakter przedmiotu zamówienia, którym jest stacjonarny agregat prądotwórczy wraz z instalacją przyłączeniową, przeznaczony do zapewnienia awaryjnego zasilania obiektu i nieprzeznaczony do bezpośredniego użytkowania przez mieszkańców Domu, Zamawiający uznaje, że określanie szczególnych wymagań w zakresie dostępności dla osób niepełnosprawnych oraz projektowania z przeznaczeniem dla wszystkich użytkowników, o których mowa w art. 100 ustawy PZP, nie jest uzasadnione charakterem przedmiotu zamówienia.</w:t>
      </w:r>
    </w:p>
    <w:p>
      <w:pPr>
        <w:pStyle w:val="Tretekstu"/>
        <w:jc w:val="both"/>
        <w:rPr>
          <w:rFonts w:ascii="Times New Roman" w:hAnsi="Times New Roman"/>
          <w:sz w:val="22"/>
          <w:szCs w:val="22"/>
        </w:rPr>
      </w:pPr>
      <w:r>
        <w:rPr>
          <w:sz w:val="22"/>
          <w:szCs w:val="22"/>
        </w:rPr>
        <w:t>40. Przetwarzanie danych osobowych w związku z niniejszym postępowaniem odbywa się zgodnie z przepisami rozporządzenia Parlamentu Europejskiego i Rady (UE) 2016/679 z dnia 27 kwietnia 2016 r. (RODO). Szczegółowa klauzula informacyjna dotycząca przetwarzania danych osobowych została określona w odrębnej części SWZ.</w:t>
      </w:r>
    </w:p>
    <w:p>
      <w:pPr>
        <w:pStyle w:val="Tretekstu"/>
        <w:jc w:val="both"/>
        <w:rPr/>
      </w:pPr>
      <w:r>
        <w:rPr>
          <w:sz w:val="22"/>
          <w:szCs w:val="22"/>
        </w:rPr>
        <w:t xml:space="preserve">41.Zamawiający informuje, że na podstawie art. 24 ust. 1 ustawy z dnia 14 czerwca 2024 r. o ochronie sygnalistów w Domu Pomocy Społecznej w Obrytem obowiązuje </w:t>
      </w:r>
      <w:r>
        <w:rPr>
          <w:rStyle w:val="Mocnowyrniony"/>
          <w:sz w:val="22"/>
          <w:szCs w:val="22"/>
        </w:rPr>
        <w:t>Procedura dokonywania zgłoszeń naruszeń prawa i podejmowania działań następczych w Domu Pomocy Społecznej w Obrytem</w:t>
      </w:r>
      <w:r>
        <w:rPr>
          <w:sz w:val="22"/>
          <w:szCs w:val="22"/>
        </w:rPr>
        <w:t>, wprowadzona Zarządzeniem nr 19/2024 Dyrektora Domu Pomocy Społecznej w Obrytem z dnia 24 września 2024 r. Osoby uprawnione mogą dokonywać zgłoszeń naruszeń prawa na zasadach określonych w procedurze, o której mowa w ust. 34. Procedura wraz z informacją dotyczącą przetwarzania danych osobowych w związku ze zgłoszeniami dostępna jest w siedzibie Domu Pomocy Społecznej w Obrytem, Obryte 188, 07-215 Obryte.</w:t>
      </w:r>
    </w:p>
    <w:p>
      <w:pPr>
        <w:pStyle w:val="Tretekstu"/>
        <w:jc w:val="both"/>
        <w:rPr/>
      </w:pPr>
      <w:r>
        <w:rPr>
          <w:b/>
          <w:bCs/>
          <w:sz w:val="22"/>
          <w:szCs w:val="22"/>
        </w:rPr>
        <w:t>42. Wizja lokalna:</w:t>
      </w:r>
    </w:p>
    <w:p>
      <w:pPr>
        <w:pStyle w:val="Tretekstu"/>
        <w:numPr>
          <w:ilvl w:val="0"/>
          <w:numId w:val="47"/>
        </w:numPr>
        <w:tabs>
          <w:tab w:val="clear" w:pos="708"/>
          <w:tab w:val="left" w:pos="0" w:leader="none"/>
        </w:tabs>
        <w:ind w:left="707" w:hanging="283"/>
        <w:jc w:val="both"/>
        <w:rPr/>
      </w:pPr>
      <w:r>
        <w:rPr>
          <w:rFonts w:ascii="Times New Roman" w:hAnsi="Times New Roman"/>
          <w:sz w:val="22"/>
          <w:szCs w:val="22"/>
        </w:rPr>
        <w:t>Zamawiający zaleca Wykonawcom przeprowadzenie wizji lokalnej w miejscu realizacji zamówienia w celu zapoznania się z istniejącymi warunkami technicznymi, lokalizacyjnymi i organizacyjnymi, w szczególności warunkami posadowienia agregatu prądotwórczego, możliwościami jego transportu i montażu, przebiegiem istniejących instalacji oraz warunkami przyłączenia urządzenia do wewnętrznej instalacji elektroenergetycznej obiektu.</w:t>
      </w:r>
    </w:p>
    <w:p>
      <w:pPr>
        <w:pStyle w:val="Tretekstu"/>
        <w:numPr>
          <w:ilvl w:val="0"/>
          <w:numId w:val="47"/>
        </w:numPr>
        <w:tabs>
          <w:tab w:val="clear" w:pos="708"/>
          <w:tab w:val="left" w:pos="0" w:leader="none"/>
        </w:tabs>
        <w:ind w:left="707" w:hanging="283"/>
        <w:jc w:val="both"/>
        <w:rPr/>
      </w:pPr>
      <w:r>
        <w:rPr>
          <w:rStyle w:val="Mocnowyrniony"/>
          <w:rFonts w:ascii="Times New Roman" w:hAnsi="Times New Roman"/>
          <w:sz w:val="22"/>
          <w:szCs w:val="22"/>
        </w:rPr>
        <w:t>Przeprowadzenie wizji lokalnej jest dobrowolne i nie stanowi warunku udziału w postępowaniu ani warunku złożenia oferty.</w:t>
      </w:r>
      <w:r>
        <w:rPr>
          <w:rFonts w:ascii="Times New Roman" w:hAnsi="Times New Roman"/>
          <w:sz w:val="22"/>
          <w:szCs w:val="22"/>
        </w:rPr>
        <w:t xml:space="preserve"> Nieodbycie wizji lokalnej nie będzie stanowiło podstawy odrzucenia oferty ani nie będzie skutkowało negatywnymi konsekwencjami dla Wykonawcy w toku postępowania.</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Wykonawca zainteresowany przeprowadzeniem wizji lokalnej zobowiązany jest do wcześniejszego zgłoszenia takiego zamiaru Zamawiającemu za pośrednictwem platformy e-Zamówienia, poprzez formularz służący do komunikacji w prowadzonym postępowaniu.</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Zgłoszenie powinno zawierać nazwę Wykonawcy, imię i nazwisko osoby lub osób przewidzianych do udziału w wizji lokalnej, numer telefonu kontaktowego oraz proponowany termin jej przeprowadzenia.</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Zamawiający, po otrzymaniu zgłoszenia, uzgodni z Wykonawcą termin i godzinę przeprowadzenia wizji lokalnej, uwzględniając możliwości organizacyjne jednostki oraz konieczność zapewnienia niezakłóconego funkcjonowania placówki. Potwierdzenie terminu nastąpi za pośrednictwem platformy e-Zamówienia.</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Wizja lokalna odbędzie się w obecności przedstawiciela Zamawiającego, w miejscu planowanej realizacji zamówienia. Wykonawca zobowiązany jest do przestrzegania obowiązujących na terenie obiektu zasad bezpieczeństwa oraz stosowania się do poleceń organizacyjnych przedstawiciela Zamawiającego.</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Podczas wizji lokalnej Wykonawca będzie mógł zapoznać się z warunkami realizacji zamówienia oraz dokonać niezbędnych oględzin i pomiarów, w zakresie uzgodnionym z Zamawiającym, bez ingerencji w istniejące instalacje i urządzenia.</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Wizja lokalna nie służy udzielaniu wiążących wyjaśnień treści Specyfikacji Warunków Zamówienia. Wszelkie pytania dotyczące dokumentacji postępowania należy kierować za pośrednictwem platformy e-Zamówienia, zgodnie z zasadami określonymi w SWZ. Wyjaśnienia udzielane przez Zamawiającego będą udostępniane wszystkim zainteresowanym Wykonawcom na stronie internetowej prowadzonego postępowania.</w:t>
      </w:r>
    </w:p>
    <w:p>
      <w:pPr>
        <w:pStyle w:val="Tretekstu"/>
        <w:numPr>
          <w:ilvl w:val="0"/>
          <w:numId w:val="47"/>
        </w:numPr>
        <w:tabs>
          <w:tab w:val="clear" w:pos="708"/>
          <w:tab w:val="left" w:pos="0" w:leader="none"/>
        </w:tabs>
        <w:ind w:left="707" w:hanging="283"/>
        <w:jc w:val="both"/>
        <w:rPr>
          <w:rFonts w:ascii="Times New Roman" w:hAnsi="Times New Roman"/>
          <w:sz w:val="22"/>
          <w:szCs w:val="22"/>
        </w:rPr>
      </w:pPr>
      <w:r>
        <w:rPr>
          <w:rFonts w:ascii="Times New Roman" w:hAnsi="Times New Roman"/>
          <w:sz w:val="22"/>
          <w:szCs w:val="22"/>
        </w:rPr>
        <w:t>Koszty związane z udziałem w wizji lokalnej ponosi Wykonawca. Zamawiający nie przewiduje zwrotu kosztów jej przeprowadzenia.</w:t>
      </w:r>
    </w:p>
    <w:p>
      <w:pPr>
        <w:pStyle w:val="Tretekstu"/>
        <w:jc w:val="both"/>
        <w:rPr>
          <w:rFonts w:ascii="Times New Roman" w:hAnsi="Times New Roman"/>
          <w:sz w:val="22"/>
          <w:szCs w:val="22"/>
        </w:rPr>
      </w:pPr>
      <w:r>
        <w:rPr>
          <w:rFonts w:ascii="Times New Roman" w:hAnsi="Times New Roman"/>
          <w:sz w:val="22"/>
          <w:szCs w:val="22"/>
        </w:rPr>
      </w:r>
    </w:p>
    <w:p>
      <w:pPr>
        <w:pStyle w:val="WWTekst11111111111111111111111111111111111111111111111111111111111111111111111111111111111111111111111"/>
        <w:tabs>
          <w:tab w:val="clear" w:pos="708"/>
          <w:tab w:val="left" w:pos="272" w:leader="none"/>
        </w:tabs>
        <w:spacing w:before="0" w:after="0"/>
        <w:jc w:val="center"/>
        <w:rPr>
          <w:rFonts w:ascii="Times New Roman" w:hAnsi="Times New Roman" w:cs="Calibri"/>
          <w:b/>
          <w:b/>
          <w:bCs/>
          <w:i w:val="false"/>
          <w:i w:val="false"/>
          <w:iCs w:val="false"/>
          <w:sz w:val="22"/>
          <w:szCs w:val="22"/>
          <w:highlight w:val="lightGray"/>
        </w:rPr>
      </w:pPr>
      <w:r>
        <w:rPr>
          <w:rFonts w:cs="Calibri"/>
          <w:b/>
          <w:bCs/>
          <w:i w:val="false"/>
          <w:iCs w:val="false"/>
          <w:sz w:val="22"/>
          <w:szCs w:val="22"/>
          <w:highlight w:val="lightGray"/>
        </w:rPr>
        <w:t>§ 5. Termin wykonania zamówienia</w:t>
      </w:r>
    </w:p>
    <w:p>
      <w:pPr>
        <w:pStyle w:val="Tretekstu"/>
        <w:tabs>
          <w:tab w:val="clear" w:pos="708"/>
          <w:tab w:val="left" w:pos="283" w:leader="none"/>
        </w:tabs>
        <w:spacing w:before="120" w:after="0"/>
        <w:jc w:val="both"/>
        <w:rPr/>
      </w:pPr>
      <w:r>
        <w:rPr>
          <w:rFonts w:cs="Calibri"/>
          <w:sz w:val="22"/>
          <w:szCs w:val="22"/>
        </w:rPr>
        <w:t xml:space="preserve">1. Termin rozpoczęcia realizacji przedmiotu zamówienia: </w:t>
      </w:r>
      <w:r>
        <w:rPr>
          <w:rStyle w:val="Mocnowyrniony"/>
          <w:rFonts w:cs="Calibri"/>
          <w:sz w:val="22"/>
          <w:szCs w:val="22"/>
        </w:rPr>
        <w:t>nie później niż w terminie 3 dni od dnia przekazania Wykonawcy terenu, na którym realizowany będzie przedmiot zamówienia</w:t>
      </w:r>
      <w:r>
        <w:rPr>
          <w:rFonts w:cs="Calibri"/>
          <w:sz w:val="22"/>
          <w:szCs w:val="22"/>
        </w:rPr>
        <w:t>.</w:t>
      </w:r>
    </w:p>
    <w:p>
      <w:pPr>
        <w:pStyle w:val="Tretekstu"/>
        <w:tabs>
          <w:tab w:val="clear" w:pos="708"/>
          <w:tab w:val="left" w:pos="283" w:leader="none"/>
        </w:tabs>
        <w:spacing w:before="120" w:after="0"/>
        <w:jc w:val="both"/>
        <w:rPr/>
      </w:pPr>
      <w:r>
        <w:rPr>
          <w:rFonts w:cs="Calibri"/>
          <w:sz w:val="22"/>
          <w:szCs w:val="22"/>
        </w:rPr>
        <w:t xml:space="preserve">2. </w:t>
      </w:r>
      <w:r>
        <w:rPr>
          <w:sz w:val="22"/>
          <w:szCs w:val="22"/>
        </w:rPr>
        <w:t xml:space="preserve">Termin wykonania całości przedmiotu zamówienia wynosi </w:t>
      </w:r>
      <w:r>
        <w:rPr>
          <w:rStyle w:val="Mocnowyrniony"/>
          <w:sz w:val="22"/>
          <w:szCs w:val="22"/>
        </w:rPr>
        <w:t xml:space="preserve">do </w:t>
      </w:r>
      <w:r>
        <w:rPr>
          <w:rStyle w:val="Mocnowyrniony"/>
          <w:sz w:val="22"/>
          <w:szCs w:val="22"/>
        </w:rPr>
        <w:t>30</w:t>
      </w:r>
      <w:r>
        <w:rPr>
          <w:rStyle w:val="Mocnowyrniony"/>
          <w:sz w:val="22"/>
          <w:szCs w:val="22"/>
        </w:rPr>
        <w:t xml:space="preserve"> dni od dnia zawarcia umowy, jednak nie później niż do dnia  </w:t>
      </w:r>
      <w:r>
        <w:rPr>
          <w:rStyle w:val="Mocnowyrniony"/>
          <w:sz w:val="22"/>
          <w:szCs w:val="22"/>
        </w:rPr>
        <w:t xml:space="preserve">17 </w:t>
      </w:r>
      <w:r>
        <w:rPr>
          <w:rStyle w:val="Mocnowyrniony"/>
          <w:sz w:val="22"/>
          <w:szCs w:val="22"/>
        </w:rPr>
        <w:t>grudnia 2026 r.</w:t>
      </w:r>
    </w:p>
    <w:p>
      <w:pPr>
        <w:pStyle w:val="Tretekstu"/>
        <w:tabs>
          <w:tab w:val="clear" w:pos="708"/>
          <w:tab w:val="left" w:pos="283" w:leader="none"/>
        </w:tabs>
        <w:spacing w:before="120" w:after="0"/>
        <w:jc w:val="both"/>
        <w:rPr/>
      </w:pPr>
      <w:r>
        <w:rPr>
          <w:rStyle w:val="Mocnowyrniony"/>
          <w:sz w:val="22"/>
          <w:szCs w:val="22"/>
        </w:rPr>
        <w:t xml:space="preserve">3. </w:t>
      </w:r>
      <w:r>
        <w:rPr>
          <w:sz w:val="22"/>
          <w:szCs w:val="22"/>
        </w:rPr>
        <w:t xml:space="preserve">Za termin wykonania przedmiotu zamówienia uznaje się dzień zakończenia wszystkich dostaw, prac, montażu, podłączenia i uruchomienia agregatu, przeprowadzenia wymaganych prób, badań i pomiarów, przeszkolenia pracowników Zamawiającego oraz przekazania kompletnej dokumentacji powykonawczej, potwierdzonych </w:t>
      </w:r>
      <w:r>
        <w:rPr>
          <w:rStyle w:val="Mocnowyrniony"/>
          <w:sz w:val="22"/>
          <w:szCs w:val="22"/>
        </w:rPr>
        <w:t>podpisaniem przez Strony protokołu odbioru końcowego bez zastrzeżeń</w:t>
      </w:r>
      <w:r>
        <w:rPr>
          <w:sz w:val="22"/>
          <w:szCs w:val="22"/>
        </w:rPr>
        <w:t>.</w:t>
      </w:r>
    </w:p>
    <w:p>
      <w:pPr>
        <w:pStyle w:val="Tretekstu"/>
        <w:tabs>
          <w:tab w:val="clear" w:pos="708"/>
          <w:tab w:val="left" w:pos="283" w:leader="none"/>
        </w:tabs>
        <w:spacing w:before="120" w:after="0"/>
        <w:jc w:val="both"/>
        <w:rPr>
          <w:rFonts w:ascii="Times New Roman" w:hAnsi="Times New Roman"/>
          <w:sz w:val="22"/>
          <w:szCs w:val="22"/>
        </w:rPr>
      </w:pPr>
      <w:r>
        <w:rPr>
          <w:sz w:val="22"/>
          <w:szCs w:val="22"/>
        </w:rPr>
        <w:t>4. Termin określony w ust. 2 obejmuje również czas niezbędny do dokonania przez Wykonawcę wymaganych zgłoszeń, uzgodnień oraz innych czynności niezbędnych do prawidłowego uruchomienia i użytkowania agregatu, w zakresie, w jakim obowiązek ich dokonania spoczywa na Wykonawcy.</w:t>
      </w:r>
    </w:p>
    <w:p>
      <w:pPr>
        <w:pStyle w:val="Normal"/>
        <w:tabs>
          <w:tab w:val="clear" w:pos="708"/>
          <w:tab w:val="left" w:pos="0" w:leader="none"/>
        </w:tabs>
        <w:jc w:val="both"/>
        <w:rPr>
          <w:rFonts w:ascii="Times New Roman" w:hAnsi="Times New Roman" w:cs="Calibri"/>
          <w:bCs/>
          <w:sz w:val="22"/>
          <w:szCs w:val="22"/>
        </w:rPr>
      </w:pPr>
      <w:r>
        <w:rPr>
          <w:rFonts w:cs="Calibri"/>
          <w:bCs/>
          <w:sz w:val="22"/>
          <w:szCs w:val="22"/>
        </w:rPr>
      </w:r>
    </w:p>
    <w:p>
      <w:pPr>
        <w:pStyle w:val="Normal"/>
        <w:tabs>
          <w:tab w:val="clear" w:pos="708"/>
          <w:tab w:val="left" w:pos="0" w:leader="none"/>
        </w:tabs>
        <w:jc w:val="center"/>
        <w:rPr>
          <w:rFonts w:ascii="Times New Roman" w:hAnsi="Times New Roman" w:cs="Calibri"/>
          <w:b/>
          <w:b/>
          <w:sz w:val="22"/>
          <w:szCs w:val="22"/>
          <w:highlight w:val="lightGray"/>
        </w:rPr>
      </w:pPr>
      <w:r>
        <w:rPr>
          <w:rFonts w:cs="Calibri"/>
          <w:b/>
          <w:sz w:val="22"/>
          <w:szCs w:val="22"/>
          <w:highlight w:val="lightGray"/>
        </w:rPr>
        <w:t>§ 6. Projektowane postanowienia umowy w sprawie zamówienia publicznego, które zostaną wprowadzone do treści tej umowy</w:t>
      </w:r>
    </w:p>
    <w:p>
      <w:pPr>
        <w:pStyle w:val="Tretekstu"/>
        <w:spacing w:before="120" w:after="0"/>
        <w:jc w:val="both"/>
        <w:rPr/>
      </w:pPr>
      <w:r>
        <w:rPr>
          <w:rFonts w:cs="Calibri"/>
          <w:sz w:val="22"/>
          <w:szCs w:val="22"/>
        </w:rPr>
        <w:t xml:space="preserve">1. Projektowane postanowienia umowy w sprawie zamówienia publicznego, które zostaną wprowadzone do treści umowy zawieranej z wybranym Wykonawcą, zostały określone w </w:t>
      </w:r>
      <w:r>
        <w:rPr>
          <w:rStyle w:val="Mocnowyrniony"/>
          <w:rFonts w:cs="Calibri"/>
          <w:sz w:val="22"/>
          <w:szCs w:val="22"/>
        </w:rPr>
        <w:t>załączniku nr 2 do SWZ</w:t>
      </w:r>
      <w:r>
        <w:rPr>
          <w:rFonts w:cs="Calibri"/>
          <w:sz w:val="22"/>
          <w:szCs w:val="22"/>
        </w:rPr>
        <w:t>, stanowiącym integralną część niniejszej SWZ.</w:t>
      </w:r>
    </w:p>
    <w:p>
      <w:pPr>
        <w:pStyle w:val="Tretekstu"/>
        <w:spacing w:before="120" w:after="0"/>
        <w:jc w:val="both"/>
        <w:rPr>
          <w:rFonts w:ascii="Times New Roman" w:hAnsi="Times New Roman"/>
          <w:sz w:val="22"/>
          <w:szCs w:val="22"/>
        </w:rPr>
      </w:pPr>
      <w:r>
        <w:rPr>
          <w:rFonts w:cs="Calibri"/>
          <w:sz w:val="22"/>
          <w:szCs w:val="22"/>
        </w:rPr>
        <w:t xml:space="preserve">2. </w:t>
      </w:r>
      <w:r>
        <w:rPr>
          <w:sz w:val="22"/>
          <w:szCs w:val="22"/>
        </w:rPr>
        <w:t>Złożenie oferty jest równoznaczne z akceptacją przez Wykonawcę projektowanych postanowień umowy, o których mowa w ust. 1.</w:t>
      </w:r>
    </w:p>
    <w:p>
      <w:pPr>
        <w:pStyle w:val="Normal"/>
        <w:spacing w:before="120" w:after="0"/>
        <w:jc w:val="both"/>
        <w:rPr>
          <w:rFonts w:ascii="Times New Roman" w:hAnsi="Times New Roman" w:cs="Calibri"/>
          <w:sz w:val="22"/>
          <w:szCs w:val="22"/>
        </w:rPr>
      </w:pPr>
      <w:r>
        <w:rPr>
          <w:rFonts w:cs="Calibri"/>
          <w:sz w:val="22"/>
          <w:szCs w:val="22"/>
        </w:rPr>
      </w:r>
    </w:p>
    <w:p>
      <w:pPr>
        <w:pStyle w:val="Normal"/>
        <w:tabs>
          <w:tab w:val="clear" w:pos="708"/>
          <w:tab w:val="left" w:pos="0" w:leader="none"/>
        </w:tabs>
        <w:jc w:val="center"/>
        <w:rPr>
          <w:rFonts w:ascii="Times New Roman" w:hAnsi="Times New Roman" w:cs="Calibri"/>
          <w:b/>
          <w:b/>
          <w:sz w:val="22"/>
          <w:szCs w:val="22"/>
          <w:highlight w:val="lightGray"/>
        </w:rPr>
      </w:pPr>
      <w:r>
        <w:rPr>
          <w:rFonts w:cs="Calibri"/>
          <w:b/>
          <w:sz w:val="22"/>
          <w:szCs w:val="22"/>
          <w:highlight w:val="lightGray"/>
        </w:rPr>
        <w:t>§ 7. 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W postępowaniu o udzielenie zamówienia publicznego komunikacja między Zamawiającym a Wykonawcami odbywa się przy użyciu Platformy e-Zamówienia, która jest dostępna pod adresem https://ezamowienia.gov.pl.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Korzystanie z Platformy e-Zamówienia jest bezpłatne.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Postępowanie można wyszukać również ze strony głównej Platformy e-Zamówienia (przycisk „Przeglądaj postępowania/konkursy”).</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Identyfikator (ID) postępowania na Platformie e-Zamówienia:</w:t>
      </w:r>
    </w:p>
    <w:p>
      <w:pPr>
        <w:pStyle w:val="ListParagraph"/>
        <w:widowControl/>
        <w:suppressAutoHyphens w:val="false"/>
        <w:spacing w:before="120" w:after="0"/>
        <w:ind w:left="426" w:right="0" w:hanging="0"/>
        <w:contextualSpacing/>
        <w:jc w:val="center"/>
        <w:rPr/>
      </w:pPr>
      <w:r>
        <w:rPr>
          <w:rFonts w:cs="Calibri" w:ascii="Roboto;Helvetica Neue;sans-serif" w:hAnsi="Roboto;Helvetica Neue;sans-serif"/>
          <w:b w:val="false"/>
          <w:bCs/>
          <w:i w:val="false"/>
          <w:caps w:val="false"/>
          <w:smallCaps w:val="false"/>
          <w:color w:val="4A4A4A"/>
          <w:spacing w:val="0"/>
          <w:sz w:val="19"/>
          <w:szCs w:val="22"/>
        </w:rPr>
        <w:t>ocds-148610-442748b9-0583-4844-9bae-b4dea27b252a</w:t>
      </w:r>
      <w:r>
        <w:rPr>
          <w:rFonts w:cs="Calibri"/>
          <w:b/>
          <w:bCs/>
          <w:color w:val="000000"/>
          <w:sz w:val="22"/>
          <w:szCs w:val="22"/>
        </w:rPr>
        <w:t xml:space="preserve">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sz w:val="22"/>
          <w:szCs w:val="22"/>
        </w:rPr>
      </w:pPr>
      <w:r>
        <w:rPr>
          <w:rFonts w:cs="Calibri"/>
          <w:sz w:val="22"/>
          <w:szCs w:val="22"/>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Przeglądanie i pobieranie publicznej treści dokumentacji postępowania nie wymaga posiadania konta na Platformie e-Zamówienia ani logowania.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Informacje, oświadczenia lub dokumenty, inne niż wymienione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przekazywane w postępowaniu sporządza się w postaci elektronicznej:</w:t>
      </w:r>
    </w:p>
    <w:p>
      <w:pPr>
        <w:pStyle w:val="ListParagraph"/>
        <w:widowControl/>
        <w:numPr>
          <w:ilvl w:val="0"/>
          <w:numId w:val="10"/>
        </w:numPr>
        <w:suppressAutoHyphens w:val="false"/>
        <w:spacing w:before="60" w:after="0"/>
        <w:ind w:left="850" w:right="0" w:hanging="425"/>
        <w:contextualSpacing/>
        <w:jc w:val="both"/>
        <w:rPr>
          <w:rFonts w:ascii="Times New Roman" w:hAnsi="Times New Roman" w:cs="Calibri"/>
          <w:sz w:val="22"/>
          <w:szCs w:val="22"/>
        </w:rPr>
      </w:pPr>
      <w:r>
        <w:rPr>
          <w:rFonts w:cs="Calibri"/>
          <w:sz w:val="22"/>
          <w:szCs w:val="22"/>
        </w:rPr>
        <w:t>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(i przekazuje się jako załącznik), lub</w:t>
      </w:r>
    </w:p>
    <w:p>
      <w:pPr>
        <w:pStyle w:val="ListParagraph"/>
        <w:widowControl/>
        <w:numPr>
          <w:ilvl w:val="0"/>
          <w:numId w:val="10"/>
        </w:numPr>
        <w:suppressAutoHyphens w:val="false"/>
        <w:spacing w:before="60" w:after="0"/>
        <w:ind w:left="850" w:right="0" w:hanging="425"/>
        <w:contextualSpacing/>
        <w:jc w:val="both"/>
        <w:rPr>
          <w:rFonts w:ascii="Times New Roman" w:hAnsi="Times New Roman" w:cs="Calibri"/>
          <w:sz w:val="22"/>
          <w:szCs w:val="22"/>
        </w:rPr>
      </w:pPr>
      <w:r>
        <w:rPr>
          <w:rFonts w:cs="Calibri"/>
          <w:sz w:val="22"/>
          <w:szCs w:val="22"/>
        </w:rPr>
        <w:t xml:space="preserve">jako tekst wpisany bezpośrednio do wiadomości przekazywanej przy użyciu środków komunikacji elektronicznej (np. w treści wiadomości e-mail lub w treści „Formularza do komunikacji”).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2026r. poz. 85) Wykonawca, w celu utrzymania w poufności tych informacji, przekazuje je w wydzielonym i odpowiednio oznaczonym pliku, wraz z jednoczesnym zaznaczeniem w nazwie pliku „Dokument stanowiący tajemnicę przedsiębiorstwa”.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sz w:val="22"/>
          <w:szCs w:val="22"/>
        </w:rPr>
      </w:pPr>
      <w:r>
        <w:rPr>
          <w:rFonts w:cs="Calibri"/>
          <w:sz w:val="22"/>
          <w:szCs w:val="22"/>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Wszystkie wysłane i odebrane w postępowaniu przez Wykonawcę wiadomości widoczne są po zalogowaniu w podglądzie postępowania w zakładce „Komunikacja”.</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Maksymalny rozmiar plików przesyłanych za pośrednictwem „Formularzy do komunikacji” wynosi 150 MB (wielkość ta dotyczy plików przesyłanych jako załączniki do jednego formularza).</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Minimalne wymagania techniczne dotyczące sprzętu używanego w celu korzystania z usług Platformy e-Zamówienia oraz informacje dotyczące specyfikacji połączenia określa Regulamin Platformy e-Zamówienia. </w:t>
      </w:r>
    </w:p>
    <w:p>
      <w:pPr>
        <w:pStyle w:val="ListParagraph"/>
        <w:widowControl/>
        <w:numPr>
          <w:ilvl w:val="3"/>
          <w:numId w:val="2"/>
        </w:numPr>
        <w:suppressAutoHyphens w:val="false"/>
        <w:spacing w:before="120" w:after="0"/>
        <w:ind w:left="426" w:right="0" w:hanging="426"/>
        <w:contextualSpacing/>
        <w:jc w:val="both"/>
        <w:rPr>
          <w:rFonts w:ascii="Times New Roman" w:hAnsi="Times New Roman" w:cs="Calibri"/>
          <w:sz w:val="22"/>
          <w:szCs w:val="22"/>
        </w:rPr>
      </w:pPr>
      <w:r>
        <w:rPr>
          <w:rFonts w:cs="Calibri"/>
          <w:sz w:val="22"/>
          <w:szCs w:val="22"/>
        </w:rPr>
        <w:t xml:space="preserve">W przypadku problemów technicznych i awarii związanych z funkcjonowaniem Platformy </w:t>
        <w:br/>
        <w:t>e-Zamówienia użytkownicy mogą skorzystać ze wsparcia technicznego dostępnego pod numerem telefonu (32) 77 88 999 lub drogą elektroniczną poprzez formularz udostępniony na stronie internetowej https://ezamowienia.gov.pl w zakładce „Zgłoś problem”.</w:t>
      </w:r>
    </w:p>
    <w:p>
      <w:pPr>
        <w:pStyle w:val="ListParagraph"/>
        <w:widowControl/>
        <w:numPr>
          <w:ilvl w:val="3"/>
          <w:numId w:val="2"/>
        </w:numPr>
        <w:suppressAutoHyphens w:val="false"/>
        <w:spacing w:before="120" w:after="0"/>
        <w:ind w:left="426" w:right="0" w:hanging="426"/>
        <w:contextualSpacing/>
        <w:jc w:val="both"/>
        <w:rPr/>
      </w:pPr>
      <w:r>
        <w:rPr>
          <w:rFonts w:cs="Calibri"/>
          <w:sz w:val="22"/>
          <w:szCs w:val="22"/>
        </w:rPr>
        <w:t xml:space="preserve">W szczególnie uzasadnionych przypadkach uniemożliwiających komunikację Wykonawcy i Zamawiającego za pośrednictwem Platformy e-Zamówienia, Zamawiający dopuszcza komunikację za pomocą poczty elektronicznej na adres e-mail: </w:t>
      </w:r>
      <w:hyperlink r:id="rId24">
        <w:r>
          <w:rPr>
            <w:rStyle w:val="Czeinternetowe"/>
            <w:rFonts w:cs="Calibri"/>
            <w:color w:val="auto"/>
            <w:sz w:val="22"/>
            <w:szCs w:val="22"/>
          </w:rPr>
          <w:t>sekretariat@powiatpultuski.pl</w:t>
        </w:r>
      </w:hyperlink>
      <w:r>
        <w:rPr>
          <w:rFonts w:cs="Calibri"/>
          <w:sz w:val="22"/>
          <w:szCs w:val="22"/>
        </w:rPr>
        <w:t xml:space="preserve"> (nie dotyczy składania ofert).</w:t>
      </w:r>
    </w:p>
    <w:p>
      <w:pPr>
        <w:pStyle w:val="ListParagraph"/>
        <w:widowControl/>
        <w:suppressAutoHyphens w:val="false"/>
        <w:spacing w:before="0" w:after="0"/>
        <w:ind w:left="0" w:right="0" w:hanging="0"/>
        <w:contextualSpacing/>
        <w:rPr>
          <w:rFonts w:ascii="Times New Roman" w:hAnsi="Times New Roman" w:cs="Calibri"/>
          <w:sz w:val="22"/>
          <w:szCs w:val="22"/>
        </w:rPr>
      </w:pPr>
      <w:r>
        <w:rPr>
          <w:rFonts w:cs="Calibri"/>
          <w:sz w:val="22"/>
          <w:szCs w:val="22"/>
        </w:rPr>
      </w:r>
    </w:p>
    <w:p>
      <w:pPr>
        <w:pStyle w:val="Normal"/>
        <w:tabs>
          <w:tab w:val="clear" w:pos="708"/>
          <w:tab w:val="left" w:pos="0" w:leader="none"/>
        </w:tabs>
        <w:jc w:val="center"/>
        <w:rPr>
          <w:rFonts w:ascii="Times New Roman" w:hAnsi="Times New Roman" w:cs="Calibri"/>
          <w:b/>
          <w:b/>
          <w:sz w:val="22"/>
          <w:szCs w:val="22"/>
          <w:highlight w:val="lightGray"/>
        </w:rPr>
      </w:pPr>
      <w:r>
        <w:rPr>
          <w:rFonts w:cs="Calibri"/>
          <w:b/>
          <w:sz w:val="22"/>
          <w:szCs w:val="22"/>
          <w:highlight w:val="lightGray"/>
        </w:rPr>
        <w:t xml:space="preserve">§ 8. Informacje o sposobie komunikowania się Zamawiającego z Wykonawcami w inny sposób </w:t>
        <w:br/>
        <w:t>niż przy użyciu środków komunikacji elektronicznej w przypadku zaistnienia jednej z sytuacji określonych w art. 65 ust. 1, art. 66 i art. 69</w:t>
      </w:r>
    </w:p>
    <w:p>
      <w:pPr>
        <w:pStyle w:val="Normal"/>
        <w:tabs>
          <w:tab w:val="clear" w:pos="708"/>
          <w:tab w:val="center" w:pos="5142" w:leader="none"/>
          <w:tab w:val="right" w:pos="9678" w:leader="none"/>
        </w:tabs>
        <w:jc w:val="both"/>
        <w:rPr>
          <w:rFonts w:ascii="Times New Roman" w:hAnsi="Times New Roman" w:cs="Calibri"/>
          <w:sz w:val="22"/>
          <w:szCs w:val="22"/>
        </w:rPr>
      </w:pPr>
      <w:r>
        <w:rPr>
          <w:rFonts w:cs="Calibri"/>
          <w:sz w:val="22"/>
          <w:szCs w:val="22"/>
        </w:rPr>
        <w:t xml:space="preserve">Nie dotyczy. </w:t>
      </w:r>
    </w:p>
    <w:p>
      <w:pPr>
        <w:pStyle w:val="Normal"/>
        <w:tabs>
          <w:tab w:val="clear" w:pos="708"/>
          <w:tab w:val="center" w:pos="5142" w:leader="none"/>
          <w:tab w:val="right" w:pos="9678" w:leader="none"/>
        </w:tabs>
        <w:jc w:val="both"/>
        <w:rPr>
          <w:rFonts w:ascii="Times New Roman" w:hAnsi="Times New Roman" w:cs="Calibri"/>
          <w:sz w:val="22"/>
          <w:szCs w:val="22"/>
        </w:rPr>
      </w:pPr>
      <w:r>
        <w:rPr>
          <w:rFonts w:cs="Calibri"/>
          <w:sz w:val="22"/>
          <w:szCs w:val="22"/>
        </w:rPr>
      </w:r>
    </w:p>
    <w:p>
      <w:pPr>
        <w:pStyle w:val="Normal"/>
        <w:tabs>
          <w:tab w:val="clear" w:pos="708"/>
          <w:tab w:val="center" w:pos="5142" w:leader="none"/>
          <w:tab w:val="right" w:pos="9678" w:leader="none"/>
        </w:tabs>
        <w:jc w:val="center"/>
        <w:rPr>
          <w:rFonts w:ascii="Times New Roman" w:hAnsi="Times New Roman" w:cs="Calibri"/>
          <w:b/>
          <w:b/>
          <w:sz w:val="22"/>
          <w:szCs w:val="22"/>
          <w:highlight w:val="lightGray"/>
        </w:rPr>
      </w:pPr>
      <w:r>
        <w:rPr>
          <w:rFonts w:cs="Calibri"/>
          <w:b/>
          <w:sz w:val="22"/>
          <w:szCs w:val="22"/>
          <w:highlight w:val="lightGray"/>
        </w:rPr>
        <w:t>§ 9. Wskazanie osób uprawnionych do komunikowania się z Wykonawcami</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Osobami uprawnionymi do porozumienia się z Wykonawcami są:</w:t>
      </w:r>
    </w:p>
    <w:p>
      <w:pPr>
        <w:pStyle w:val="ListParagraph"/>
        <w:widowControl/>
        <w:numPr>
          <w:ilvl w:val="0"/>
          <w:numId w:val="3"/>
        </w:numPr>
        <w:suppressAutoHyphens w:val="false"/>
        <w:spacing w:before="0" w:after="0"/>
        <w:ind w:left="426" w:right="0" w:hanging="426"/>
        <w:contextualSpacing/>
        <w:jc w:val="both"/>
        <w:rPr>
          <w:rFonts w:ascii="Times New Roman" w:hAnsi="Times New Roman"/>
          <w:sz w:val="22"/>
          <w:szCs w:val="22"/>
        </w:rPr>
      </w:pPr>
      <w:r>
        <w:rPr>
          <w:rFonts w:cs="Calibri"/>
          <w:sz w:val="22"/>
          <w:szCs w:val="22"/>
        </w:rPr>
        <w:t xml:space="preserve">w sprawach formalnych: </w:t>
        <w:tab/>
        <w:tab/>
        <w:t>Dagmara Barbarska,</w:t>
      </w:r>
    </w:p>
    <w:p>
      <w:pPr>
        <w:pStyle w:val="ListParagraph"/>
        <w:widowControl/>
        <w:numPr>
          <w:ilvl w:val="0"/>
          <w:numId w:val="3"/>
        </w:numPr>
        <w:suppressAutoHyphens w:val="false"/>
        <w:spacing w:before="0" w:after="0"/>
        <w:ind w:left="426" w:right="0" w:hanging="426"/>
        <w:contextualSpacing/>
        <w:jc w:val="both"/>
        <w:rPr>
          <w:rFonts w:ascii="Times New Roman" w:hAnsi="Times New Roman"/>
          <w:sz w:val="22"/>
          <w:szCs w:val="22"/>
        </w:rPr>
      </w:pPr>
      <w:r>
        <w:rPr>
          <w:rFonts w:cs="Calibri"/>
          <w:sz w:val="22"/>
          <w:szCs w:val="22"/>
        </w:rPr>
        <w:t xml:space="preserve">w sprawach merytorycznych: </w:t>
        <w:tab/>
        <w:t>Mariusz Morawski.</w:t>
      </w:r>
    </w:p>
    <w:p>
      <w:pPr>
        <w:pStyle w:val="ListParagraph"/>
        <w:widowControl/>
        <w:suppressAutoHyphens w:val="false"/>
        <w:spacing w:before="0" w:after="0"/>
        <w:ind w:left="0" w:right="0" w:hanging="0"/>
        <w:contextualSpacing/>
        <w:jc w:val="both"/>
        <w:rPr>
          <w:rFonts w:ascii="Times New Roman" w:hAnsi="Times New Roman" w:cs="Calibri"/>
          <w:b/>
          <w:b/>
          <w:sz w:val="22"/>
          <w:szCs w:val="22"/>
        </w:rPr>
      </w:pPr>
      <w:r>
        <w:rPr>
          <w:rFonts w:cs="Calibri"/>
          <w:b/>
          <w:sz w:val="22"/>
          <w:szCs w:val="22"/>
        </w:rPr>
      </w:r>
    </w:p>
    <w:p>
      <w:pPr>
        <w:pStyle w:val="ListParagraph"/>
        <w:widowControl/>
        <w:suppressAutoHyphens w:val="false"/>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10. Termin związania ofertą</w:t>
      </w:r>
    </w:p>
    <w:p>
      <w:pPr>
        <w:pStyle w:val="Tretekstu"/>
        <w:rPr/>
      </w:pPr>
      <w:r>
        <w:rPr>
          <w:rFonts w:cs="Calibri"/>
          <w:sz w:val="22"/>
          <w:szCs w:val="22"/>
        </w:rPr>
        <w:t xml:space="preserve">1. Wykonawca jest związany ofertą przez okres </w:t>
      </w:r>
      <w:r>
        <w:rPr>
          <w:rStyle w:val="Mocnowyrniony"/>
          <w:rFonts w:cs="Calibri"/>
          <w:sz w:val="22"/>
          <w:szCs w:val="22"/>
        </w:rPr>
        <w:t>30 dni od dnia upływu terminu składania ofert</w:t>
      </w:r>
      <w:r>
        <w:rPr>
          <w:rFonts w:cs="Calibri"/>
          <w:sz w:val="22"/>
          <w:szCs w:val="22"/>
        </w:rPr>
        <w:t>, przy czym pierwszym dniem terminu związania ofertą jest dzień, w którym upływa termin składania ofert.</w:t>
      </w:r>
    </w:p>
    <w:p>
      <w:pPr>
        <w:pStyle w:val="Tretekstu"/>
        <w:rPr/>
      </w:pPr>
      <w:r>
        <w:rPr>
          <w:rFonts w:cs="Calibri"/>
          <w:sz w:val="22"/>
          <w:szCs w:val="22"/>
        </w:rPr>
        <w:t xml:space="preserve">2. </w:t>
      </w:r>
      <w:r>
        <w:rPr>
          <w:sz w:val="22"/>
          <w:szCs w:val="22"/>
        </w:rPr>
        <w:t>Termin związania ofertą upływa w dniu</w:t>
      </w:r>
      <w:r>
        <w:rPr>
          <w:b/>
          <w:bCs/>
          <w:sz w:val="22"/>
          <w:szCs w:val="22"/>
        </w:rPr>
        <w:t xml:space="preserve"> </w:t>
      </w:r>
      <w:r>
        <w:rPr>
          <w:b/>
          <w:bCs/>
          <w:sz w:val="22"/>
          <w:szCs w:val="22"/>
        </w:rPr>
        <w:t>5</w:t>
      </w:r>
      <w:r>
        <w:rPr>
          <w:rStyle w:val="Mocnowyrniony"/>
          <w:b/>
          <w:bCs/>
          <w:sz w:val="22"/>
          <w:szCs w:val="22"/>
        </w:rPr>
        <w:t xml:space="preserve"> </w:t>
      </w:r>
      <w:r>
        <w:rPr>
          <w:rStyle w:val="Mocnowyrniony"/>
          <w:b/>
          <w:bCs/>
          <w:sz w:val="22"/>
          <w:szCs w:val="22"/>
        </w:rPr>
        <w:t>grudnia</w:t>
      </w:r>
      <w:r>
        <w:rPr>
          <w:rStyle w:val="Mocnowyrniony"/>
          <w:sz w:val="22"/>
          <w:szCs w:val="22"/>
        </w:rPr>
        <w:t xml:space="preserve"> 2026 r.</w:t>
      </w:r>
    </w:p>
    <w:p>
      <w:pPr>
        <w:pStyle w:val="Tretekstu"/>
        <w:rPr/>
      </w:pPr>
      <w:r>
        <w:rPr>
          <w:rStyle w:val="Mocnowyrniony"/>
          <w:sz w:val="22"/>
          <w:szCs w:val="22"/>
        </w:rPr>
        <w:t xml:space="preserve">3. </w:t>
      </w:r>
      <w:r>
        <w:rPr>
          <w:sz w:val="22"/>
          <w:szCs w:val="22"/>
        </w:rPr>
        <w:t xml:space="preserve">W przypadku gdy wybór najkorzystniejszej oferty nie nastąpi przed upływem terminu związania ofertą, o którym mowa w ust. 2, Zamawiający przed upływem tego terminu zwraca się jednokrotnie do Wykonawców o wyrażenie zgody na przedłużenie terminu związania ofertą o wskazywany przez Zamawiającego okres, nie dłuższy niż </w:t>
      </w:r>
      <w:r>
        <w:rPr>
          <w:rStyle w:val="Mocnowyrniony"/>
          <w:sz w:val="22"/>
          <w:szCs w:val="22"/>
        </w:rPr>
        <w:t>30 dni</w:t>
      </w:r>
      <w:r>
        <w:rPr>
          <w:sz w:val="22"/>
          <w:szCs w:val="22"/>
        </w:rPr>
        <w:t>.</w:t>
      </w:r>
    </w:p>
    <w:p>
      <w:pPr>
        <w:pStyle w:val="Tretekstu"/>
        <w:rPr>
          <w:rFonts w:ascii="Times New Roman" w:hAnsi="Times New Roman"/>
          <w:sz w:val="22"/>
          <w:szCs w:val="22"/>
        </w:rPr>
      </w:pPr>
      <w:r>
        <w:rPr>
          <w:sz w:val="22"/>
          <w:szCs w:val="22"/>
        </w:rPr>
        <w:t>4. Przedłużenie terminu związania ofertą, o którym mowa w ust. 3, wymaga złożenia przez Wykonawcę pisemnego oświadczenia o wyrażeniu zgody na przedłużenie terminu związania ofertą.</w:t>
      </w:r>
    </w:p>
    <w:p>
      <w:pPr>
        <w:pStyle w:val="Tretekstu"/>
        <w:rPr>
          <w:rFonts w:ascii="Times New Roman" w:hAnsi="Times New Roman"/>
          <w:sz w:val="22"/>
          <w:szCs w:val="22"/>
        </w:rPr>
      </w:pPr>
      <w:r>
        <w:rPr>
          <w:sz w:val="22"/>
          <w:szCs w:val="22"/>
        </w:rPr>
        <w:t>5. W przypadku gdy przedłużenie terminu związania ofertą dokonywane jest po wyborze najkorzystniejszej oferty, obowiązek wyrażenia zgody na przedłużenie terminu związania ofertą dotyczy wyłącznie Wykonawcy, którego oferta została wybrana jako najkorzystniejsza.</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11. Opis sposobu przygotowania oferty</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Ofertę – formularz ofertowy składa się pod rygorem nieważności w formie elektronicznej </w:t>
        <w:br/>
        <w:t>lub w postaci elektronicznej, opatrzonej podpisem zaufanym lub podpisem osobistym. Pozostałe dokumenty zgodnie z wymaganiami niniejszej specyfikacji.</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Oferta musi być sporządzona w języku polskim.</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Do oferty należy dołączyć oświadczenia oraz dokumenty wymagane zgodnie z § 20 SWZ ust. 1 oraz ust. 2 pkt 1, 2 i 8.</w:t>
      </w:r>
    </w:p>
    <w:p>
      <w:pPr>
        <w:pStyle w:val="ListParagraph"/>
        <w:widowControl/>
        <w:numPr>
          <w:ilvl w:val="6"/>
          <w:numId w:val="3"/>
        </w:numPr>
        <w:suppressAutoHyphens w:val="false"/>
        <w:spacing w:before="120" w:after="0"/>
        <w:ind w:left="425" w:right="0" w:hanging="425"/>
        <w:contextualSpacing/>
        <w:jc w:val="both"/>
        <w:rPr>
          <w:rFonts w:ascii="Times New Roman" w:hAnsi="Times New Roman"/>
          <w:sz w:val="22"/>
          <w:szCs w:val="22"/>
        </w:rPr>
      </w:pPr>
      <w:r>
        <w:rPr>
          <w:rFonts w:cs="Calibri"/>
          <w:sz w:val="22"/>
          <w:szCs w:val="22"/>
        </w:rPr>
        <w:t xml:space="preserve">Do przygotowania oferty zaleca się wykorzystanie Formularza ofertowego stanowiącego </w:t>
      </w:r>
      <w:r>
        <w:rPr>
          <w:rFonts w:cs="Calibri"/>
          <w:b/>
          <w:bCs/>
          <w:sz w:val="22"/>
          <w:szCs w:val="22"/>
        </w:rPr>
        <w:t>Załącznik Nr 1 do SWZ.</w:t>
      </w:r>
      <w:r>
        <w:rPr>
          <w:rFonts w:cs="Calibri"/>
          <w:sz w:val="22"/>
          <w:szCs w:val="22"/>
        </w:rPr>
        <w:t xml:space="preserve"> W przypadku, gdy Wykonawca nie wykorzysta przygotowanego przez Zamawiającego wzoru, w treści oferty należy zamieścić wszystkie dane wymagane w Formularzu ofertowym. </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Oferta oraz oświadczenie o niepodleganiu wykluczeniu muszą być złożone w oryginale. </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Do przygotowania oferty konieczne jest posiadanie przez osobę upoważnioną do reprezentowania Wykonawcy kwalifikowanego podpisu elektronicznego, podpisu osobistego lub podpisu zaufanego. </w:t>
      </w:r>
    </w:p>
    <w:p>
      <w:pPr>
        <w:pStyle w:val="ListParagraph"/>
        <w:widowControl/>
        <w:numPr>
          <w:ilvl w:val="6"/>
          <w:numId w:val="3"/>
        </w:numPr>
        <w:suppressAutoHyphens w:val="false"/>
        <w:spacing w:before="120" w:after="0"/>
        <w:ind w:left="425" w:right="0" w:hanging="425"/>
        <w:contextualSpacing/>
        <w:jc w:val="both"/>
        <w:rPr>
          <w:rFonts w:ascii="Times New Roman" w:hAnsi="Times New Roman"/>
          <w:sz w:val="22"/>
          <w:szCs w:val="22"/>
        </w:rPr>
      </w:pPr>
      <w:r>
        <w:rPr>
          <w:rFonts w:cs="Calibri"/>
          <w:sz w:val="22"/>
          <w:szCs w:val="22"/>
        </w:rPr>
        <w:t>Dopuszczalne formaty przesyłanych danych, specyfikacja połączenia zgodne z</w:t>
      </w:r>
      <w:r>
        <w:rPr>
          <w:rFonts w:cs="Calibri"/>
          <w:b/>
          <w:bCs/>
          <w:sz w:val="22"/>
          <w:szCs w:val="22"/>
        </w:rPr>
        <w:t xml:space="preserve"> </w:t>
      </w:r>
      <w:r>
        <w:rPr>
          <w:rFonts w:cs="Calibri"/>
          <w:bCs/>
          <w:sz w:val="22"/>
          <w:szCs w:val="22"/>
        </w:rPr>
        <w:t>§ 7 SWZ.</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W przypadku przekazywania w postępowaniu dokumentu elektronicznego w formacie poddającym dane kompresji, opatrzenie pliku zawierające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pPr>
        <w:pStyle w:val="ListParagraph"/>
        <w:widowControl/>
        <w:numPr>
          <w:ilvl w:val="6"/>
          <w:numId w:val="3"/>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zaznaczeniem polecenia „Załącznik stanowiący tajemnicę przedsiębiorstwa” Wykonawca zobowiązany jest, wraz z przekazaniem tych informacji, wykazać spełnienie przesłanek określonych w art. 11 ust. 2 ustawy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pPr>
        <w:pStyle w:val="ListParagraph"/>
        <w:widowControl/>
        <w:suppressAutoHyphens w:val="false"/>
        <w:spacing w:before="0" w:after="0"/>
        <w:ind w:left="0" w:right="0" w:hanging="0"/>
        <w:contextualSpacing/>
        <w:jc w:val="both"/>
        <w:rPr>
          <w:rFonts w:ascii="Times New Roman" w:hAnsi="Times New Roman" w:cs="Calibri"/>
          <w:b/>
          <w:b/>
          <w:sz w:val="22"/>
          <w:szCs w:val="22"/>
        </w:rPr>
      </w:pPr>
      <w:r>
        <w:rPr>
          <w:rFonts w:cs="Calibri"/>
          <w:b/>
          <w:sz w:val="22"/>
          <w:szCs w:val="22"/>
        </w:rPr>
      </w:r>
    </w:p>
    <w:p>
      <w:pPr>
        <w:pStyle w:val="ListParagraph"/>
        <w:widowControl/>
        <w:suppressAutoHyphens w:val="false"/>
        <w:spacing w:before="0" w:after="0"/>
        <w:ind w:left="0" w:right="0" w:hanging="0"/>
        <w:contextualSpacing/>
        <w:jc w:val="center"/>
        <w:rPr/>
      </w:pPr>
      <w:r>
        <w:rPr>
          <w:rFonts w:cs="Calibri"/>
          <w:b/>
          <w:sz w:val="22"/>
          <w:szCs w:val="22"/>
          <w:highlight w:val="lightGray"/>
        </w:rPr>
        <w:t>§ 12. Sposób oraz termin składania ofert</w:t>
      </w:r>
    </w:p>
    <w:p>
      <w:pPr>
        <w:pStyle w:val="ListParagraph"/>
        <w:widowControl/>
        <w:numPr>
          <w:ilvl w:val="6"/>
          <w:numId w:val="2"/>
        </w:numPr>
        <w:suppressAutoHyphens w:val="false"/>
        <w:spacing w:before="120" w:after="0"/>
        <w:ind w:left="425" w:right="0" w:hanging="425"/>
        <w:contextualSpacing/>
        <w:jc w:val="both"/>
        <w:rPr/>
      </w:pPr>
      <w:r>
        <w:rPr>
          <w:rFonts w:cs="Calibri"/>
          <w:bCs/>
          <w:spacing w:val="-2"/>
          <w:sz w:val="22"/>
          <w:szCs w:val="22"/>
        </w:rPr>
        <w:t xml:space="preserve">Ofertę wraz z wymaganymi załącznikami należy złożyć w terminie do dnia </w:t>
      </w:r>
      <w:r>
        <w:rPr>
          <w:rFonts w:cs="Calibri"/>
          <w:b/>
          <w:bCs/>
          <w:spacing w:val="-2"/>
          <w:sz w:val="22"/>
          <w:szCs w:val="22"/>
        </w:rPr>
        <w:t>6</w:t>
      </w:r>
      <w:r>
        <w:rPr>
          <w:rFonts w:cs="Calibri"/>
          <w:b/>
          <w:spacing w:val="-2"/>
          <w:sz w:val="22"/>
          <w:szCs w:val="22"/>
        </w:rPr>
        <w:t>.1</w:t>
      </w:r>
      <w:r>
        <w:rPr>
          <w:rFonts w:cs="Calibri"/>
          <w:b/>
          <w:spacing w:val="-2"/>
          <w:sz w:val="22"/>
          <w:szCs w:val="22"/>
        </w:rPr>
        <w:t>1</w:t>
      </w:r>
      <w:r>
        <w:rPr>
          <w:rFonts w:cs="Calibri"/>
          <w:b/>
          <w:spacing w:val="-2"/>
          <w:sz w:val="22"/>
          <w:szCs w:val="22"/>
        </w:rPr>
        <w:t>.2026 r. do godz. 10:00</w:t>
      </w:r>
      <w:r>
        <w:rPr>
          <w:rFonts w:cs="Calibri"/>
          <w:bCs/>
          <w:spacing w:val="-2"/>
          <w:sz w:val="22"/>
          <w:szCs w:val="22"/>
        </w:rPr>
        <w:t>.</w:t>
      </w:r>
    </w:p>
    <w:p>
      <w:pPr>
        <w:pStyle w:val="ListParagraph"/>
        <w:widowControl/>
        <w:numPr>
          <w:ilvl w:val="6"/>
          <w:numId w:val="2"/>
        </w:numPr>
        <w:suppressAutoHyphens w:val="false"/>
        <w:spacing w:before="120" w:after="0"/>
        <w:ind w:left="425" w:right="0" w:hanging="425"/>
        <w:contextualSpacing/>
        <w:jc w:val="both"/>
        <w:rPr>
          <w:rFonts w:ascii="Times New Roman" w:hAnsi="Times New Roman"/>
          <w:sz w:val="22"/>
          <w:szCs w:val="22"/>
        </w:rPr>
      </w:pPr>
      <w:r>
        <w:rPr>
          <w:rFonts w:cs="Calibri"/>
          <w:sz w:val="22"/>
          <w:szCs w:val="22"/>
        </w:rPr>
        <w:t>Wykonawca może złożyć tylko jedna ofertę.</w:t>
      </w:r>
      <w:r>
        <w:rPr>
          <w:rFonts w:eastAsia="Times New Roman" w:cs="Calibri"/>
          <w:sz w:val="22"/>
          <w:szCs w:val="22"/>
        </w:rPr>
        <w:t xml:space="preserve"> </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Zamawiający odrzuci ofertę złożoną po terminie składania ofert.</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Wykonawca przygotowuje ofertę przy pomocy załącznika nr 1 do SWZ „OFERTA” udostępnionego przez Zamawiającego na Platformie e-Zamówienia.</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Wykonawca powinien pobrać dokumenty, zapisać je na dysku komputera użytkownika, uzupełnić danymi wymaganymi przez Zamawiającego i ponownie zapisać na dysku komputera użytkownika oraz podpisać odpowiednim rodzajem podpisu elektronicznego, zgodnie z ust. 9. </w:t>
      </w:r>
    </w:p>
    <w:p>
      <w:pPr>
        <w:pStyle w:val="ListParagraph"/>
        <w:widowControl/>
        <w:numPr>
          <w:ilvl w:val="6"/>
          <w:numId w:val="2"/>
        </w:numPr>
        <w:suppressAutoHyphens w:val="false"/>
        <w:spacing w:before="120" w:after="0"/>
        <w:ind w:left="425" w:right="0" w:hanging="425"/>
        <w:contextualSpacing/>
        <w:jc w:val="both"/>
        <w:rPr/>
      </w:pPr>
      <w:r>
        <w:rPr>
          <w:rFonts w:cs="Calibri"/>
          <w:sz w:val="22"/>
          <w:szCs w:val="22"/>
        </w:rPr>
        <w:t xml:space="preserve">Wykonawca składa ofertę za pośrednictwem zakładki „Oferty/wnioski”, widocznej w podglądzie postępowania po zalogowaniu się na konto Wykonawcy na stronie internetowej </w:t>
      </w:r>
      <w:hyperlink r:id="rId25">
        <w:r>
          <w:rPr>
            <w:rStyle w:val="Czeinternetowe"/>
            <w:rFonts w:cs="Calibri"/>
            <w:sz w:val="22"/>
            <w:szCs w:val="22"/>
          </w:rPr>
          <w:t>https://ezamowienia.gov.pl</w:t>
        </w:r>
      </w:hyperlink>
      <w:r>
        <w:rPr>
          <w:rFonts w:cs="Calibri"/>
          <w:sz w:val="22"/>
          <w:szCs w:val="22"/>
        </w:rPr>
        <w:t xml:space="preserve">. Po wybraniu przycisku „Złóż ofertę” system prezentuje okno składania oferty umożliwiające przekazanie dokumentów elektronicznych, w którym znajdują się dwa pola drag&amp;drop („przeciągnij” i „upuść”) służące do dodawania plików. </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pPr>
        <w:pStyle w:val="ListParagraph"/>
        <w:widowControl/>
        <w:suppressAutoHyphens w:val="false"/>
        <w:spacing w:before="120" w:after="0"/>
        <w:ind w:left="425" w:right="0" w:hanging="0"/>
        <w:contextualSpacing/>
        <w:jc w:val="both"/>
        <w:rPr>
          <w:rFonts w:ascii="Times New Roman" w:hAnsi="Times New Roman" w:cs="Calibri"/>
          <w:sz w:val="22"/>
          <w:szCs w:val="22"/>
        </w:rPr>
      </w:pPr>
      <w:r>
        <w:rPr>
          <w:rFonts w:cs="Calibri"/>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Oferta może być złożona tylko do upływu terminu składania ofert. </w:t>
      </w:r>
    </w:p>
    <w:p>
      <w:pPr>
        <w:pStyle w:val="ListParagraph"/>
        <w:widowControl/>
        <w:numPr>
          <w:ilvl w:val="6"/>
          <w:numId w:val="2"/>
        </w:numPr>
        <w:suppressAutoHyphens w:val="false"/>
        <w:spacing w:before="120" w:after="0"/>
        <w:ind w:left="425" w:right="0" w:hanging="425"/>
        <w:contextualSpacing/>
        <w:jc w:val="both"/>
        <w:rPr/>
      </w:pPr>
      <w:r>
        <w:rPr>
          <w:rFonts w:cs="Calibri"/>
          <w:sz w:val="22"/>
          <w:szCs w:val="22"/>
        </w:rPr>
        <w:t xml:space="preserve">Wykonawca może przed upływem terminu składania ofert wycofać ofertę. Wykonawca wycofuje ofertę w zakładce „Oferty/wnioski” używając przycisku „Wycofaj ofertę”. </w:t>
      </w:r>
    </w:p>
    <w:p>
      <w:pPr>
        <w:pStyle w:val="ListParagraph"/>
        <w:widowControl/>
        <w:numPr>
          <w:ilvl w:val="6"/>
          <w:numId w:val="2"/>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Maksymalny łączny rozmiar plików stanowiących ofertę lub składanych wraz z ofertą to 250 MB.</w:t>
      </w:r>
    </w:p>
    <w:p>
      <w:pPr>
        <w:pStyle w:val="Normal"/>
        <w:widowControl/>
        <w:suppressAutoHyphens w:val="false"/>
        <w:spacing w:before="120" w:after="0"/>
        <w:jc w:val="both"/>
        <w:rPr>
          <w:rFonts w:ascii="Times New Roman" w:hAnsi="Times New Roman" w:cs="Calibri"/>
          <w:bCs/>
          <w:sz w:val="22"/>
          <w:szCs w:val="22"/>
        </w:rPr>
      </w:pPr>
      <w:r>
        <w:rPr>
          <w:rFonts w:cs="Calibri"/>
          <w:bCs/>
          <w:sz w:val="22"/>
          <w:szCs w:val="22"/>
        </w:rPr>
      </w:r>
    </w:p>
    <w:p>
      <w:pPr>
        <w:pStyle w:val="Normal"/>
        <w:widowControl/>
        <w:suppressAutoHyphens w:val="false"/>
        <w:jc w:val="center"/>
        <w:rPr>
          <w:rFonts w:ascii="Times New Roman" w:hAnsi="Times New Roman"/>
          <w:sz w:val="22"/>
          <w:szCs w:val="22"/>
        </w:rPr>
      </w:pPr>
      <w:r>
        <w:rPr>
          <w:rFonts w:eastAsia="Times New Roman" w:cs="Calibri"/>
          <w:b/>
          <w:sz w:val="22"/>
          <w:szCs w:val="22"/>
          <w:highlight w:val="lightGray"/>
          <w:lang w:eastAsia="pl-PL"/>
        </w:rPr>
        <w:t>§ 13. </w:t>
      </w:r>
      <w:r>
        <w:rPr>
          <w:rFonts w:cs="Calibri"/>
          <w:b/>
          <w:sz w:val="22"/>
          <w:szCs w:val="22"/>
          <w:highlight w:val="lightGray"/>
        </w:rPr>
        <w:t>Termin otwarcia ofert</w:t>
      </w:r>
    </w:p>
    <w:p>
      <w:pPr>
        <w:pStyle w:val="ListParagraph"/>
        <w:widowControl/>
        <w:numPr>
          <w:ilvl w:val="3"/>
          <w:numId w:val="1"/>
        </w:numPr>
        <w:suppressAutoHyphens w:val="false"/>
        <w:spacing w:before="120" w:after="0"/>
        <w:ind w:left="425" w:right="0" w:hanging="425"/>
        <w:contextualSpacing/>
        <w:rPr/>
      </w:pPr>
      <w:r>
        <w:rPr>
          <w:rFonts w:cs="Calibri"/>
          <w:sz w:val="22"/>
          <w:szCs w:val="22"/>
        </w:rPr>
        <w:t xml:space="preserve">Otwarcie ofert nastąpi w dniu </w:t>
      </w:r>
      <w:r>
        <w:rPr>
          <w:rFonts w:cs="Calibri"/>
          <w:sz w:val="22"/>
          <w:szCs w:val="22"/>
        </w:rPr>
        <w:t>6</w:t>
      </w:r>
      <w:r>
        <w:rPr>
          <w:rFonts w:cs="Calibri"/>
          <w:b/>
          <w:bCs/>
          <w:sz w:val="22"/>
          <w:szCs w:val="22"/>
        </w:rPr>
        <w:t>. 11</w:t>
      </w:r>
      <w:r>
        <w:rPr>
          <w:rFonts w:cs="Calibri"/>
          <w:b/>
          <w:bCs/>
          <w:sz w:val="22"/>
          <w:szCs w:val="22"/>
        </w:rPr>
        <w:t>. 2026 r. o godzinie 10:30</w:t>
      </w:r>
      <w:r>
        <w:rPr>
          <w:rFonts w:cs="Calibri"/>
          <w:sz w:val="22"/>
          <w:szCs w:val="22"/>
        </w:rPr>
        <w:t>.</w:t>
      </w:r>
    </w:p>
    <w:p>
      <w:pPr>
        <w:pStyle w:val="ListParagraph"/>
        <w:widowControl/>
        <w:numPr>
          <w:ilvl w:val="3"/>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Zamawiający, najpóźniej przed otwarciem ofert, udostępnia na stronie internetowej prowadzonego postępowania informacje o kwocie, jaką zamierza przeznaczyć na sfinansowanie zamówienia. </w:t>
      </w:r>
    </w:p>
    <w:p>
      <w:pPr>
        <w:pStyle w:val="ListParagraph"/>
        <w:widowControl/>
        <w:numPr>
          <w:ilvl w:val="3"/>
          <w:numId w:val="1"/>
        </w:numPr>
        <w:suppressAutoHyphens w:val="false"/>
        <w:spacing w:before="120" w:after="0"/>
        <w:ind w:left="425" w:right="0" w:hanging="425"/>
        <w:contextualSpacing/>
        <w:rPr>
          <w:rFonts w:ascii="Times New Roman" w:hAnsi="Times New Roman" w:cs="Calibri"/>
          <w:sz w:val="22"/>
          <w:szCs w:val="22"/>
        </w:rPr>
      </w:pPr>
      <w:r>
        <w:rPr>
          <w:rFonts w:cs="Calibri"/>
          <w:sz w:val="22"/>
          <w:szCs w:val="22"/>
        </w:rPr>
        <w:t>Zamawiający, niezwłocznie po otwarciu ofert, udostępnia na stronie internetowej prowadzonego postępowania informacje o:</w:t>
      </w:r>
    </w:p>
    <w:p>
      <w:pPr>
        <w:pStyle w:val="ListParagraph"/>
        <w:widowControl/>
        <w:numPr>
          <w:ilvl w:val="0"/>
          <w:numId w:val="4"/>
        </w:numPr>
        <w:suppressAutoHyphens w:val="false"/>
        <w:spacing w:before="60" w:after="0"/>
        <w:ind w:left="850" w:right="0" w:hanging="425"/>
        <w:contextualSpacing/>
        <w:jc w:val="both"/>
        <w:rPr>
          <w:rFonts w:ascii="Times New Roman" w:hAnsi="Times New Roman" w:cs="Calibri"/>
          <w:sz w:val="22"/>
          <w:szCs w:val="22"/>
        </w:rPr>
      </w:pPr>
      <w:r>
        <w:rPr>
          <w:rFonts w:cs="Calibri"/>
          <w:sz w:val="22"/>
          <w:szCs w:val="22"/>
        </w:rPr>
        <w:t>nazwach albo imionach i nazwiskach oraz siedzibach lub miejscach prowadzonej działalności gospodarczej albo miejscach zamieszkania Wykonawców, których oferty zostały otwarte;</w:t>
      </w:r>
    </w:p>
    <w:p>
      <w:pPr>
        <w:pStyle w:val="ListParagraph"/>
        <w:widowControl/>
        <w:numPr>
          <w:ilvl w:val="0"/>
          <w:numId w:val="4"/>
        </w:numPr>
        <w:suppressAutoHyphens w:val="false"/>
        <w:spacing w:before="60" w:after="0"/>
        <w:ind w:left="850" w:right="0" w:hanging="425"/>
        <w:contextualSpacing/>
        <w:jc w:val="both"/>
        <w:rPr>
          <w:rFonts w:ascii="Times New Roman" w:hAnsi="Times New Roman" w:cs="Calibri"/>
          <w:sz w:val="22"/>
          <w:szCs w:val="22"/>
        </w:rPr>
      </w:pPr>
      <w:r>
        <w:rPr>
          <w:rFonts w:cs="Calibri"/>
          <w:sz w:val="22"/>
          <w:szCs w:val="22"/>
        </w:rPr>
        <w:t xml:space="preserve">cenach lub kosztach zawartych w ofertach. </w:t>
      </w:r>
    </w:p>
    <w:p>
      <w:pPr>
        <w:pStyle w:val="ListParagraph"/>
        <w:widowControl/>
        <w:numPr>
          <w:ilvl w:val="3"/>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W przypadku wystąpienia awarii systemu teleinformatycznego, która spowoduje brak możliwości otwarcia ofert w terminie określonym przez Zamawiającego, otwarcie ofert nastąpi niezwłocznie po usunięciu awarii. </w:t>
      </w:r>
    </w:p>
    <w:p>
      <w:pPr>
        <w:pStyle w:val="ListParagraph"/>
        <w:widowControl/>
        <w:numPr>
          <w:ilvl w:val="3"/>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Zamawiający poinformuje o zmianie terminu otwarcia ofert na stronie internetowej prowadzonego postępowania.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xml:space="preserve">§ 14. Podstawy wykluczenia, o których mowa w art. 108 ust. 1, w art. 109 ust. 1 pkt 1 i 4, </w:t>
        <w:br/>
        <w:t xml:space="preserve">w art. 7 ust. 1 UOBN </w:t>
      </w:r>
    </w:p>
    <w:p>
      <w:pPr>
        <w:pStyle w:val="ListParagraph"/>
        <w:widowControl/>
        <w:numPr>
          <w:ilvl w:val="6"/>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Z postępowania o udzielenie zamówienia wyklucza się Wykonawców, w stosunku do których zachodzi którakolwiek z okoliczności wskazanych, z zastrzeżeniem art. 110 ust. 2 ustawy PZP, w art. 108 ust. 1 ustawy PZP;</w:t>
      </w:r>
    </w:p>
    <w:p>
      <w:pPr>
        <w:pStyle w:val="ListParagraph"/>
        <w:widowControl/>
        <w:numPr>
          <w:ilvl w:val="0"/>
          <w:numId w:val="11"/>
        </w:numPr>
        <w:suppressAutoHyphens w:val="false"/>
        <w:spacing w:before="80" w:after="0"/>
        <w:ind w:left="850" w:right="0" w:hanging="425"/>
        <w:contextualSpacing/>
        <w:jc w:val="both"/>
        <w:rPr>
          <w:rFonts w:ascii="Times New Roman" w:hAnsi="Times New Roman" w:cs="Calibri"/>
          <w:sz w:val="22"/>
          <w:szCs w:val="22"/>
        </w:rPr>
      </w:pPr>
      <w:r>
        <w:rPr>
          <w:rFonts w:cs="Calibri"/>
          <w:sz w:val="22"/>
          <w:szCs w:val="22"/>
        </w:rPr>
        <w:t>będącego osobą fizyczną, którego prawomocnie skazano za przestępstwo:</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udziału w zorganizowanej grupie przestępczej albo związku mającym na celu popełnienie przestępstwa lub przestępstwa skarbowego, o którym mowa w art. 258 Kodeksu karnego;</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handlu ludźmi, o którym mowa w art. 189a Kodeksu karnego;</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o którym mowa w art. 228-230a, art. 250a Kodeksu karnego lub w art. 46 lub art. 48 ustawy z dnia 25 czerwca 2010 r. o sporcie;</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finansowania przestępstwa o charakterze terrorystycznym, o którym mowa w art. 165a Kodeksu karnego, lub przestępstwo udaremniania lub utrudniania stwierdzenia przestępnego pochodzenia pieniędzy lub ukrywania i pochodzenia, o którym mowa w art. 299 Kodeksu karnego;</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o charakterze terrorystycznym, o którym mowa w art. 115 § 20 Kodeksu karnego, lub mające na celu popełnienie tego przestępstwa;</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powierzenia wykonywania pracy małoletniemu cudzoziemcowi, o którym mowa w art. 9 ust. 2 ustawy z dnia 15 czerwca 2012 r. o skutkach powierzania wykonywania pracy cudzoziemcom przebywającym wbrew przepisom na terytorium Rzeczypospolitej Polskiej;</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pPr>
        <w:pStyle w:val="ListParagraph"/>
        <w:widowControl/>
        <w:numPr>
          <w:ilvl w:val="0"/>
          <w:numId w:val="12"/>
        </w:numPr>
        <w:suppressAutoHyphens w:val="false"/>
        <w:spacing w:before="40" w:after="0"/>
        <w:ind w:left="1134" w:right="0" w:hanging="284"/>
        <w:contextualSpacing/>
        <w:jc w:val="both"/>
        <w:rPr>
          <w:rFonts w:ascii="Times New Roman" w:hAnsi="Times New Roman" w:cs="Calibri"/>
          <w:sz w:val="22"/>
          <w:szCs w:val="22"/>
        </w:rPr>
      </w:pPr>
      <w:r>
        <w:rPr>
          <w:rFonts w:cs="Calibri"/>
          <w:sz w:val="22"/>
          <w:szCs w:val="22"/>
        </w:rPr>
        <w:t>o którym mowa w art. 9 ust. 1 i 3 lub art. 10 ustawy z dnia 15 czerwca 2012 r. o skutkach powierzania wykonywania pracy cudzoziemcom przebywającym wbrew przepisom na terytorium Rzeczypospolitej Polskiej:</w:t>
      </w:r>
    </w:p>
    <w:p>
      <w:pPr>
        <w:pStyle w:val="ListParagraph"/>
        <w:widowControl/>
        <w:suppressAutoHyphens w:val="false"/>
        <w:spacing w:before="40" w:after="0"/>
        <w:ind w:left="851" w:right="0" w:hanging="0"/>
        <w:contextualSpacing/>
        <w:jc w:val="both"/>
        <w:rPr>
          <w:rFonts w:ascii="Times New Roman" w:hAnsi="Times New Roman" w:cs="Calibri"/>
          <w:sz w:val="22"/>
          <w:szCs w:val="22"/>
        </w:rPr>
      </w:pPr>
      <w:r>
        <w:rPr>
          <w:rFonts w:cs="Calibri"/>
          <w:sz w:val="22"/>
          <w:szCs w:val="22"/>
        </w:rPr>
        <w:t xml:space="preserve">– </w:t>
      </w:r>
      <w:r>
        <w:rPr>
          <w:rFonts w:cs="Calibri"/>
          <w:sz w:val="22"/>
          <w:szCs w:val="22"/>
        </w:rPr>
        <w:t>lub za odpowiedni czyn zabroniony określony w przepisach prawa obcego;</w:t>
      </w:r>
    </w:p>
    <w:p>
      <w:pPr>
        <w:pStyle w:val="ListParagraph"/>
        <w:widowControl/>
        <w:numPr>
          <w:ilvl w:val="0"/>
          <w:numId w:val="11"/>
        </w:numPr>
        <w:suppressAutoHyphens w:val="false"/>
        <w:spacing w:before="80" w:after="0"/>
        <w:ind w:left="850" w:right="0" w:hanging="425"/>
        <w:contextualSpacing/>
        <w:jc w:val="both"/>
        <w:rPr>
          <w:rFonts w:ascii="Times New Roman" w:hAnsi="Times New Roman" w:cs="Calibri"/>
          <w:sz w:val="22"/>
          <w:szCs w:val="22"/>
        </w:rPr>
      </w:pPr>
      <w:r>
        <w:rPr>
          <w:rFonts w:cs="Calibri"/>
          <w:sz w:val="22"/>
          <w:szCs w:val="22"/>
        </w:rPr>
        <w:t>jeżeli urzędującego członka jego organu zarządzającego lub nadzorczego, w wspólnika spółki w spółce jawnej lub partnerskiej albo komplementariusza spółce komandytowej lub komandytowo-akcyjnej lub prokurenta prawomocnie skazano za przestępstwo, o którym mowa w pkt 1;</w:t>
      </w:r>
    </w:p>
    <w:p>
      <w:pPr>
        <w:pStyle w:val="ListParagraph"/>
        <w:widowControl/>
        <w:numPr>
          <w:ilvl w:val="0"/>
          <w:numId w:val="11"/>
        </w:numPr>
        <w:suppressAutoHyphens w:val="false"/>
        <w:spacing w:before="80" w:after="0"/>
        <w:ind w:left="850" w:right="0" w:hanging="425"/>
        <w:contextualSpacing/>
        <w:jc w:val="both"/>
        <w:rPr>
          <w:rFonts w:ascii="Times New Roman" w:hAnsi="Times New Roman" w:cs="Calibri"/>
          <w:sz w:val="22"/>
          <w:szCs w:val="22"/>
        </w:rPr>
      </w:pPr>
      <w:r>
        <w:rPr>
          <w:rFonts w:cs="Calibri"/>
          <w:sz w:val="22"/>
          <w:szCs w:val="22"/>
        </w:rPr>
        <w:t>wobec którego wydano prawomocny wyrok sądu lub ostateczną decyzje,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pPr>
        <w:pStyle w:val="ListParagraph"/>
        <w:widowControl/>
        <w:numPr>
          <w:ilvl w:val="0"/>
          <w:numId w:val="11"/>
        </w:numPr>
        <w:suppressAutoHyphens w:val="false"/>
        <w:spacing w:before="80" w:after="0"/>
        <w:ind w:left="850" w:right="0" w:hanging="425"/>
        <w:contextualSpacing/>
        <w:jc w:val="both"/>
        <w:rPr>
          <w:rFonts w:ascii="Times New Roman" w:hAnsi="Times New Roman" w:cs="Calibri"/>
          <w:sz w:val="22"/>
          <w:szCs w:val="22"/>
        </w:rPr>
      </w:pPr>
      <w:r>
        <w:rPr>
          <w:rFonts w:cs="Calibri"/>
          <w:sz w:val="22"/>
          <w:szCs w:val="22"/>
        </w:rPr>
        <w:t>wobec którego prawomocnie orzeczono zakaz ubiegania się o zamówienia publiczne;</w:t>
      </w:r>
    </w:p>
    <w:p>
      <w:pPr>
        <w:pStyle w:val="ListParagraph"/>
        <w:widowControl/>
        <w:numPr>
          <w:ilvl w:val="0"/>
          <w:numId w:val="11"/>
        </w:numPr>
        <w:suppressAutoHyphens w:val="false"/>
        <w:spacing w:before="80" w:after="0"/>
        <w:ind w:left="850" w:right="0" w:hanging="425"/>
        <w:contextualSpacing/>
        <w:jc w:val="both"/>
        <w:rPr>
          <w:rFonts w:ascii="Times New Roman" w:hAnsi="Times New Roman"/>
          <w:sz w:val="22"/>
          <w:szCs w:val="22"/>
        </w:rPr>
      </w:pPr>
      <w:r>
        <w:rPr>
          <w:rFonts w:cs="Calibri"/>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(Dz. U. z 2025 r. poz. 1714), złożyli odrębne oferty, oferty częściowe lub wnioski o dopuszczenie do udziału w postępowaniu, chyba że wykażą, że przygotowali te oferty lub wnioski niezależnie od siebie; </w:t>
      </w:r>
    </w:p>
    <w:p>
      <w:pPr>
        <w:pStyle w:val="ListParagraph"/>
        <w:widowControl/>
        <w:numPr>
          <w:ilvl w:val="0"/>
          <w:numId w:val="11"/>
        </w:numPr>
        <w:suppressAutoHyphens w:val="false"/>
        <w:spacing w:before="80" w:after="0"/>
        <w:ind w:left="850" w:right="0" w:hanging="425"/>
        <w:contextualSpacing/>
        <w:jc w:val="both"/>
        <w:rPr>
          <w:rFonts w:ascii="Times New Roman" w:hAnsi="Times New Roman" w:cs="Calibri"/>
          <w:sz w:val="22"/>
          <w:szCs w:val="22"/>
        </w:rPr>
      </w:pPr>
      <w:r>
        <w:rPr>
          <w:rFonts w:cs="Calibri"/>
          <w:sz w:val="22"/>
          <w:szCs w:val="22"/>
        </w:rPr>
        <w:t xml:space="preserve">jeżeli, w przypadku, o których mowa w art. 85 ust. 1 ustawy PZP, doszło do zakłócenia konkurencji wynikającego z wcześniejszego zaangażowania tego Wykonawcy lub podmiotu, który należy z Wykonawcą do tej samej grupy kapitałowej w rozumieniu ustawy o ochronie konkurencji i konsumentów, chyba że spowodowane tym zakłócenie konkurencji może być wyeliminowane w inny sposób niż przez wykluczenie Wykonawcy z udziału w postępowaniu o udzielenie zamówienia. </w:t>
      </w:r>
    </w:p>
    <w:p>
      <w:pPr>
        <w:pStyle w:val="ListParagraph"/>
        <w:widowControl/>
        <w:numPr>
          <w:ilvl w:val="6"/>
          <w:numId w:val="1"/>
        </w:numPr>
        <w:suppressAutoHyphens w:val="false"/>
        <w:spacing w:before="120" w:after="0"/>
        <w:ind w:left="425" w:right="0" w:hanging="425"/>
        <w:contextualSpacing/>
        <w:jc w:val="both"/>
        <w:rPr>
          <w:rFonts w:ascii="Times New Roman" w:hAnsi="Times New Roman"/>
          <w:sz w:val="22"/>
          <w:szCs w:val="22"/>
        </w:rPr>
      </w:pPr>
      <w:r>
        <w:rPr>
          <w:rFonts w:cs="Calibri"/>
          <w:sz w:val="22"/>
          <w:szCs w:val="22"/>
        </w:rPr>
        <w:t>Ponadto z</w:t>
      </w:r>
      <w:r>
        <w:rPr>
          <w:rFonts w:eastAsia="Times New Roman" w:cs="Calibri"/>
          <w:sz w:val="22"/>
          <w:szCs w:val="22"/>
          <w:lang w:eastAsia="pl-PL"/>
        </w:rPr>
        <w:t xml:space="preserve"> postępowania o udzielenie zamówienia Zamawiający może wykluczyć Wykonawcę:</w:t>
      </w:r>
    </w:p>
    <w:p>
      <w:pPr>
        <w:pStyle w:val="Normal"/>
        <w:widowControl/>
        <w:numPr>
          <w:ilvl w:val="0"/>
          <w:numId w:val="13"/>
        </w:numPr>
        <w:suppressAutoHyphens w:val="false"/>
        <w:spacing w:before="80" w:after="0"/>
        <w:ind w:left="850" w:right="0" w:hanging="425"/>
        <w:jc w:val="both"/>
        <w:rPr>
          <w:rFonts w:ascii="Times New Roman" w:hAnsi="Times New Roman" w:eastAsia="Times New Roman" w:cs="Calibri"/>
          <w:sz w:val="22"/>
          <w:szCs w:val="22"/>
          <w:lang w:eastAsia="pl-PL"/>
        </w:rPr>
      </w:pPr>
      <w:r>
        <w:rPr>
          <w:rFonts w:eastAsia="Times New Roman" w:cs="Calibri"/>
          <w:sz w:val="22"/>
          <w:szCs w:val="22"/>
          <w:lang w:eastAsia="pl-PL"/>
        </w:rPr>
        <w:t>który naruszył obowiązki dotyczące płatności podatków, opłat lub składek na ubezpieczenia społeczne lub zdrowotne, z wyjątkiem przypadku, o którym mowa w art. 108 ust. 1 pkt 3 ustawy PZP,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pPr>
        <w:pStyle w:val="Normal"/>
        <w:widowControl/>
        <w:numPr>
          <w:ilvl w:val="0"/>
          <w:numId w:val="13"/>
        </w:numPr>
        <w:suppressAutoHyphens w:val="false"/>
        <w:spacing w:before="80" w:after="0"/>
        <w:ind w:left="850" w:right="0" w:hanging="425"/>
        <w:jc w:val="both"/>
        <w:rPr>
          <w:rFonts w:ascii="Times New Roman" w:hAnsi="Times New Roman" w:cs="Calibri"/>
          <w:sz w:val="22"/>
          <w:szCs w:val="22"/>
        </w:rPr>
      </w:pPr>
      <w:r>
        <w:rPr>
          <w:rFonts w:cs="Calibri"/>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pPr>
        <w:pStyle w:val="ListParagraph"/>
        <w:widowControl/>
        <w:numPr>
          <w:ilvl w:val="6"/>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 xml:space="preserve">Wykluczenie Wykonawcy następuje zgodnie z art. 111 ustawy PZP. </w:t>
      </w:r>
    </w:p>
    <w:p>
      <w:pPr>
        <w:pStyle w:val="ListParagraph"/>
        <w:widowControl/>
        <w:numPr>
          <w:ilvl w:val="6"/>
          <w:numId w:val="1"/>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Wykonawca może zostać wykluczony przez Zamawiającego na każdym etapie postępowania o udzielenie zamówienia.</w:t>
      </w:r>
    </w:p>
    <w:p>
      <w:pPr>
        <w:pStyle w:val="ListParagraph"/>
        <w:widowControl/>
        <w:numPr>
          <w:ilvl w:val="6"/>
          <w:numId w:val="1"/>
        </w:numPr>
        <w:suppressAutoHyphens w:val="false"/>
        <w:spacing w:before="120" w:after="0"/>
        <w:ind w:left="425" w:right="0" w:hanging="425"/>
        <w:contextualSpacing/>
        <w:jc w:val="both"/>
        <w:rPr>
          <w:rFonts w:ascii="Times New Roman" w:hAnsi="Times New Roman"/>
          <w:sz w:val="22"/>
          <w:szCs w:val="22"/>
        </w:rPr>
      </w:pPr>
      <w:r>
        <w:rPr>
          <w:rFonts w:cs="Calibri"/>
          <w:spacing w:val="-2"/>
          <w:sz w:val="22"/>
          <w:szCs w:val="22"/>
        </w:rPr>
        <w:t xml:space="preserve">Ponadto Zamawiający wyklucza Wykonawców, w stosunku do których zachodzi okoliczność wskazana w </w:t>
      </w:r>
      <w:r>
        <w:rPr>
          <w:rFonts w:cs="Calibri"/>
          <w:sz w:val="22"/>
          <w:szCs w:val="22"/>
        </w:rPr>
        <w:t xml:space="preserve">art. 7 ust. 1 </w:t>
      </w:r>
      <w:r>
        <w:rPr>
          <w:rFonts w:eastAsia="Times New Roman" w:cs="Calibri"/>
          <w:sz w:val="22"/>
          <w:szCs w:val="22"/>
          <w:lang w:eastAsia="zh-CN"/>
        </w:rPr>
        <w:t>ustawy z dnia 13 kwietnia 2022 r. o szczególnych rozwiązaniach w zakresie przeciwdziałania wspieraniu agresji na Ukrainę oraz służących ochronie bezpieczeństwa narodowego (Dz. U. z 2025r. poz. 514) zwanej dalej: „ustawą UOBN”.</w:t>
      </w:r>
    </w:p>
    <w:p>
      <w:pPr>
        <w:pStyle w:val="ListParagraph"/>
        <w:widowControl/>
        <w:numPr>
          <w:ilvl w:val="6"/>
          <w:numId w:val="1"/>
        </w:numPr>
        <w:suppressAutoHyphens w:val="false"/>
        <w:spacing w:before="120" w:after="0"/>
        <w:ind w:left="425" w:right="0" w:hanging="425"/>
        <w:contextualSpacing/>
        <w:jc w:val="both"/>
        <w:rPr>
          <w:rFonts w:ascii="Times New Roman" w:hAnsi="Times New Roman" w:eastAsia="Times New Roman" w:cs="Calibri"/>
          <w:sz w:val="22"/>
          <w:szCs w:val="22"/>
          <w:lang w:eastAsia="zh-CN"/>
        </w:rPr>
      </w:pPr>
      <w:r>
        <w:rPr>
          <w:rFonts w:eastAsia="Times New Roman" w:cs="Calibri"/>
          <w:sz w:val="22"/>
          <w:szCs w:val="22"/>
          <w:lang w:eastAsia="zh-CN"/>
        </w:rPr>
        <w:t>W przypadku posiadania certyfikatu potwierdzającego brak podstaw wykluczenia wykonawca może przedłożyć certyfikat zamiast dokumentów wymaganych przez Zamawiającego w zakresie objętym certyfikacją.</w:t>
      </w:r>
    </w:p>
    <w:p>
      <w:pPr>
        <w:pStyle w:val="ListParagraph"/>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15. Sposób obliczenia ceny</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sz w:val="22"/>
          <w:szCs w:val="22"/>
        </w:rPr>
      </w:pPr>
      <w:r>
        <w:rPr>
          <w:rFonts w:cs="Calibri"/>
          <w:sz w:val="22"/>
          <w:szCs w:val="22"/>
        </w:rPr>
        <w:t xml:space="preserve">Wykonawca poda cenę oferty w Formularzu Oferty sporządzonym według wzoru stanowiącego </w:t>
      </w:r>
      <w:r>
        <w:rPr>
          <w:rFonts w:cs="Calibri"/>
          <w:bCs/>
          <w:sz w:val="22"/>
          <w:szCs w:val="22"/>
        </w:rPr>
        <w:t xml:space="preserve">Załącznik nr 1 do SWZ, </w:t>
      </w:r>
      <w:r>
        <w:rPr>
          <w:rFonts w:cs="Calibri"/>
          <w:sz w:val="22"/>
          <w:szCs w:val="22"/>
        </w:rPr>
        <w:t>jako cenę brutto (z uwzględnieniem kwoty podatku od towarów i usług (VAT) z wyszczególnieniem stawki podatku od towarów i usług (VAT, o ile dotyczy).</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cs="Calibri"/>
          <w:sz w:val="22"/>
          <w:szCs w:val="22"/>
        </w:rPr>
      </w:pPr>
      <w:r>
        <w:rPr>
          <w:rFonts w:cs="Calibri"/>
          <w:sz w:val="22"/>
          <w:szCs w:val="22"/>
        </w:rPr>
        <w:t>Cena oferty stanowi wynagrodzenie ryczałtowe.</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cs="Calibri"/>
          <w:sz w:val="22"/>
          <w:szCs w:val="22"/>
        </w:rPr>
      </w:pPr>
      <w:r>
        <w:rPr>
          <w:rFonts w:cs="Calibri"/>
          <w:sz w:val="22"/>
          <w:szCs w:val="22"/>
        </w:rPr>
        <w:t xml:space="preserve">Cena ofertowa musi obejmować wszystkie koszty niezbędne do wykonania całości przedmiotu zamówienia. </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cs="Calibri"/>
          <w:sz w:val="22"/>
          <w:szCs w:val="22"/>
        </w:rPr>
      </w:pPr>
      <w:r>
        <w:rPr>
          <w:rFonts w:cs="Calibri"/>
          <w:sz w:val="22"/>
          <w:szCs w:val="22"/>
        </w:rPr>
        <w:t>Cena musi być wyrażona w złotych polskich (PLN), z dokładnością nie większą niż dwa miejsca po przecinku.</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cs="Calibri"/>
          <w:sz w:val="22"/>
          <w:szCs w:val="22"/>
        </w:rPr>
      </w:pPr>
      <w:r>
        <w:rPr>
          <w:rFonts w:cs="Calibri"/>
          <w:sz w:val="22"/>
          <w:szCs w:val="22"/>
        </w:rPr>
        <w:t xml:space="preserve">Rozliczenia między Zamawiającym a Wykonawcą będą prowadzone w złotych polskich (PLN). </w:t>
      </w:r>
    </w:p>
    <w:p>
      <w:pPr>
        <w:pStyle w:val="ListParagraph"/>
        <w:widowControl/>
        <w:numPr>
          <w:ilvl w:val="3"/>
          <w:numId w:val="4"/>
        </w:numPr>
        <w:suppressAutoHyphens w:val="false"/>
        <w:spacing w:lineRule="auto" w:line="259" w:before="60" w:after="0"/>
        <w:ind w:left="425" w:right="0" w:hanging="425"/>
        <w:contextualSpacing/>
        <w:jc w:val="both"/>
        <w:rPr>
          <w:rFonts w:ascii="Times New Roman" w:hAnsi="Times New Roman"/>
          <w:sz w:val="22"/>
          <w:szCs w:val="22"/>
        </w:rPr>
      </w:pPr>
      <w:r>
        <w:rPr>
          <w:rFonts w:cs="Calibri"/>
          <w:sz w:val="22"/>
          <w:szCs w:val="22"/>
        </w:rPr>
        <w:t xml:space="preserve">Jeżeli złożono ofertę, której wybór prowadziłby do powstania u Zamawiającego obowiązku podatkowego zgodnie z przepisami o podatku od towarów i usług, do celów zastosowania kryterium ceny Zamawiający dolicza do przedstawionej w tej ofercie ceny kwotę podatku od towarów i usług, którą miałby obowiązek rozliczyć. Wykonawca składając ofertę, informuje Zamawiającego, czy wybór oferty będzie prowadzić do powstania u Zamawiającego obowiązku podatkowego, wskazując nazwę (rodzaj) towaru lub usług, których dostawa lub świadczenie będzie prowadzić do jego powstania, wskazując ich wartość bez kwoty podatku oraz wskazując stawkę podatku od towarów i usług, która zgodnie z wiedzą Wykonawcy, będzie miała zastosowanie. </w:t>
      </w:r>
    </w:p>
    <w:p>
      <w:pPr>
        <w:pStyle w:val="ListParagraph"/>
        <w:widowControl/>
        <w:suppressAutoHyphens w:val="false"/>
        <w:spacing w:lineRule="auto" w:line="259"/>
        <w:ind w:left="0" w:right="0" w:hanging="0"/>
        <w:jc w:val="both"/>
        <w:rPr>
          <w:rFonts w:ascii="Times New Roman" w:hAnsi="Times New Roman" w:cs="Calibri"/>
          <w:sz w:val="22"/>
          <w:szCs w:val="22"/>
        </w:rPr>
      </w:pPr>
      <w:r>
        <w:rPr>
          <w:rFonts w:cs="Calibri"/>
          <w:sz w:val="22"/>
          <w:szCs w:val="22"/>
        </w:rPr>
      </w:r>
    </w:p>
    <w:p>
      <w:pPr>
        <w:pStyle w:val="ListParagraph"/>
        <w:widowControl/>
        <w:suppressAutoHyphens w:val="false"/>
        <w:spacing w:lineRule="auto" w:line="259"/>
        <w:ind w:left="0" w:right="0" w:hanging="0"/>
        <w:jc w:val="center"/>
        <w:rPr>
          <w:rFonts w:ascii="Times New Roman" w:hAnsi="Times New Roman" w:cs="Calibri"/>
          <w:b/>
          <w:b/>
          <w:sz w:val="22"/>
          <w:szCs w:val="22"/>
          <w:highlight w:val="lightGray"/>
        </w:rPr>
      </w:pPr>
      <w:r>
        <w:rPr>
          <w:rFonts w:cs="Calibri"/>
          <w:b/>
          <w:sz w:val="22"/>
          <w:szCs w:val="22"/>
          <w:highlight w:val="lightGray"/>
        </w:rPr>
        <w:t>§ 16. Opis kryteriów oceny ofert, wraz z podaniem wag tych kryteriów, i sposobu oceny ofert</w:t>
      </w:r>
    </w:p>
    <w:p>
      <w:pPr>
        <w:pStyle w:val="Normal"/>
        <w:widowControl/>
        <w:numPr>
          <w:ilvl w:val="0"/>
          <w:numId w:val="5"/>
        </w:numPr>
        <w:suppressAutoHyphens w:val="false"/>
        <w:spacing w:before="120" w:after="0"/>
        <w:ind w:left="425" w:right="0" w:hanging="425"/>
        <w:jc w:val="both"/>
        <w:rPr>
          <w:rFonts w:ascii="Times New Roman" w:hAnsi="Times New Roman"/>
          <w:sz w:val="22"/>
          <w:szCs w:val="22"/>
        </w:rPr>
      </w:pPr>
      <w:r>
        <w:rPr>
          <w:rFonts w:cs="Calibri"/>
          <w:sz w:val="22"/>
          <w:szCs w:val="22"/>
        </w:rPr>
        <w:t>Przy wyborze oferty zamawiający będzie się kierował następującymi kryteriami dla części 1 i 2:</w:t>
      </w:r>
      <w:r>
        <w:rPr>
          <w:rFonts w:cs="Calibri"/>
          <w:b/>
          <w:bCs/>
          <w:sz w:val="22"/>
          <w:szCs w:val="22"/>
        </w:rPr>
        <w:t xml:space="preserve"> </w:t>
      </w:r>
      <w:r>
        <w:rPr>
          <w:rFonts w:cs="Calibri"/>
          <w:sz w:val="22"/>
          <w:szCs w:val="22"/>
        </w:rPr>
        <w:t>cena oferty oraz okres gwarancji jakości.</w:t>
      </w:r>
    </w:p>
    <w:p>
      <w:pPr>
        <w:pStyle w:val="Normal"/>
        <w:widowControl/>
        <w:numPr>
          <w:ilvl w:val="0"/>
          <w:numId w:val="5"/>
        </w:numPr>
        <w:suppressAutoHyphens w:val="false"/>
        <w:spacing w:before="120" w:after="0"/>
        <w:ind w:left="425" w:right="0" w:hanging="425"/>
        <w:jc w:val="both"/>
        <w:rPr>
          <w:rFonts w:ascii="Times New Roman" w:hAnsi="Times New Roman" w:cs="Calibri"/>
          <w:sz w:val="22"/>
          <w:szCs w:val="22"/>
        </w:rPr>
      </w:pPr>
      <w:r>
        <w:rPr>
          <w:rFonts w:cs="Calibri"/>
          <w:sz w:val="22"/>
          <w:szCs w:val="22"/>
        </w:rPr>
        <w:t>Za najkorzystniejszą zostanie uznana oferta, która uzyska łącznie największą liczbę punktów w każdej części w poniższych kryteriach.</w:t>
      </w:r>
    </w:p>
    <w:p>
      <w:pPr>
        <w:pStyle w:val="Normal"/>
        <w:widowControl/>
        <w:numPr>
          <w:ilvl w:val="0"/>
          <w:numId w:val="5"/>
        </w:numPr>
        <w:suppressAutoHyphens w:val="false"/>
        <w:spacing w:before="120" w:after="0"/>
        <w:ind w:left="425" w:right="0" w:hanging="425"/>
        <w:jc w:val="both"/>
        <w:rPr>
          <w:rFonts w:ascii="Times New Roman" w:hAnsi="Times New Roman" w:cs="Calibri"/>
          <w:sz w:val="22"/>
          <w:szCs w:val="22"/>
        </w:rPr>
      </w:pPr>
      <w:r>
        <w:rPr>
          <w:rFonts w:cs="Calibri"/>
          <w:sz w:val="22"/>
          <w:szCs w:val="22"/>
        </w:rPr>
        <w:t>Oferty będą oceniane według następujących kryteriów i wag:</w:t>
      </w:r>
    </w:p>
    <w:p>
      <w:pPr>
        <w:pStyle w:val="Normal"/>
        <w:widowControl/>
        <w:numPr>
          <w:ilvl w:val="0"/>
          <w:numId w:val="6"/>
        </w:numPr>
        <w:suppressAutoHyphens w:val="false"/>
        <w:spacing w:before="60" w:after="0"/>
        <w:ind w:left="850" w:right="0" w:hanging="425"/>
        <w:jc w:val="both"/>
        <w:rPr>
          <w:rFonts w:ascii="Times New Roman" w:hAnsi="Times New Roman" w:cs="Calibri"/>
          <w:sz w:val="22"/>
          <w:szCs w:val="22"/>
        </w:rPr>
      </w:pPr>
      <w:r>
        <w:rPr>
          <w:rFonts w:cs="Calibri"/>
          <w:sz w:val="22"/>
          <w:szCs w:val="22"/>
        </w:rPr>
        <w:t xml:space="preserve">Cena oferty </w:t>
        <w:tab/>
        <w:tab/>
        <w:tab/>
        <w:t>– 60% (max. 60 pkt)</w:t>
      </w:r>
    </w:p>
    <w:p>
      <w:pPr>
        <w:pStyle w:val="Normal"/>
        <w:widowControl/>
        <w:numPr>
          <w:ilvl w:val="0"/>
          <w:numId w:val="6"/>
        </w:numPr>
        <w:suppressAutoHyphens w:val="false"/>
        <w:spacing w:before="60" w:after="0"/>
        <w:ind w:left="850" w:right="0" w:hanging="425"/>
        <w:jc w:val="both"/>
        <w:rPr>
          <w:rFonts w:ascii="Times New Roman" w:hAnsi="Times New Roman" w:cs="Calibri"/>
          <w:sz w:val="22"/>
          <w:szCs w:val="22"/>
        </w:rPr>
      </w:pPr>
      <w:r>
        <w:rPr>
          <w:rFonts w:cs="Calibri"/>
          <w:sz w:val="22"/>
          <w:szCs w:val="22"/>
        </w:rPr>
        <w:t xml:space="preserve">Okres gwarancji jakości </w:t>
        <w:tab/>
        <w:t xml:space="preserve">– 40% (max. 40 pkt) </w:t>
      </w:r>
    </w:p>
    <w:p>
      <w:pPr>
        <w:pStyle w:val="Normal"/>
        <w:widowControl/>
        <w:numPr>
          <w:ilvl w:val="0"/>
          <w:numId w:val="5"/>
        </w:numPr>
        <w:suppressAutoHyphens w:val="false"/>
        <w:spacing w:before="120" w:after="0"/>
        <w:ind w:left="425" w:right="0" w:hanging="425"/>
        <w:jc w:val="both"/>
        <w:rPr>
          <w:rFonts w:ascii="Times New Roman" w:hAnsi="Times New Roman" w:cs="Calibri"/>
          <w:sz w:val="22"/>
          <w:szCs w:val="22"/>
        </w:rPr>
      </w:pPr>
      <w:r>
        <w:rPr>
          <w:rFonts w:cs="Calibri"/>
          <w:sz w:val="22"/>
          <w:szCs w:val="22"/>
        </w:rPr>
        <w:t>Ocena ofert będzie dokonywana wg poniższych zasad:</w:t>
      </w:r>
    </w:p>
    <w:p>
      <w:pPr>
        <w:pStyle w:val="Normal"/>
        <w:widowControl/>
        <w:suppressAutoHyphens w:val="false"/>
        <w:spacing w:before="120" w:after="0"/>
        <w:ind w:left="425" w:right="0" w:hanging="0"/>
        <w:jc w:val="both"/>
        <w:rPr>
          <w:rFonts w:ascii="Times New Roman" w:hAnsi="Times New Roman"/>
          <w:sz w:val="22"/>
          <w:szCs w:val="22"/>
        </w:rPr>
      </w:pPr>
      <w:r>
        <w:rPr>
          <w:rFonts w:cs="Calibri"/>
          <w:sz w:val="22"/>
          <w:szCs w:val="22"/>
          <w:u w:val="single"/>
        </w:rPr>
        <w:t>Ocena kryterium „cena oferty”</w:t>
      </w:r>
      <w:r>
        <w:rPr>
          <w:rFonts w:cs="Calibri"/>
          <w:sz w:val="22"/>
          <w:szCs w:val="22"/>
        </w:rPr>
        <w:t xml:space="preserve"> – będzie przeprowadzana wg następującego wzoru matematycznego:</w:t>
      </w:r>
    </w:p>
    <w:p>
      <w:pPr>
        <w:pStyle w:val="Normal"/>
        <w:widowControl/>
        <w:suppressAutoHyphens w:val="false"/>
        <w:spacing w:before="60" w:after="0"/>
        <w:ind w:left="425" w:right="0" w:hanging="0"/>
        <w:jc w:val="center"/>
        <w:rPr>
          <w:rFonts w:ascii="Times New Roman" w:hAnsi="Times New Roman"/>
          <w:sz w:val="22"/>
          <w:szCs w:val="22"/>
        </w:rPr>
      </w:pPr>
      <w:r>
        <w:rPr>
          <w:rFonts w:cs="Calibri"/>
          <w:sz w:val="22"/>
          <w:szCs w:val="22"/>
        </w:rPr>
        <w:t>C= (C</w:t>
      </w:r>
      <w:r>
        <w:rPr>
          <w:rFonts w:cs="Calibri"/>
          <w:sz w:val="22"/>
          <w:szCs w:val="22"/>
          <w:vertAlign w:val="subscript"/>
        </w:rPr>
        <w:t>min</w:t>
      </w:r>
      <w:r>
        <w:rPr>
          <w:rFonts w:cs="Calibri"/>
          <w:sz w:val="22"/>
          <w:szCs w:val="22"/>
        </w:rPr>
        <w:t xml:space="preserve"> / C</w:t>
      </w:r>
      <w:r>
        <w:rPr>
          <w:rFonts w:cs="Calibri"/>
          <w:sz w:val="22"/>
          <w:szCs w:val="22"/>
          <w:vertAlign w:val="subscript"/>
        </w:rPr>
        <w:t>o</w:t>
      </w:r>
      <w:r>
        <w:rPr>
          <w:rFonts w:cs="Calibri"/>
          <w:sz w:val="22"/>
          <w:szCs w:val="22"/>
        </w:rPr>
        <w:t>) x 60 % x 100</w:t>
      </w:r>
    </w:p>
    <w:p>
      <w:pPr>
        <w:pStyle w:val="Normal"/>
        <w:ind w:left="425" w:right="0" w:hanging="0"/>
        <w:jc w:val="both"/>
        <w:rPr>
          <w:rFonts w:ascii="Times New Roman" w:hAnsi="Times New Roman" w:cs="Calibri"/>
          <w:sz w:val="22"/>
          <w:szCs w:val="22"/>
        </w:rPr>
      </w:pPr>
      <w:r>
        <w:rPr>
          <w:rFonts w:cs="Calibri"/>
          <w:sz w:val="22"/>
          <w:szCs w:val="22"/>
        </w:rPr>
        <w:t>gdzie:</w:t>
      </w:r>
    </w:p>
    <w:p>
      <w:pPr>
        <w:pStyle w:val="Normal"/>
        <w:ind w:left="426" w:right="0" w:hanging="0"/>
        <w:jc w:val="both"/>
        <w:rPr>
          <w:rFonts w:ascii="Times New Roman" w:hAnsi="Times New Roman"/>
          <w:sz w:val="22"/>
          <w:szCs w:val="22"/>
        </w:rPr>
      </w:pPr>
      <w:r>
        <w:rPr>
          <w:rFonts w:cs="Calibri"/>
          <w:sz w:val="22"/>
          <w:szCs w:val="22"/>
        </w:rPr>
        <w:t>C</w:t>
      </w:r>
      <w:r>
        <w:rPr>
          <w:rFonts w:cs="Calibri"/>
          <w:sz w:val="22"/>
          <w:szCs w:val="22"/>
          <w:vertAlign w:val="subscript"/>
        </w:rPr>
        <w:t>min</w:t>
      </w:r>
      <w:r>
        <w:rPr>
          <w:rFonts w:cs="Calibri"/>
          <w:sz w:val="22"/>
          <w:szCs w:val="22"/>
        </w:rPr>
        <w:t xml:space="preserve"> </w:t>
        <w:tab/>
        <w:t>– najniższa</w:t>
      </w:r>
      <w:r>
        <w:rPr>
          <w:rFonts w:cs="Calibri"/>
          <w:b/>
          <w:bCs/>
          <w:sz w:val="22"/>
          <w:szCs w:val="22"/>
        </w:rPr>
        <w:t xml:space="preserve"> </w:t>
      </w:r>
      <w:r>
        <w:rPr>
          <w:rFonts w:cs="Calibri"/>
          <w:sz w:val="22"/>
          <w:szCs w:val="22"/>
        </w:rPr>
        <w:t>cena spośród wszystkich ważnych ofert i nieodrzuconych;</w:t>
      </w:r>
    </w:p>
    <w:p>
      <w:pPr>
        <w:pStyle w:val="Normal"/>
        <w:ind w:left="426" w:right="0" w:hanging="0"/>
        <w:jc w:val="both"/>
        <w:rPr>
          <w:rFonts w:ascii="Times New Roman" w:hAnsi="Times New Roman"/>
          <w:sz w:val="22"/>
          <w:szCs w:val="22"/>
        </w:rPr>
      </w:pPr>
      <w:r>
        <w:rPr>
          <w:rFonts w:cs="Calibri"/>
          <w:sz w:val="22"/>
          <w:szCs w:val="22"/>
        </w:rPr>
        <w:t>C</w:t>
      </w:r>
      <w:r>
        <w:rPr>
          <w:rFonts w:cs="Calibri"/>
          <w:sz w:val="22"/>
          <w:szCs w:val="22"/>
          <w:vertAlign w:val="subscript"/>
        </w:rPr>
        <w:t>o</w:t>
      </w:r>
      <w:r>
        <w:rPr>
          <w:rFonts w:cs="Calibri"/>
          <w:sz w:val="22"/>
          <w:szCs w:val="22"/>
        </w:rPr>
        <w:t xml:space="preserve"> </w:t>
        <w:tab/>
        <w:tab/>
        <w:t>– cena ocenianej oferty;</w:t>
      </w:r>
    </w:p>
    <w:p>
      <w:pPr>
        <w:pStyle w:val="Normal"/>
        <w:ind w:left="426" w:right="0" w:hanging="0"/>
        <w:jc w:val="both"/>
        <w:rPr>
          <w:rFonts w:ascii="Times New Roman" w:hAnsi="Times New Roman" w:cs="Calibri"/>
          <w:sz w:val="22"/>
          <w:szCs w:val="22"/>
        </w:rPr>
      </w:pPr>
      <w:r>
        <w:rPr>
          <w:rFonts w:cs="Calibri"/>
          <w:sz w:val="22"/>
          <w:szCs w:val="22"/>
        </w:rPr>
        <w:t xml:space="preserve">C </w:t>
        <w:tab/>
        <w:tab/>
        <w:t>– liczba punktów za kryterium ceny.</w:t>
      </w:r>
    </w:p>
    <w:p>
      <w:pPr>
        <w:pStyle w:val="Normal"/>
        <w:spacing w:before="60" w:after="0"/>
        <w:ind w:left="425" w:right="0" w:hanging="0"/>
        <w:jc w:val="both"/>
        <w:rPr>
          <w:rFonts w:ascii="Times New Roman" w:hAnsi="Times New Roman" w:cs="Calibri"/>
          <w:sz w:val="22"/>
          <w:szCs w:val="22"/>
        </w:rPr>
      </w:pPr>
      <w:r>
        <w:rPr>
          <w:rFonts w:cs="Calibri"/>
          <w:sz w:val="22"/>
          <w:szCs w:val="22"/>
        </w:rPr>
        <w:t xml:space="preserve">W tym kryterium można uzyskać maksymalnie 60 punktów. Liczba punktów zostanie wyliczona do dwóch miejsc po przecinku. </w:t>
      </w:r>
    </w:p>
    <w:p>
      <w:pPr>
        <w:pStyle w:val="Normal"/>
        <w:spacing w:before="120" w:after="0"/>
        <w:ind w:left="425" w:right="0" w:hanging="0"/>
        <w:jc w:val="both"/>
        <w:rPr>
          <w:rFonts w:ascii="Times New Roman" w:hAnsi="Times New Roman"/>
          <w:sz w:val="22"/>
          <w:szCs w:val="22"/>
        </w:rPr>
      </w:pPr>
      <w:r>
        <w:rPr>
          <w:rFonts w:cs="Calibri"/>
          <w:sz w:val="22"/>
          <w:szCs w:val="22"/>
          <w:u w:val="single"/>
        </w:rPr>
        <w:t>Ocena kryterium „okres gwarancji jakości”</w:t>
      </w:r>
      <w:r>
        <w:rPr>
          <w:rFonts w:cs="Calibri"/>
          <w:sz w:val="22"/>
          <w:szCs w:val="22"/>
        </w:rPr>
        <w:t xml:space="preserve"> – będzie przeprowadzana na podstawie długości terminu gwarancji na przedmiot zamówienia, podanego przez Wykonawcę w ofercie, przy czym najkrótszy możliwy okres gwarancji wymagany przez Zamawiającego wynosi 24 miesiące, a najdłuższy 59 miesięcy od daty podpisania protokołu odbioru końcowego i obliczona na podstawie następującego wzoru matematycznego:</w:t>
      </w:r>
    </w:p>
    <w:p>
      <w:pPr>
        <w:pStyle w:val="Normal"/>
        <w:spacing w:before="60" w:after="0"/>
        <w:ind w:left="425" w:right="0" w:hanging="0"/>
        <w:jc w:val="center"/>
        <w:rPr>
          <w:rFonts w:ascii="Times New Roman" w:hAnsi="Times New Roman"/>
          <w:sz w:val="22"/>
          <w:szCs w:val="22"/>
        </w:rPr>
      </w:pPr>
      <w:r>
        <w:rPr>
          <w:rFonts w:cs="Calibri"/>
          <w:sz w:val="22"/>
          <w:szCs w:val="22"/>
        </w:rPr>
        <w:t>G = (G</w:t>
      </w:r>
      <w:r>
        <w:rPr>
          <w:rFonts w:cs="Calibri"/>
          <w:sz w:val="22"/>
          <w:szCs w:val="22"/>
          <w:vertAlign w:val="subscript"/>
        </w:rPr>
        <w:t>o</w:t>
      </w:r>
      <w:r>
        <w:rPr>
          <w:rFonts w:cs="Calibri"/>
          <w:sz w:val="22"/>
          <w:szCs w:val="22"/>
        </w:rPr>
        <w:t xml:space="preserve"> / G</w:t>
      </w:r>
      <w:r>
        <w:rPr>
          <w:rFonts w:cs="Calibri"/>
          <w:sz w:val="22"/>
          <w:szCs w:val="22"/>
          <w:vertAlign w:val="subscript"/>
        </w:rPr>
        <w:t>max</w:t>
      </w:r>
      <w:r>
        <w:rPr>
          <w:rFonts w:cs="Calibri"/>
          <w:sz w:val="22"/>
          <w:szCs w:val="22"/>
        </w:rPr>
        <w:t>) x 40% x 100</w:t>
      </w:r>
    </w:p>
    <w:p>
      <w:pPr>
        <w:pStyle w:val="Normal"/>
        <w:ind w:left="425" w:right="0" w:hanging="0"/>
        <w:jc w:val="both"/>
        <w:rPr>
          <w:rFonts w:ascii="Times New Roman" w:hAnsi="Times New Roman" w:cs="Calibri"/>
          <w:sz w:val="22"/>
          <w:szCs w:val="22"/>
        </w:rPr>
      </w:pPr>
      <w:r>
        <w:rPr>
          <w:rFonts w:cs="Calibri"/>
          <w:sz w:val="22"/>
          <w:szCs w:val="22"/>
        </w:rPr>
        <w:t>gdzie:</w:t>
      </w:r>
    </w:p>
    <w:p>
      <w:pPr>
        <w:pStyle w:val="Normal"/>
        <w:ind w:left="426" w:right="0" w:hanging="0"/>
        <w:jc w:val="both"/>
        <w:rPr>
          <w:rFonts w:ascii="Times New Roman" w:hAnsi="Times New Roman" w:cs="Calibri"/>
          <w:sz w:val="22"/>
          <w:szCs w:val="22"/>
        </w:rPr>
      </w:pPr>
      <w:r>
        <w:rPr>
          <w:rFonts w:cs="Calibri"/>
          <w:sz w:val="22"/>
          <w:szCs w:val="22"/>
        </w:rPr>
        <w:t xml:space="preserve">G </w:t>
        <w:tab/>
        <w:tab/>
        <w:t>– liczba punktów za kryterium okres gwarancji jakości;</w:t>
      </w:r>
    </w:p>
    <w:p>
      <w:pPr>
        <w:pStyle w:val="Normal"/>
        <w:ind w:left="426" w:right="0" w:hanging="0"/>
        <w:jc w:val="both"/>
        <w:rPr>
          <w:rFonts w:ascii="Times New Roman" w:hAnsi="Times New Roman"/>
          <w:sz w:val="22"/>
          <w:szCs w:val="22"/>
        </w:rPr>
      </w:pPr>
      <w:r>
        <w:rPr>
          <w:rFonts w:cs="Calibri"/>
          <w:sz w:val="22"/>
          <w:szCs w:val="22"/>
        </w:rPr>
        <w:t>G</w:t>
      </w:r>
      <w:r>
        <w:rPr>
          <w:rFonts w:cs="Calibri"/>
          <w:sz w:val="22"/>
          <w:szCs w:val="22"/>
          <w:vertAlign w:val="subscript"/>
        </w:rPr>
        <w:t>o</w:t>
      </w:r>
      <w:r>
        <w:rPr>
          <w:rFonts w:cs="Calibri"/>
          <w:sz w:val="22"/>
          <w:szCs w:val="22"/>
        </w:rPr>
        <w:t xml:space="preserve"> </w:t>
        <w:tab/>
        <w:tab/>
        <w:t>– okres gwarancji ocenianej oferty;</w:t>
      </w:r>
    </w:p>
    <w:p>
      <w:pPr>
        <w:pStyle w:val="Normal"/>
        <w:ind w:left="1418" w:right="0" w:hanging="992"/>
        <w:jc w:val="both"/>
        <w:rPr>
          <w:rFonts w:ascii="Times New Roman" w:hAnsi="Times New Roman"/>
          <w:sz w:val="22"/>
          <w:szCs w:val="22"/>
        </w:rPr>
      </w:pPr>
      <w:r>
        <w:rPr>
          <w:rFonts w:cs="Calibri"/>
          <w:sz w:val="22"/>
          <w:szCs w:val="22"/>
        </w:rPr>
        <w:t>G</w:t>
      </w:r>
      <w:r>
        <w:rPr>
          <w:rFonts w:cs="Calibri"/>
          <w:sz w:val="22"/>
          <w:szCs w:val="22"/>
          <w:vertAlign w:val="subscript"/>
        </w:rPr>
        <w:t>max</w:t>
      </w:r>
      <w:r>
        <w:rPr>
          <w:rFonts w:cs="Calibri"/>
          <w:sz w:val="22"/>
          <w:szCs w:val="22"/>
        </w:rPr>
        <w:t xml:space="preserve"> </w:t>
        <w:tab/>
        <w:t>– najdłuższy zaoferowany okres gwarancji spośród wszystkich ważnych ofert i nieodrzuconych.</w:t>
      </w:r>
    </w:p>
    <w:p>
      <w:pPr>
        <w:pStyle w:val="Normal"/>
        <w:spacing w:before="60" w:after="0"/>
        <w:ind w:left="425" w:right="0" w:hanging="0"/>
        <w:jc w:val="both"/>
        <w:rPr>
          <w:rFonts w:ascii="Times New Roman" w:hAnsi="Times New Roman"/>
          <w:sz w:val="22"/>
          <w:szCs w:val="22"/>
        </w:rPr>
      </w:pPr>
      <w:r>
        <w:rPr>
          <w:rFonts w:cs="Calibri"/>
          <w:sz w:val="22"/>
          <w:szCs w:val="22"/>
        </w:rPr>
        <w:t xml:space="preserve">W tym kryterium można uzyskać maksymalnie 40 punktów. Liczba punktów zostanie wyliczona do dwóch miejsc po przecinkach. Zamawiający wymaga, aby okres gwarancji jakości był podany </w:t>
      </w:r>
      <w:r>
        <w:rPr>
          <w:rFonts w:cs="Calibri"/>
          <w:sz w:val="22"/>
          <w:szCs w:val="22"/>
          <w:u w:val="single"/>
        </w:rPr>
        <w:t>w miesiącach.</w:t>
      </w:r>
      <w:r>
        <w:rPr>
          <w:rFonts w:cs="Calibri"/>
          <w:sz w:val="22"/>
          <w:szCs w:val="22"/>
        </w:rPr>
        <w:t xml:space="preserve"> </w:t>
      </w:r>
    </w:p>
    <w:p>
      <w:pPr>
        <w:pStyle w:val="Normal"/>
        <w:spacing w:before="60" w:after="0"/>
        <w:ind w:left="425" w:right="0" w:hanging="0"/>
        <w:jc w:val="both"/>
        <w:rPr>
          <w:rFonts w:ascii="Times New Roman" w:hAnsi="Times New Roman" w:cs="Calibri"/>
          <w:sz w:val="22"/>
          <w:szCs w:val="22"/>
        </w:rPr>
      </w:pPr>
      <w:r>
        <w:rPr>
          <w:rFonts w:cs="Calibri"/>
          <w:sz w:val="22"/>
          <w:szCs w:val="22"/>
        </w:rPr>
        <w:t xml:space="preserve">Okres gwarancji jakości na przedmiot zamówienia należy określić w Formularzu oferty w miesiącach w liczbach całkowitych. </w:t>
      </w:r>
    </w:p>
    <w:p>
      <w:pPr>
        <w:pStyle w:val="Normal"/>
        <w:spacing w:before="60" w:after="0"/>
        <w:ind w:left="425" w:right="0" w:hanging="0"/>
        <w:jc w:val="both"/>
        <w:rPr>
          <w:rFonts w:ascii="Times New Roman" w:hAnsi="Times New Roman" w:cs="Calibri"/>
          <w:sz w:val="22"/>
          <w:szCs w:val="22"/>
        </w:rPr>
      </w:pPr>
      <w:r>
        <w:rPr>
          <w:rFonts w:cs="Calibri"/>
          <w:sz w:val="22"/>
          <w:szCs w:val="22"/>
        </w:rPr>
        <w:t>W przypadku niewypełnienia przez wykonawcę w formularzu ofertowym pola określającego długość okresu gwarancji jakości na przedmiot zamówienia, będzie to równoznaczne z udzieleniem gwarancji na okres 59 miesięcy. Oferta z niewypełnionym polem, w którym należało podać długości okresu gwarancji jakości, o którym mowa w zdaniu poprzednim będzie traktowana jako ważna, niepodlegająca odrzuceniu i zostanie poddana ocenie – pod warunkiem, iż nie będzie innym powodów skutkujących odrzuceniem takiej oferty. Jeżeli Wykonawca zaoferuje okres gwarancji krótszy niż 24 miesiące, oferta takiego Wykonawcy zostanie odrzucona jako niezgodna z warunkami zamówienia. Jeżeli Wykonawca zaoferuje okres gwarancji dłuższy niż 59 miesięcy, Zamawiający wpisze ten okres do umowy, natomiast do celów oceny ofert uzna, iż Wykonawca zaoferował okres gwarancji wynoszący 59 miesięcy.</w:t>
      </w:r>
    </w:p>
    <w:p>
      <w:pPr>
        <w:pStyle w:val="ListParagraph"/>
        <w:widowControl/>
        <w:numPr>
          <w:ilvl w:val="0"/>
          <w:numId w:val="5"/>
        </w:numPr>
        <w:suppressAutoHyphens w:val="false"/>
        <w:spacing w:lineRule="auto" w:line="276" w:before="120" w:after="0"/>
        <w:ind w:left="357" w:right="0" w:hanging="357"/>
        <w:contextualSpacing/>
        <w:jc w:val="both"/>
        <w:rPr>
          <w:rFonts w:ascii="Times New Roman" w:hAnsi="Times New Roman" w:cs="Calibri"/>
          <w:sz w:val="22"/>
          <w:szCs w:val="22"/>
        </w:rPr>
      </w:pPr>
      <w:r>
        <w:rPr>
          <w:rFonts w:cs="Calibri"/>
          <w:sz w:val="22"/>
          <w:szCs w:val="22"/>
        </w:rPr>
        <w:t>W toku badania i oceny ofert Zamawiający może żądać od Wykonawców wyjaśnień dotyczących treści złożonych przez nich ofert lub innych składnych dokumentów lub oświadczeń. Wykonawcy są zobowiązani do przedstawienia wyjaśnień w terminie wskazanym przez Zamawiającego.</w:t>
      </w:r>
    </w:p>
    <w:p>
      <w:pPr>
        <w:pStyle w:val="ListParagraph"/>
        <w:widowControl/>
        <w:numPr>
          <w:ilvl w:val="0"/>
          <w:numId w:val="5"/>
        </w:numPr>
        <w:suppressAutoHyphens w:val="false"/>
        <w:spacing w:lineRule="auto" w:line="276" w:before="120" w:after="0"/>
        <w:ind w:left="357" w:right="0" w:hanging="357"/>
        <w:contextualSpacing/>
        <w:jc w:val="both"/>
        <w:rPr>
          <w:rFonts w:ascii="Times New Roman" w:hAnsi="Times New Roman" w:cs="Calibri"/>
          <w:sz w:val="22"/>
          <w:szCs w:val="22"/>
        </w:rPr>
      </w:pPr>
      <w:r>
        <w:rPr>
          <w:rFonts w:cs="Calibri"/>
          <w:sz w:val="22"/>
          <w:szCs w:val="22"/>
        </w:rPr>
        <w:t>Zamawiający wybiera najkorzystniejszą ofertę, w terminie związania ofertą określonym w SWZ.</w:t>
      </w:r>
    </w:p>
    <w:p>
      <w:pPr>
        <w:pStyle w:val="ListParagraph"/>
        <w:widowControl/>
        <w:numPr>
          <w:ilvl w:val="0"/>
          <w:numId w:val="5"/>
        </w:numPr>
        <w:suppressAutoHyphens w:val="false"/>
        <w:spacing w:lineRule="auto" w:line="276" w:before="120" w:after="0"/>
        <w:ind w:left="357" w:right="0" w:hanging="357"/>
        <w:contextualSpacing/>
        <w:jc w:val="both"/>
        <w:rPr>
          <w:rFonts w:ascii="Times New Roman" w:hAnsi="Times New Roman" w:cs="Calibri"/>
          <w:sz w:val="22"/>
          <w:szCs w:val="22"/>
        </w:rPr>
      </w:pPr>
      <w:r>
        <w:rPr>
          <w:rFonts w:cs="Calibri"/>
          <w:sz w:val="22"/>
          <w:szCs w:val="22"/>
        </w:rPr>
        <w:t xml:space="preserve">Jeżeli termin związania ofertą upłynie przed wyborem najkorzystniejszej oferty, Zamawiający wezwie Wykonawcę, którego oferta otrzyma najwyższą ocenę, do wyrażenia, w wyznaczonym przez Zamawiającego terminie, pisemnej zgody na wybór jego oferty. </w:t>
      </w:r>
    </w:p>
    <w:p>
      <w:pPr>
        <w:pStyle w:val="ListParagraph"/>
        <w:widowControl/>
        <w:numPr>
          <w:ilvl w:val="0"/>
          <w:numId w:val="5"/>
        </w:numPr>
        <w:suppressAutoHyphens w:val="false"/>
        <w:spacing w:lineRule="auto" w:line="276" w:before="120" w:after="0"/>
        <w:ind w:left="357" w:right="0" w:hanging="357"/>
        <w:contextualSpacing/>
        <w:jc w:val="both"/>
        <w:rPr>
          <w:rFonts w:ascii="Times New Roman" w:hAnsi="Times New Roman" w:cs="Calibri"/>
          <w:sz w:val="22"/>
          <w:szCs w:val="22"/>
        </w:rPr>
      </w:pPr>
      <w:r>
        <w:rPr>
          <w:rFonts w:cs="Calibri"/>
          <w:sz w:val="22"/>
          <w:szCs w:val="22"/>
        </w:rPr>
        <w:t>W przypadku braku zgody, o której mowa w powyższym ustępie, oferta podlega odrzuceniu, a Zamawiający zwraca się, o wyrażenie takiej zgody do kolejnego Wykonawcy, którego oferta została najwyżej oceniona, chyba że zachodzą przesłanki do unieważnienia postępowania.</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xml:space="preserve">§ 17. Informacje o formalnościach, jakie muszą zostać dopełnione po wyborze oferty </w:t>
        <w:br/>
        <w:t>w celu zawarcia umowy w sprawie zamówienia publicznego</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Zamawiający zawiera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Zamawiający może zawrzeć umowę w sprawie zamówienia publicznego przed upływem terminu, o którym mowa w ust. 1, jeżeli w postępowaniu o udzielenie zamówienia złożono tylko jedną ofertę.</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Wykonawca, którego oferta została wybrana jako najkorzystniejsza, zostanie poinformowany przez Zamawiającego o miejscu i terminie podpisania umowy.</w:t>
      </w:r>
    </w:p>
    <w:p>
      <w:pPr>
        <w:pStyle w:val="ListParagraph"/>
        <w:widowControl/>
        <w:numPr>
          <w:ilvl w:val="0"/>
          <w:numId w:val="7"/>
        </w:numPr>
        <w:suppressAutoHyphens w:val="false"/>
        <w:spacing w:before="120" w:after="0"/>
        <w:ind w:left="357" w:right="0" w:hanging="357"/>
        <w:contextualSpacing/>
        <w:jc w:val="both"/>
        <w:rPr>
          <w:rFonts w:ascii="Times New Roman" w:hAnsi="Times New Roman"/>
          <w:sz w:val="22"/>
          <w:szCs w:val="22"/>
        </w:rPr>
      </w:pPr>
      <w:r>
        <w:rPr>
          <w:rFonts w:cs="Calibri"/>
          <w:sz w:val="22"/>
          <w:szCs w:val="22"/>
        </w:rPr>
        <w:t xml:space="preserve">Wykonawca, o którym mowa w ust. 3, ma obowiązek zawrzeć umowę w sprawie zamówienia na warunkach określonych w projektowanych postanowieniach umowy, które stanowią </w:t>
      </w:r>
      <w:r>
        <w:rPr>
          <w:rFonts w:cs="Calibri"/>
          <w:b/>
          <w:bCs/>
          <w:sz w:val="22"/>
          <w:szCs w:val="22"/>
        </w:rPr>
        <w:t xml:space="preserve">załącznik Nr 2 do SWZ. </w:t>
      </w:r>
      <w:r>
        <w:rPr>
          <w:rFonts w:cs="Calibri"/>
          <w:sz w:val="22"/>
          <w:szCs w:val="22"/>
        </w:rPr>
        <w:t xml:space="preserve">Umowa zostanie uzupełniona o zapisy wynikające ze złożonej oferty. </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 xml:space="preserve">Przed podpisaniem umowy Wykonawcy wspólnie ubiegający się o udzielenie zamówienia (w przypadku wyboru ich oferty jako najkorzystniejszej) przedstawią Zamawiającemu umowę regulująca współpracę tych Wykonawców. </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pPr>
        <w:pStyle w:val="ListParagraph"/>
        <w:widowControl/>
        <w:numPr>
          <w:ilvl w:val="0"/>
          <w:numId w:val="7"/>
        </w:numPr>
        <w:suppressAutoHyphens w:val="false"/>
        <w:spacing w:before="120" w:after="0"/>
        <w:ind w:left="357" w:right="0" w:hanging="357"/>
        <w:contextualSpacing/>
        <w:jc w:val="both"/>
        <w:rPr>
          <w:rFonts w:ascii="Times New Roman" w:hAnsi="Times New Roman" w:cs="Calibri"/>
          <w:sz w:val="22"/>
          <w:szCs w:val="22"/>
        </w:rPr>
      </w:pPr>
      <w:r>
        <w:rPr>
          <w:rFonts w:cs="Calibri"/>
          <w:sz w:val="22"/>
          <w:szCs w:val="22"/>
        </w:rPr>
        <w:t xml:space="preserve">Jeżeli Wykonawca w celu wykazania braku podstaw wykluczenia lub spełniania warunków udziału w postępowaniu posługuje się certyfikatem Wykonawcy, przed zawarciem umowy Zamawiający może zweryfikować aktualność oraz zakres certyfikatu. Jeżeli certyfikat utracił ważność lub nie potwierdza wszystkich wymaganych okoliczności, Zamawiający może wezwać Wykonawcę do przedłożenia odpowiednich podmiotowych środków dowodowych w zakresie nieobjętym certyfikatem.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cs="Calibri"/>
          <w:b/>
          <w:b/>
          <w:sz w:val="22"/>
          <w:szCs w:val="22"/>
          <w:highlight w:val="lightGray"/>
        </w:rPr>
      </w:pPr>
      <w:r>
        <w:rPr>
          <w:rFonts w:cs="Calibri"/>
          <w:b/>
          <w:sz w:val="22"/>
          <w:szCs w:val="22"/>
          <w:highlight w:val="lightGray"/>
        </w:rPr>
        <w:t>§ 18. Pouczenie o środkach ochrony prawnej przysługujących Wykonawcy</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 xml:space="preserve">Informacje dotyczące środków ochrony prawnej określone są w Dziale IX „Środki ochrony prawnej” ustawy PZP.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sz w:val="22"/>
          <w:szCs w:val="22"/>
        </w:rPr>
      </w:pPr>
      <w:r>
        <w:rPr>
          <w:rFonts w:cs="Calibri"/>
          <w:b/>
          <w:sz w:val="22"/>
          <w:szCs w:val="22"/>
          <w:highlight w:val="lightGray"/>
        </w:rPr>
        <w:t>§ 19. </w:t>
      </w:r>
      <w:r>
        <w:rPr>
          <w:rFonts w:cs="Calibri"/>
          <w:b/>
          <w:iCs/>
          <w:sz w:val="22"/>
          <w:szCs w:val="22"/>
          <w:highlight w:val="lightGray"/>
        </w:rPr>
        <w:t>I</w:t>
      </w:r>
      <w:r>
        <w:rPr>
          <w:rFonts w:cs="Calibri"/>
          <w:b/>
          <w:sz w:val="22"/>
          <w:szCs w:val="22"/>
          <w:highlight w:val="lightGray"/>
        </w:rPr>
        <w:t>nformacja o warunkach udziału w postępowaniu oraz przedmiotowych środkach dowodowych, jeżeli Zamawiający je przewiduje</w:t>
      </w:r>
    </w:p>
    <w:p>
      <w:pPr>
        <w:pStyle w:val="ListParagraph"/>
        <w:widowControl/>
        <w:numPr>
          <w:ilvl w:val="3"/>
          <w:numId w:val="7"/>
        </w:numPr>
        <w:suppressAutoHyphens w:val="false"/>
        <w:spacing w:before="120" w:after="0"/>
        <w:ind w:left="425" w:right="0" w:hanging="425"/>
        <w:contextualSpacing/>
        <w:jc w:val="both"/>
        <w:rPr>
          <w:rFonts w:ascii="Times New Roman" w:hAnsi="Times New Roman"/>
          <w:sz w:val="22"/>
          <w:szCs w:val="22"/>
        </w:rPr>
      </w:pPr>
      <w:r>
        <w:rPr>
          <w:rFonts w:cs="Calibri"/>
          <w:sz w:val="22"/>
          <w:szCs w:val="22"/>
        </w:rPr>
        <w:t xml:space="preserve">O udzielenie zamówienia mogą ubiegać się Wykonawcy, którzy nie podlegają wykluczeniu </w:t>
        <w:br/>
        <w:t xml:space="preserve">na zasadach określonych w </w:t>
      </w:r>
      <w:r>
        <w:rPr>
          <w:rFonts w:cs="Calibri"/>
          <w:b/>
          <w:bCs/>
          <w:sz w:val="22"/>
          <w:szCs w:val="22"/>
        </w:rPr>
        <w:t>§ 14 SWZ</w:t>
      </w:r>
      <w:r>
        <w:rPr>
          <w:rFonts w:cs="Calibri"/>
          <w:sz w:val="22"/>
          <w:szCs w:val="22"/>
        </w:rPr>
        <w:t xml:space="preserve"> oraz spełniają określone przez Zamawiającego warunki udziału w postępowaniu.</w:t>
      </w:r>
    </w:p>
    <w:p>
      <w:pPr>
        <w:pStyle w:val="ListParagraph"/>
        <w:widowControl/>
        <w:numPr>
          <w:ilvl w:val="3"/>
          <w:numId w:val="7"/>
        </w:numPr>
        <w:suppressAutoHyphens w:val="false"/>
        <w:spacing w:before="120" w:after="0"/>
        <w:ind w:left="425" w:right="0" w:hanging="425"/>
        <w:contextualSpacing/>
        <w:jc w:val="both"/>
        <w:rPr>
          <w:rFonts w:ascii="Times New Roman" w:hAnsi="Times New Roman" w:cs="Calibri"/>
          <w:sz w:val="22"/>
          <w:szCs w:val="22"/>
        </w:rPr>
      </w:pPr>
      <w:r>
        <w:rPr>
          <w:rFonts w:cs="Calibri"/>
          <w:sz w:val="22"/>
          <w:szCs w:val="22"/>
        </w:rPr>
        <w:t>O udzielenie zamówienia mogą ubiegać się Wykonawcy, którzy spełniają warunki dotyczące:</w:t>
      </w:r>
    </w:p>
    <w:p>
      <w:pPr>
        <w:pStyle w:val="ListParagraph"/>
        <w:widowControl/>
        <w:numPr>
          <w:ilvl w:val="0"/>
          <w:numId w:val="8"/>
        </w:numPr>
        <w:suppressAutoHyphens w:val="false"/>
        <w:spacing w:before="80" w:after="0"/>
        <w:ind w:left="709" w:right="0" w:hanging="284"/>
        <w:contextualSpacing/>
        <w:jc w:val="both"/>
        <w:rPr>
          <w:rFonts w:ascii="Times New Roman" w:hAnsi="Times New Roman" w:cs="Calibri"/>
          <w:b/>
          <w:b/>
          <w:bCs/>
          <w:sz w:val="22"/>
          <w:szCs w:val="22"/>
        </w:rPr>
      </w:pPr>
      <w:r>
        <w:rPr>
          <w:rFonts w:cs="Calibri"/>
          <w:b/>
          <w:bCs/>
          <w:sz w:val="22"/>
          <w:szCs w:val="22"/>
        </w:rPr>
        <w:t>zdolności do występowania w obrocie gospodarczym:</w:t>
      </w:r>
    </w:p>
    <w:p>
      <w:pPr>
        <w:pStyle w:val="ListParagraph"/>
        <w:widowControl/>
        <w:suppressAutoHyphens w:val="false"/>
        <w:spacing w:before="40" w:after="0"/>
        <w:ind w:left="709" w:right="0" w:hanging="0"/>
        <w:contextualSpacing/>
        <w:jc w:val="both"/>
        <w:rPr>
          <w:rFonts w:ascii="Times New Roman" w:hAnsi="Times New Roman" w:cs="Calibri"/>
          <w:i/>
          <w:i/>
          <w:iCs/>
          <w:sz w:val="22"/>
          <w:szCs w:val="22"/>
        </w:rPr>
      </w:pPr>
      <w:r>
        <w:rPr>
          <w:rFonts w:cs="Calibri"/>
          <w:i/>
          <w:iCs/>
          <w:sz w:val="22"/>
          <w:szCs w:val="22"/>
        </w:rPr>
        <w:t>Zamawiający odstępuje od ustalania warunku w tym zakresie.</w:t>
      </w:r>
    </w:p>
    <w:p>
      <w:pPr>
        <w:pStyle w:val="ListParagraph"/>
        <w:widowControl/>
        <w:numPr>
          <w:ilvl w:val="0"/>
          <w:numId w:val="8"/>
        </w:numPr>
        <w:suppressAutoHyphens w:val="false"/>
        <w:spacing w:before="80" w:after="0"/>
        <w:ind w:left="709" w:right="0" w:hanging="284"/>
        <w:contextualSpacing/>
        <w:jc w:val="both"/>
        <w:rPr>
          <w:rFonts w:ascii="Times New Roman" w:hAnsi="Times New Roman" w:cs="Calibri"/>
          <w:b/>
          <w:b/>
          <w:bCs/>
          <w:sz w:val="22"/>
          <w:szCs w:val="22"/>
        </w:rPr>
      </w:pPr>
      <w:r>
        <w:rPr>
          <w:rFonts w:cs="Calibri"/>
          <w:b/>
          <w:bCs/>
          <w:sz w:val="22"/>
          <w:szCs w:val="22"/>
        </w:rPr>
        <w:t>uprawnień do prowadzenia określonej działalności gospodarczej lub zawodowej, o ile wynika to z odrębnych przepisów:</w:t>
      </w:r>
    </w:p>
    <w:p>
      <w:pPr>
        <w:pStyle w:val="ListParagraph"/>
        <w:widowControl/>
        <w:suppressAutoHyphens w:val="false"/>
        <w:spacing w:before="40" w:after="0"/>
        <w:ind w:left="709" w:right="0" w:hanging="0"/>
        <w:contextualSpacing/>
        <w:jc w:val="both"/>
        <w:rPr>
          <w:rFonts w:ascii="Times New Roman" w:hAnsi="Times New Roman" w:cs="Calibri"/>
          <w:i/>
          <w:i/>
          <w:iCs/>
          <w:sz w:val="22"/>
          <w:szCs w:val="22"/>
        </w:rPr>
      </w:pPr>
      <w:r>
        <w:rPr>
          <w:rFonts w:cs="Calibri"/>
          <w:i/>
          <w:iCs/>
          <w:sz w:val="22"/>
          <w:szCs w:val="22"/>
        </w:rPr>
        <w:t>Zamawiający odstępuje od ustalania warunku w tym zakresie.</w:t>
      </w:r>
    </w:p>
    <w:p>
      <w:pPr>
        <w:pStyle w:val="ListParagraph"/>
        <w:widowControl/>
        <w:numPr>
          <w:ilvl w:val="0"/>
          <w:numId w:val="8"/>
        </w:numPr>
        <w:suppressAutoHyphens w:val="false"/>
        <w:spacing w:before="80" w:after="0"/>
        <w:ind w:left="709" w:right="0" w:hanging="284"/>
        <w:contextualSpacing/>
        <w:jc w:val="both"/>
        <w:rPr>
          <w:rFonts w:ascii="Times New Roman" w:hAnsi="Times New Roman" w:cs="Calibri"/>
          <w:b/>
          <w:b/>
          <w:bCs/>
          <w:sz w:val="22"/>
          <w:szCs w:val="22"/>
        </w:rPr>
      </w:pPr>
      <w:r>
        <w:rPr>
          <w:rFonts w:cs="Calibri"/>
          <w:b/>
          <w:bCs/>
          <w:sz w:val="22"/>
          <w:szCs w:val="22"/>
        </w:rPr>
        <w:t>sytuacji ekonomicznej lub finansowej:</w:t>
      </w:r>
    </w:p>
    <w:p>
      <w:pPr>
        <w:pStyle w:val="ListParagraph"/>
        <w:widowControl/>
        <w:suppressAutoHyphens w:val="false"/>
        <w:spacing w:before="40" w:after="0"/>
        <w:ind w:left="709" w:right="0" w:hanging="0"/>
        <w:contextualSpacing/>
        <w:jc w:val="both"/>
        <w:rPr>
          <w:rFonts w:ascii="Times New Roman" w:hAnsi="Times New Roman" w:cs="Calibri"/>
          <w:i/>
          <w:i/>
          <w:iCs/>
          <w:sz w:val="22"/>
          <w:szCs w:val="22"/>
        </w:rPr>
      </w:pPr>
      <w:r>
        <w:rPr>
          <w:rFonts w:cs="Calibri"/>
          <w:i/>
          <w:iCs/>
          <w:sz w:val="22"/>
          <w:szCs w:val="22"/>
        </w:rPr>
        <w:t>Zamawiający odstępuje od ustalania warunku w tym zakresie.</w:t>
      </w:r>
    </w:p>
    <w:p>
      <w:pPr>
        <w:pStyle w:val="ListParagraph"/>
        <w:widowControl/>
        <w:numPr>
          <w:ilvl w:val="0"/>
          <w:numId w:val="8"/>
        </w:numPr>
        <w:suppressAutoHyphens w:val="false"/>
        <w:spacing w:before="80" w:after="0"/>
        <w:ind w:left="709" w:right="0" w:hanging="284"/>
        <w:contextualSpacing/>
        <w:jc w:val="both"/>
        <w:rPr>
          <w:rFonts w:ascii="Times New Roman" w:hAnsi="Times New Roman" w:cs="Calibri"/>
          <w:b/>
          <w:b/>
          <w:bCs/>
          <w:sz w:val="22"/>
          <w:szCs w:val="22"/>
        </w:rPr>
      </w:pPr>
      <w:r>
        <w:rPr>
          <w:rFonts w:cs="Calibri"/>
          <w:b/>
          <w:bCs/>
          <w:sz w:val="22"/>
          <w:szCs w:val="22"/>
        </w:rPr>
        <w:t>zdolności technicznej lub zawodowej:</w:t>
      </w:r>
    </w:p>
    <w:p>
      <w:pPr>
        <w:pStyle w:val="ListParagraph"/>
        <w:widowControl/>
        <w:suppressAutoHyphens w:val="false"/>
        <w:spacing w:before="40" w:after="0"/>
        <w:ind w:left="709" w:right="0" w:hanging="0"/>
        <w:contextualSpacing/>
        <w:jc w:val="both"/>
        <w:rPr>
          <w:rFonts w:ascii="Times New Roman" w:hAnsi="Times New Roman" w:cs="Calibri"/>
          <w:i/>
          <w:i/>
          <w:iCs/>
          <w:sz w:val="22"/>
          <w:szCs w:val="22"/>
        </w:rPr>
      </w:pPr>
      <w:r>
        <w:rPr>
          <w:rFonts w:cs="Calibri"/>
          <w:i/>
          <w:iCs/>
          <w:sz w:val="22"/>
          <w:szCs w:val="22"/>
        </w:rPr>
        <w:t>Zamawiający określa w powyższym zakresie następujące warunki:</w:t>
      </w:r>
    </w:p>
    <w:p>
      <w:pPr>
        <w:pStyle w:val="ListParagraph"/>
        <w:widowControl/>
        <w:suppressAutoHyphens w:val="false"/>
        <w:spacing w:before="40" w:after="0"/>
        <w:ind w:left="709" w:right="0" w:hanging="0"/>
        <w:contextualSpacing/>
        <w:jc w:val="both"/>
        <w:rPr>
          <w:rFonts w:ascii="Times New Roman" w:hAnsi="Times New Roman" w:cs="Calibri"/>
          <w:i/>
          <w:i/>
          <w:iCs/>
          <w:sz w:val="22"/>
          <w:szCs w:val="22"/>
        </w:rPr>
      </w:pPr>
      <w:r>
        <w:rPr>
          <w:rFonts w:cs="Calibri"/>
          <w:i/>
          <w:iCs/>
          <w:sz w:val="22"/>
          <w:szCs w:val="22"/>
        </w:rPr>
        <w:t>Zamawiający uzna spełnienie tego warunku, gdy Wykonawca wykaże, że dysponuje co najmniej 1 osobą posiadającą wymagane uprawnienia oraz doświadczenie zawodowe – oświadczenie stanowi załącznik nr 7 do Formularza oferty.</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Wykonawcy mogą wspólnie ubiegać się o udzielenie zamówienia.</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W przypadku udziału w postępowaniu Wykonawców występujących wspólnie, Wykonawcy ustanawiają pełnomocnika do reprezentowania ich w postępowaniu o udzielenie zamówienia albo reprezentowania w postępowaniu i zawarcia umowy w sprawie zamówienia publicznego.</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W przypadku udziału w postępowaniu Wykonawców występujących wspólnie, Zamawiający dopuszcza możliwość łącznego spełniania i dokumentowania warunków, o których mowa w ust. 2 pkt 3-4. Pozostałe warunki każdy z Wykonawców musi spełnić i udokumentować samodzielnie.</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Każdy z Wykonawców zobowiązany jest do złożenia dokumentów, o których mowa w § 20 SWZ.</w:t>
      </w:r>
    </w:p>
    <w:p>
      <w:pPr>
        <w:pStyle w:val="WWTekstpodstawowywcity2"/>
        <w:numPr>
          <w:ilvl w:val="3"/>
          <w:numId w:val="7"/>
        </w:numPr>
        <w:spacing w:before="120" w:after="0"/>
        <w:ind w:left="425" w:right="0" w:hanging="425"/>
        <w:jc w:val="both"/>
        <w:rPr>
          <w:rFonts w:ascii="Times New Roman" w:hAnsi="Times New Roman" w:cs="Calibri"/>
          <w:sz w:val="22"/>
          <w:szCs w:val="22"/>
        </w:rPr>
      </w:pPr>
      <w:r>
        <w:rPr>
          <w:rFonts w:cs="Calibri"/>
          <w:sz w:val="22"/>
          <w:szCs w:val="22"/>
        </w:rPr>
        <w:t>Zamawiający nie żąda przedmiotowych środków dowodowych.</w:t>
      </w:r>
    </w:p>
    <w:p>
      <w:pPr>
        <w:pStyle w:val="ListParagraph"/>
        <w:spacing w:before="0" w:after="0"/>
        <w:ind w:left="0" w:right="0" w:hanging="0"/>
        <w:contextualSpacing/>
        <w:jc w:val="both"/>
        <w:rPr>
          <w:rFonts w:ascii="Times New Roman" w:hAnsi="Times New Roman" w:cs="Calibri"/>
          <w:sz w:val="22"/>
          <w:szCs w:val="22"/>
        </w:rPr>
      </w:pPr>
      <w:r>
        <w:rPr>
          <w:rFonts w:cs="Calibri"/>
          <w:sz w:val="22"/>
          <w:szCs w:val="22"/>
        </w:rPr>
      </w:r>
    </w:p>
    <w:p>
      <w:pPr>
        <w:pStyle w:val="WWTekst11111111111111111111111111111111111111111111111111111111111111111111111111111111111111111111111"/>
        <w:snapToGrid w:val="false"/>
        <w:spacing w:before="0" w:after="0"/>
        <w:jc w:val="center"/>
        <w:rPr>
          <w:rFonts w:ascii="Times New Roman" w:hAnsi="Times New Roman" w:cs="Calibri"/>
          <w:b/>
          <w:b/>
          <w:i w:val="false"/>
          <w:i w:val="false"/>
          <w:sz w:val="22"/>
          <w:szCs w:val="22"/>
          <w:highlight w:val="lightGray"/>
        </w:rPr>
      </w:pPr>
      <w:r>
        <w:rPr>
          <w:rFonts w:cs="Calibri"/>
          <w:b/>
          <w:i w:val="false"/>
          <w:sz w:val="22"/>
          <w:szCs w:val="22"/>
          <w:highlight w:val="lightGray"/>
        </w:rPr>
        <w:t>§ 20. Informacja o podmiotowych środkach dowodowych, jeżeli Zamawiający będzie wymagał ich złożenia</w:t>
      </w:r>
    </w:p>
    <w:p>
      <w:pPr>
        <w:pStyle w:val="Normal"/>
        <w:widowControl/>
        <w:numPr>
          <w:ilvl w:val="6"/>
          <w:numId w:val="7"/>
        </w:numPr>
        <w:suppressAutoHyphens w:val="false"/>
        <w:spacing w:before="120" w:after="0"/>
        <w:ind w:left="425" w:right="0" w:hanging="425"/>
        <w:jc w:val="both"/>
        <w:rPr>
          <w:rFonts w:ascii="Times New Roman" w:hAnsi="Times New Roman" w:cs="Calibri"/>
          <w:sz w:val="22"/>
          <w:szCs w:val="22"/>
        </w:rPr>
      </w:pPr>
      <w:r>
        <w:rPr>
          <w:rFonts w:cs="Calibri"/>
          <w:sz w:val="22"/>
          <w:szCs w:val="22"/>
        </w:rPr>
        <w:t>Wykonawca zobowiązany jest do złożenia i wypełnienia ściśle wg wzoru druku załączonego przez Zamawiającego:</w:t>
      </w:r>
    </w:p>
    <w:p>
      <w:pPr>
        <w:pStyle w:val="Normal"/>
        <w:widowControl/>
        <w:numPr>
          <w:ilvl w:val="0"/>
          <w:numId w:val="14"/>
        </w:numPr>
        <w:suppressAutoHyphens w:val="false"/>
        <w:spacing w:before="60" w:after="0"/>
        <w:ind w:left="782" w:right="0" w:hanging="357"/>
        <w:jc w:val="both"/>
        <w:rPr>
          <w:rFonts w:ascii="Times New Roman" w:hAnsi="Times New Roman" w:cs="Calibri"/>
          <w:b/>
          <w:b/>
          <w:bCs/>
          <w:sz w:val="22"/>
          <w:szCs w:val="22"/>
        </w:rPr>
      </w:pPr>
      <w:r>
        <w:rPr>
          <w:rFonts w:cs="Calibri"/>
          <w:b/>
          <w:bCs/>
          <w:sz w:val="22"/>
          <w:szCs w:val="22"/>
        </w:rPr>
        <w:t>„</w:t>
      </w:r>
      <w:r>
        <w:rPr>
          <w:rFonts w:cs="Calibri"/>
          <w:b/>
          <w:bCs/>
          <w:sz w:val="22"/>
          <w:szCs w:val="22"/>
        </w:rPr>
        <w:t>Oferty”,</w:t>
      </w:r>
    </w:p>
    <w:p>
      <w:pPr>
        <w:pStyle w:val="Normal"/>
        <w:widowControl/>
        <w:numPr>
          <w:ilvl w:val="0"/>
          <w:numId w:val="14"/>
        </w:numPr>
        <w:suppressAutoHyphens w:val="false"/>
        <w:spacing w:before="60" w:after="0"/>
        <w:ind w:left="782" w:right="0" w:hanging="357"/>
        <w:jc w:val="both"/>
        <w:rPr>
          <w:rFonts w:ascii="Times New Roman" w:hAnsi="Times New Roman" w:cs="Calibri"/>
          <w:b/>
          <w:b/>
          <w:bCs/>
          <w:sz w:val="22"/>
          <w:szCs w:val="22"/>
        </w:rPr>
      </w:pPr>
      <w:r>
        <w:rPr>
          <w:rFonts w:cs="Calibri"/>
          <w:b/>
          <w:bCs/>
          <w:sz w:val="22"/>
          <w:szCs w:val="22"/>
        </w:rPr>
        <w:t>„</w:t>
      </w:r>
      <w:r>
        <w:rPr>
          <w:rFonts w:cs="Calibri"/>
          <w:b/>
          <w:bCs/>
          <w:sz w:val="22"/>
          <w:szCs w:val="22"/>
        </w:rPr>
        <w:t>Karta informacyjna” – załącznik nr 1.1 do Formularza oferty,</w:t>
      </w:r>
    </w:p>
    <w:p>
      <w:pPr>
        <w:pStyle w:val="Normal"/>
        <w:widowControl/>
        <w:numPr>
          <w:ilvl w:val="0"/>
          <w:numId w:val="14"/>
        </w:numPr>
        <w:suppressAutoHyphens w:val="false"/>
        <w:spacing w:before="60" w:after="0"/>
        <w:ind w:left="782" w:right="0" w:hanging="357"/>
        <w:jc w:val="both"/>
        <w:rPr>
          <w:rFonts w:ascii="Times New Roman" w:hAnsi="Times New Roman" w:cs="Calibri"/>
          <w:b/>
          <w:b/>
          <w:bCs/>
          <w:sz w:val="22"/>
          <w:szCs w:val="22"/>
        </w:rPr>
      </w:pPr>
      <w:r>
        <w:rPr>
          <w:rFonts w:cs="Calibri"/>
          <w:b/>
          <w:bCs/>
          <w:sz w:val="22"/>
          <w:szCs w:val="22"/>
        </w:rPr>
        <w:t>„</w:t>
      </w:r>
      <w:r>
        <w:rPr>
          <w:rFonts w:cs="Calibri"/>
          <w:b/>
          <w:bCs/>
          <w:sz w:val="22"/>
          <w:szCs w:val="22"/>
        </w:rPr>
        <w:t>Oświadczenie Wykonawcy dotyczące spełniania warunków udziału w postępowaniu” – załącznik nr 2 do Formularza oferty,</w:t>
      </w:r>
    </w:p>
    <w:p>
      <w:pPr>
        <w:pStyle w:val="Normal"/>
        <w:widowControl/>
        <w:suppressAutoHyphens w:val="false"/>
        <w:spacing w:before="60" w:after="0"/>
        <w:ind w:left="426" w:right="0" w:hanging="0"/>
        <w:jc w:val="both"/>
        <w:rPr>
          <w:rFonts w:ascii="Times New Roman" w:hAnsi="Times New Roman" w:cs="Calibri"/>
          <w:sz w:val="22"/>
          <w:szCs w:val="22"/>
        </w:rPr>
      </w:pPr>
      <w:r>
        <w:rPr>
          <w:rFonts w:cs="Calibri"/>
          <w:sz w:val="22"/>
          <w:szCs w:val="22"/>
        </w:rPr>
        <w:t>z zastrzeżeniem § 11 ust. 3 SWZ.</w:t>
      </w:r>
    </w:p>
    <w:p>
      <w:pPr>
        <w:pStyle w:val="Normal"/>
        <w:widowControl/>
        <w:numPr>
          <w:ilvl w:val="6"/>
          <w:numId w:val="7"/>
        </w:numPr>
        <w:suppressAutoHyphens w:val="false"/>
        <w:spacing w:before="120" w:after="0"/>
        <w:ind w:left="425" w:right="0" w:hanging="425"/>
        <w:jc w:val="both"/>
        <w:rPr/>
      </w:pPr>
      <w:r>
        <w:rPr>
          <w:rFonts w:cs="Calibri"/>
          <w:sz w:val="22"/>
          <w:szCs w:val="22"/>
        </w:rPr>
        <w:t xml:space="preserve">W celu potwierdzenia braku podstaw wykluczenia Wykonawcy z udziału w postępowaniu o udzielenie zamówienia publicznego, Zamawiający żąda następujących </w:t>
      </w:r>
      <w:r>
        <w:rPr>
          <w:rStyle w:val="Wyrnienie"/>
          <w:rFonts w:cs="Calibri"/>
          <w:i w:val="false"/>
          <w:sz w:val="22"/>
          <w:szCs w:val="22"/>
        </w:rPr>
        <w:t>podmiotowych środków dowodowych</w:t>
      </w:r>
      <w:r>
        <w:rPr>
          <w:rFonts w:cs="Calibri"/>
          <w:sz w:val="22"/>
          <w:szCs w:val="22"/>
        </w:rPr>
        <w:t>:</w:t>
      </w:r>
    </w:p>
    <w:p>
      <w:pPr>
        <w:pStyle w:val="Normal"/>
        <w:widowControl/>
        <w:suppressAutoHyphens w:val="false"/>
        <w:spacing w:before="120" w:after="0"/>
        <w:ind w:left="425" w:right="0" w:hanging="0"/>
        <w:jc w:val="both"/>
        <w:rPr>
          <w:rFonts w:ascii="Times New Roman" w:hAnsi="Times New Roman" w:cs="Calibri"/>
          <w:b/>
          <w:b/>
          <w:bCs/>
          <w:sz w:val="22"/>
          <w:szCs w:val="22"/>
          <w:u w:val="single"/>
        </w:rPr>
      </w:pPr>
      <w:r>
        <w:rPr>
          <w:rFonts w:cs="Calibri"/>
          <w:b/>
          <w:bCs/>
          <w:sz w:val="22"/>
          <w:szCs w:val="22"/>
          <w:u w:val="single"/>
        </w:rPr>
        <w:t>składane wraz z ofertą:</w:t>
      </w:r>
    </w:p>
    <w:p>
      <w:pPr>
        <w:pStyle w:val="Normal"/>
        <w:widowControl/>
        <w:numPr>
          <w:ilvl w:val="0"/>
          <w:numId w:val="15"/>
        </w:numPr>
        <w:suppressAutoHyphens w:val="false"/>
        <w:spacing w:before="60" w:after="0"/>
        <w:ind w:left="720" w:right="0" w:hanging="295"/>
        <w:jc w:val="both"/>
        <w:rPr>
          <w:rFonts w:ascii="Times New Roman" w:hAnsi="Times New Roman" w:cs="Calibri"/>
          <w:sz w:val="22"/>
          <w:szCs w:val="22"/>
        </w:rPr>
      </w:pPr>
      <w:r>
        <w:rPr>
          <w:rFonts w:cs="Calibri"/>
          <w:sz w:val="22"/>
          <w:szCs w:val="22"/>
        </w:rPr>
        <w:t xml:space="preserve">Oświadczenie Wykonawcy dotyczące przesłanek wykluczenia z postępowania – załącznik nr 3 do Formularza oferty, </w:t>
      </w:r>
    </w:p>
    <w:p>
      <w:pPr>
        <w:pStyle w:val="Normal"/>
        <w:widowControl/>
        <w:numPr>
          <w:ilvl w:val="0"/>
          <w:numId w:val="15"/>
        </w:numPr>
        <w:suppressAutoHyphens w:val="false"/>
        <w:spacing w:before="60" w:after="0"/>
        <w:ind w:left="720" w:right="0" w:hanging="295"/>
        <w:jc w:val="both"/>
        <w:rPr>
          <w:rFonts w:ascii="Times New Roman" w:hAnsi="Times New Roman" w:cs="Calibri"/>
          <w:sz w:val="22"/>
          <w:szCs w:val="22"/>
        </w:rPr>
      </w:pPr>
      <w:r>
        <w:rPr>
          <w:rFonts w:cs="Calibri"/>
          <w:sz w:val="22"/>
          <w:szCs w:val="22"/>
        </w:rPr>
        <w:t xml:space="preserve">Oświadczenie Wykonawcy wspólnie ubiegającego się o udzielenie zamówienia – załącznik nr 4 do Formularza oferty, </w:t>
      </w:r>
    </w:p>
    <w:p>
      <w:pPr>
        <w:pStyle w:val="Normal"/>
        <w:widowControl/>
        <w:suppressAutoHyphens w:val="false"/>
        <w:spacing w:before="120" w:after="0"/>
        <w:ind w:left="425" w:right="0" w:hanging="0"/>
        <w:jc w:val="both"/>
        <w:rPr>
          <w:rFonts w:ascii="Times New Roman" w:hAnsi="Times New Roman" w:cs="Calibri"/>
          <w:b/>
          <w:b/>
          <w:bCs/>
          <w:sz w:val="22"/>
          <w:szCs w:val="22"/>
          <w:u w:val="single"/>
        </w:rPr>
      </w:pPr>
      <w:r>
        <w:rPr>
          <w:rFonts w:cs="Calibri"/>
          <w:b/>
          <w:bCs/>
          <w:sz w:val="22"/>
          <w:szCs w:val="22"/>
          <w:u w:val="single"/>
        </w:rPr>
        <w:t>składane na wezwanie Zamawiającego:</w:t>
      </w:r>
    </w:p>
    <w:p>
      <w:pPr>
        <w:pStyle w:val="Normal"/>
        <w:widowControl/>
        <w:numPr>
          <w:ilvl w:val="0"/>
          <w:numId w:val="15"/>
        </w:numPr>
        <w:suppressAutoHyphens w:val="false"/>
        <w:spacing w:before="60" w:after="0"/>
        <w:ind w:left="720" w:right="0" w:hanging="295"/>
        <w:jc w:val="both"/>
        <w:rPr>
          <w:rFonts w:ascii="Times New Roman" w:hAnsi="Times New Roman" w:cs="Calibri"/>
          <w:sz w:val="22"/>
          <w:szCs w:val="22"/>
        </w:rPr>
      </w:pPr>
      <w:r>
        <w:rPr>
          <w:rFonts w:cs="Calibri"/>
          <w:sz w:val="22"/>
          <w:szCs w:val="22"/>
        </w:rPr>
        <w:t xml:space="preserve">Oświadczenie Wykonawcy – aktualność informacji zawartych w oświadczeniu o braku podstaw wykluczenia – załącznik nr 5 do Formularza oferty, </w:t>
      </w:r>
    </w:p>
    <w:p>
      <w:pPr>
        <w:pStyle w:val="Normal"/>
        <w:widowControl/>
        <w:numPr>
          <w:ilvl w:val="0"/>
          <w:numId w:val="15"/>
        </w:numPr>
        <w:suppressAutoHyphens w:val="false"/>
        <w:spacing w:before="60" w:after="0"/>
        <w:ind w:left="720" w:right="0" w:hanging="295"/>
        <w:jc w:val="both"/>
        <w:rPr/>
      </w:pPr>
      <w:r>
        <w:rPr>
          <w:rFonts w:cs="Calibri"/>
          <w:sz w:val="22"/>
          <w:szCs w:val="22"/>
        </w:rPr>
        <w:t xml:space="preserve">Oświadczenie Wykonawcy, w zakresie </w:t>
      </w:r>
      <w:r>
        <w:fldChar w:fldCharType="begin"/>
      </w:r>
      <w:r>
        <w:rPr>
          <w:rStyle w:val="Czeinternetowe"/>
          <w:sz w:val="22"/>
          <w:u w:val="none"/>
          <w:szCs w:val="22"/>
          <w:rFonts w:cs="Calibri"/>
        </w:rPr>
        <w:instrText> HYPERLINK "https://sip.lex.pl/" \l "/document/18903829?unitId=art(108)ust(1)pkt(5)&amp;cm=DOCUMENT"</w:instrText>
      </w:r>
      <w:r>
        <w:rPr>
          <w:rStyle w:val="Czeinternetowe"/>
          <w:sz w:val="22"/>
          <w:u w:val="none"/>
          <w:szCs w:val="22"/>
          <w:rFonts w:cs="Calibri"/>
        </w:rPr>
        <w:fldChar w:fldCharType="separate"/>
      </w:r>
      <w:r>
        <w:rPr>
          <w:rStyle w:val="Czeinternetowe"/>
          <w:rFonts w:cs="Calibri"/>
          <w:color w:val="auto"/>
          <w:sz w:val="22"/>
          <w:szCs w:val="22"/>
          <w:u w:val="none"/>
        </w:rPr>
        <w:t>art. 108 ust. 1 pkt 5</w:t>
      </w:r>
      <w:r>
        <w:rPr>
          <w:rStyle w:val="Czeinternetowe"/>
          <w:sz w:val="22"/>
          <w:u w:val="none"/>
          <w:szCs w:val="22"/>
          <w:rFonts w:cs="Calibri"/>
        </w:rPr>
        <w:fldChar w:fldCharType="end"/>
      </w:r>
      <w:r>
        <w:rPr>
          <w:rFonts w:cs="Calibri"/>
          <w:sz w:val="22"/>
          <w:szCs w:val="22"/>
        </w:rPr>
        <w:t xml:space="preserve"> ustawy PZP, o braku przynależności do tej samej grupy kapitałowej w rozumieniu </w:t>
      </w:r>
      <w:r>
        <w:fldChar w:fldCharType="begin"/>
      </w:r>
      <w:r>
        <w:rPr>
          <w:rStyle w:val="Czeinternetowe"/>
          <w:sz w:val="22"/>
          <w:u w:val="none"/>
          <w:szCs w:val="22"/>
          <w:rFonts w:cs="Calibri"/>
        </w:rPr>
        <w:instrText> HYPERLINK "https://sip.lex.pl/" \l "/document/17337528?cm=DOCUMENT"</w:instrText>
      </w:r>
      <w:r>
        <w:rPr>
          <w:rStyle w:val="Czeinternetowe"/>
          <w:sz w:val="22"/>
          <w:u w:val="none"/>
          <w:szCs w:val="22"/>
          <w:rFonts w:cs="Calibri"/>
        </w:rPr>
        <w:fldChar w:fldCharType="separate"/>
      </w:r>
      <w:r>
        <w:rPr>
          <w:rStyle w:val="Czeinternetowe"/>
          <w:rFonts w:cs="Calibri"/>
          <w:color w:val="auto"/>
          <w:sz w:val="22"/>
          <w:szCs w:val="22"/>
          <w:u w:val="none"/>
        </w:rPr>
        <w:t>ustawy</w:t>
      </w:r>
      <w:r>
        <w:rPr>
          <w:rStyle w:val="Czeinternetowe"/>
          <w:sz w:val="22"/>
          <w:u w:val="none"/>
          <w:szCs w:val="22"/>
          <w:rFonts w:cs="Calibri"/>
        </w:rPr>
        <w:fldChar w:fldCharType="end"/>
      </w:r>
      <w:r>
        <w:rPr>
          <w:rFonts w:cs="Calibri"/>
          <w:sz w:val="22"/>
          <w:szCs w:val="22"/>
        </w:rPr>
        <w:t xml:space="preserve"> z dnia 16 lutego 2007r.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6 do Formularza oferty;</w:t>
      </w:r>
    </w:p>
    <w:p>
      <w:pPr>
        <w:pStyle w:val="Normal"/>
        <w:widowControl/>
        <w:numPr>
          <w:ilvl w:val="0"/>
          <w:numId w:val="15"/>
        </w:numPr>
        <w:suppressAutoHyphens w:val="false"/>
        <w:spacing w:before="60" w:after="0"/>
        <w:ind w:left="720" w:right="0" w:hanging="295"/>
        <w:jc w:val="both"/>
        <w:rPr/>
      </w:pPr>
      <w:r>
        <w:rPr>
          <w:rFonts w:cs="Calibri"/>
          <w:sz w:val="22"/>
          <w:szCs w:val="22"/>
        </w:rPr>
        <w:t xml:space="preserve">zaświadczenia właściwego naczelnika urzędu skarbowego potwierdzającego, że Wykonawca nie zalega z opłacaniem podatków i opłat, w zakresie </w:t>
      </w:r>
      <w:r>
        <w:fldChar w:fldCharType="begin"/>
      </w:r>
      <w:r>
        <w:rPr>
          <w:rStyle w:val="Czeinternetowe"/>
          <w:sz w:val="22"/>
          <w:u w:val="none"/>
          <w:szCs w:val="22"/>
          <w:rFonts w:cs="Calibri"/>
        </w:rPr>
        <w:instrText> HYPERLINK "https://sip.lex.pl/" \l "/document/18903829?unitId=art(109)ust(1)pkt(1)&amp;cm=DOCUMENT"</w:instrText>
      </w:r>
      <w:r>
        <w:rPr>
          <w:rStyle w:val="Czeinternetowe"/>
          <w:sz w:val="22"/>
          <w:u w:val="none"/>
          <w:szCs w:val="22"/>
          <w:rFonts w:cs="Calibri"/>
        </w:rPr>
        <w:fldChar w:fldCharType="separate"/>
      </w:r>
      <w:r>
        <w:rPr>
          <w:rStyle w:val="Czeinternetowe"/>
          <w:rFonts w:cs="Calibri"/>
          <w:color w:val="auto"/>
          <w:sz w:val="22"/>
          <w:szCs w:val="22"/>
          <w:u w:val="none"/>
        </w:rPr>
        <w:t>art. 109 ust. 1 pkt 1</w:t>
      </w:r>
      <w:r>
        <w:rPr>
          <w:rStyle w:val="Czeinternetowe"/>
          <w:sz w:val="22"/>
          <w:u w:val="none"/>
          <w:szCs w:val="22"/>
          <w:rFonts w:cs="Calibri"/>
        </w:rPr>
        <w:fldChar w:fldCharType="end"/>
      </w:r>
      <w:r>
        <w:rPr>
          <w:rFonts w:cs="Calibri"/>
          <w:sz w:val="22"/>
          <w:szCs w:val="22"/>
        </w:rPr>
        <w:t xml:space="preserve"> ustawy PZP, wystawionego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pPr>
        <w:pStyle w:val="Normal"/>
        <w:widowControl/>
        <w:numPr>
          <w:ilvl w:val="0"/>
          <w:numId w:val="15"/>
        </w:numPr>
        <w:suppressAutoHyphens w:val="false"/>
        <w:spacing w:before="60" w:after="0"/>
        <w:ind w:left="720" w:right="0" w:hanging="295"/>
        <w:jc w:val="both"/>
        <w:rPr/>
      </w:pPr>
      <w:r>
        <w:rPr>
          <w:rFonts w:cs="Calibri"/>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w:t>
      </w:r>
      <w:r>
        <w:fldChar w:fldCharType="begin"/>
      </w:r>
      <w:r>
        <w:rPr>
          <w:rStyle w:val="Czeinternetowe"/>
          <w:sz w:val="22"/>
          <w:u w:val="none"/>
          <w:szCs w:val="22"/>
          <w:rFonts w:cs="Calibri"/>
        </w:rPr>
        <w:instrText> HYPERLINK "https://sip.lex.pl/" \l "/document/18903829?unitId=art(109)ust(1)pkt(1)&amp;cm=DOCUMENT"</w:instrText>
      </w:r>
      <w:r>
        <w:rPr>
          <w:rStyle w:val="Czeinternetowe"/>
          <w:sz w:val="22"/>
          <w:u w:val="none"/>
          <w:szCs w:val="22"/>
          <w:rFonts w:cs="Calibri"/>
        </w:rPr>
        <w:fldChar w:fldCharType="separate"/>
      </w:r>
      <w:r>
        <w:rPr>
          <w:rStyle w:val="Czeinternetowe"/>
          <w:rFonts w:cs="Calibri"/>
          <w:color w:val="auto"/>
          <w:sz w:val="22"/>
          <w:szCs w:val="22"/>
          <w:u w:val="none"/>
        </w:rPr>
        <w:t>art. 109 ust. 1 pkt 1</w:t>
      </w:r>
      <w:r>
        <w:rPr>
          <w:rStyle w:val="Czeinternetowe"/>
          <w:sz w:val="22"/>
          <w:u w:val="none"/>
          <w:szCs w:val="22"/>
          <w:rFonts w:cs="Calibri"/>
        </w:rPr>
        <w:fldChar w:fldCharType="end"/>
      </w:r>
      <w:r>
        <w:rPr>
          <w:rFonts w:cs="Calibri"/>
          <w:sz w:val="22"/>
          <w:szCs w:val="22"/>
        </w:rPr>
        <w:t xml:space="preserve"> ustawy PZP,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pPr>
        <w:pStyle w:val="Normal"/>
        <w:widowControl/>
        <w:numPr>
          <w:ilvl w:val="0"/>
          <w:numId w:val="15"/>
        </w:numPr>
        <w:suppressAutoHyphens w:val="false"/>
        <w:spacing w:before="60" w:after="0"/>
        <w:ind w:left="720" w:right="0" w:hanging="295"/>
        <w:jc w:val="both"/>
        <w:rPr/>
      </w:pPr>
      <w:r>
        <w:rPr>
          <w:rFonts w:cs="Calibri"/>
          <w:sz w:val="22"/>
          <w:szCs w:val="22"/>
        </w:rPr>
        <w:t xml:space="preserve">odpisu lub informacji z Krajowego Rejestru Sądowego lub z Centralnej Ewidencji i Informacji o Działalności Gospodarczej, w zakresie </w:t>
      </w:r>
      <w:r>
        <w:fldChar w:fldCharType="begin"/>
      </w:r>
      <w:r>
        <w:rPr>
          <w:rStyle w:val="Czeinternetowe"/>
          <w:sz w:val="22"/>
          <w:u w:val="none"/>
          <w:szCs w:val="22"/>
          <w:rFonts w:cs="Calibri"/>
        </w:rPr>
        <w:instrText> HYPERLINK "https://sip.lex.pl/" \l "/document/18903829?unitId=art(109)ust(1)pkt(4)&amp;cm=DOCUMENT"</w:instrText>
      </w:r>
      <w:r>
        <w:rPr>
          <w:rStyle w:val="Czeinternetowe"/>
          <w:sz w:val="22"/>
          <w:u w:val="none"/>
          <w:szCs w:val="22"/>
          <w:rFonts w:cs="Calibri"/>
        </w:rPr>
        <w:fldChar w:fldCharType="separate"/>
      </w:r>
      <w:r>
        <w:rPr>
          <w:rStyle w:val="Czeinternetowe"/>
          <w:rFonts w:cs="Calibri"/>
          <w:color w:val="auto"/>
          <w:sz w:val="22"/>
          <w:szCs w:val="22"/>
          <w:u w:val="none"/>
        </w:rPr>
        <w:t>art. 109 ust. 1 pkt 4</w:t>
      </w:r>
      <w:r>
        <w:rPr>
          <w:rStyle w:val="Czeinternetowe"/>
          <w:sz w:val="22"/>
          <w:u w:val="none"/>
          <w:szCs w:val="22"/>
          <w:rFonts w:cs="Calibri"/>
        </w:rPr>
        <w:fldChar w:fldCharType="end"/>
      </w:r>
      <w:r>
        <w:rPr>
          <w:rFonts w:cs="Calibri"/>
          <w:sz w:val="22"/>
          <w:szCs w:val="22"/>
        </w:rPr>
        <w:t xml:space="preserve"> ustawy PZP, sporządzonych nie wcześniej niż 3 miesiące przed jej złożeniem, jeżeli odrębne przepisy wymagają wpisu </w:t>
        <w:br/>
        <w:t>do rejestru lub ewidencji;</w:t>
      </w:r>
    </w:p>
    <w:p>
      <w:pPr>
        <w:pStyle w:val="Normal"/>
        <w:widowControl/>
        <w:suppressAutoHyphens w:val="false"/>
        <w:spacing w:before="120" w:after="0"/>
        <w:ind w:left="425" w:right="0" w:hanging="0"/>
        <w:jc w:val="both"/>
        <w:rPr>
          <w:rFonts w:ascii="Times New Roman" w:hAnsi="Times New Roman" w:cs="Calibri"/>
          <w:b/>
          <w:b/>
          <w:bCs/>
          <w:sz w:val="22"/>
          <w:szCs w:val="22"/>
          <w:u w:val="single"/>
        </w:rPr>
      </w:pPr>
      <w:r>
        <w:rPr>
          <w:rFonts w:cs="Calibri"/>
          <w:b/>
          <w:bCs/>
          <w:sz w:val="22"/>
          <w:szCs w:val="22"/>
          <w:u w:val="single"/>
        </w:rPr>
        <w:t>składane wraz z ofertą:</w:t>
      </w:r>
    </w:p>
    <w:p>
      <w:pPr>
        <w:pStyle w:val="Normal"/>
        <w:widowControl/>
        <w:numPr>
          <w:ilvl w:val="0"/>
          <w:numId w:val="15"/>
        </w:numPr>
        <w:suppressAutoHyphens w:val="false"/>
        <w:spacing w:before="60" w:after="0"/>
        <w:ind w:left="720" w:right="0" w:hanging="295"/>
        <w:jc w:val="both"/>
        <w:rPr>
          <w:rFonts w:ascii="Times New Roman" w:hAnsi="Times New Roman" w:cs="Calibri"/>
          <w:sz w:val="22"/>
          <w:szCs w:val="22"/>
        </w:rPr>
      </w:pPr>
      <w:r>
        <w:rPr>
          <w:rFonts w:cs="Calibri"/>
          <w:sz w:val="22"/>
          <w:szCs w:val="22"/>
        </w:rPr>
        <w:t xml:space="preserve">pełnomocnictwo/a – o ile dotyczy. </w:t>
      </w:r>
    </w:p>
    <w:p>
      <w:pPr>
        <w:pStyle w:val="Normal"/>
        <w:widowControl/>
        <w:numPr>
          <w:ilvl w:val="6"/>
          <w:numId w:val="7"/>
        </w:numPr>
        <w:suppressAutoHyphens w:val="false"/>
        <w:spacing w:before="120" w:after="0"/>
        <w:ind w:left="425" w:right="0" w:hanging="425"/>
        <w:jc w:val="both"/>
        <w:rPr>
          <w:rFonts w:ascii="Times New Roman" w:hAnsi="Times New Roman" w:cs="Calibri"/>
          <w:sz w:val="22"/>
          <w:szCs w:val="22"/>
        </w:rPr>
      </w:pPr>
      <w:r>
        <w:rPr>
          <w:rFonts w:cs="Calibri"/>
          <w:sz w:val="22"/>
          <w:szCs w:val="22"/>
        </w:rPr>
        <w:t>Jeżeli Wykonawca ma siedzibę lub miejsce zamieszkania poza granicami Rzeczypospolitej Polskiej, zamiast zaświadczenia, o którym mowa w ust. 2 pkt 5, zaświadczenia albo innego dokumentu potwierdzającego, że Wykonawca nie zalega z opłacaniem składek na ubezpieczenia społeczne lub zdrowotne, o których mowa w ust. 2 pkt 6, lub odpisu albo informacji z Krajowego Rejestru Sądowego lub z Centralnej Ewidencji i Informacji o Działalności Gospodarczej, o których mowa w ust. 2 pkt 7 – składa dokument lub dokumenty wystawione w kraju, w którym Wykonawca ma siedzibę lub miejsce zamieszkania, potwierdzające odpowiednio, że:</w:t>
      </w:r>
    </w:p>
    <w:p>
      <w:pPr>
        <w:pStyle w:val="Normal"/>
        <w:numPr>
          <w:ilvl w:val="0"/>
          <w:numId w:val="16"/>
        </w:numPr>
        <w:spacing w:before="60" w:after="0"/>
        <w:ind w:left="720" w:right="0" w:hanging="295"/>
        <w:jc w:val="both"/>
        <w:rPr>
          <w:rFonts w:ascii="Times New Roman" w:hAnsi="Times New Roman" w:cs="Calibri"/>
          <w:sz w:val="22"/>
          <w:szCs w:val="22"/>
        </w:rPr>
      </w:pPr>
      <w:r>
        <w:rPr>
          <w:rFonts w:cs="Calibri"/>
          <w:sz w:val="22"/>
          <w:szCs w:val="22"/>
        </w:rPr>
        <w:t>nie naruszył obowiązków dotyczących płatności podatków, opłat lub składek na ubezpieczenie społeczne lub zdrowotne,</w:t>
      </w:r>
    </w:p>
    <w:p>
      <w:pPr>
        <w:pStyle w:val="Normal"/>
        <w:numPr>
          <w:ilvl w:val="0"/>
          <w:numId w:val="16"/>
        </w:numPr>
        <w:spacing w:before="60" w:after="0"/>
        <w:ind w:left="720" w:right="0" w:hanging="295"/>
        <w:jc w:val="both"/>
        <w:rPr>
          <w:rFonts w:ascii="Times New Roman" w:hAnsi="Times New Roman" w:cs="Calibri"/>
          <w:sz w:val="22"/>
          <w:szCs w:val="22"/>
        </w:rPr>
      </w:pPr>
      <w:r>
        <w:rPr>
          <w:rFonts w:cs="Calibri"/>
          <w:sz w:val="22"/>
          <w:szCs w:val="22"/>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pPr>
        <w:pStyle w:val="Normal"/>
        <w:widowControl/>
        <w:numPr>
          <w:ilvl w:val="6"/>
          <w:numId w:val="7"/>
        </w:numPr>
        <w:suppressAutoHyphens w:val="false"/>
        <w:spacing w:before="120" w:after="0"/>
        <w:ind w:left="425" w:right="0" w:hanging="425"/>
        <w:jc w:val="both"/>
        <w:rPr>
          <w:rFonts w:ascii="Times New Roman" w:hAnsi="Times New Roman" w:cs="Calibri"/>
          <w:sz w:val="22"/>
          <w:szCs w:val="22"/>
        </w:rPr>
      </w:pPr>
      <w:r>
        <w:rPr>
          <w:rFonts w:cs="Calibri"/>
          <w:sz w:val="22"/>
          <w:szCs w:val="22"/>
        </w:rPr>
        <w:t>Dokumenty, o których mowa w ust. 3 powinny być wystawione nie wcześniej niż 3 miesiące przed ich złożeniem.</w:t>
      </w:r>
    </w:p>
    <w:p>
      <w:pPr>
        <w:pStyle w:val="Normal"/>
        <w:widowControl/>
        <w:numPr>
          <w:ilvl w:val="6"/>
          <w:numId w:val="7"/>
        </w:numPr>
        <w:suppressAutoHyphens w:val="false"/>
        <w:spacing w:before="120" w:after="0"/>
        <w:ind w:left="425" w:right="0" w:hanging="425"/>
        <w:jc w:val="both"/>
        <w:rPr>
          <w:rFonts w:ascii="Times New Roman" w:hAnsi="Times New Roman" w:cs="Calibri"/>
          <w:sz w:val="22"/>
          <w:szCs w:val="22"/>
        </w:rPr>
      </w:pPr>
      <w:r>
        <w:rPr>
          <w:rFonts w:cs="Calibri"/>
          <w:sz w:val="22"/>
          <w:szCs w:val="22"/>
        </w:rPr>
        <w:t>Jeżeli w kraju, w którym Wykonawca ma siedzibę lub miejsce zamieszkania, nie wydaje się dokumentów, o których mowa w ust. 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4 stosuje się.</w:t>
      </w:r>
    </w:p>
    <w:p>
      <w:pPr>
        <w:pStyle w:val="Normal"/>
        <w:widowControl/>
        <w:numPr>
          <w:ilvl w:val="6"/>
          <w:numId w:val="7"/>
        </w:numPr>
        <w:suppressAutoHyphens w:val="false"/>
        <w:spacing w:before="120" w:after="0"/>
        <w:ind w:left="425" w:right="0" w:hanging="425"/>
        <w:jc w:val="both"/>
        <w:rPr/>
      </w:pPr>
      <w:r>
        <w:rPr>
          <w:rFonts w:cs="Calibri"/>
          <w:sz w:val="22"/>
          <w:szCs w:val="22"/>
        </w:rPr>
        <w:t xml:space="preserve">Zamawiający może żądać od Wykonawcy, który polega na zdolnościach technicznych lub zawodowych lub sytuacji finansowej lub ekonomicznej podmiotów udostępniających zasoby oraz od podwykonawców niebędących podmiotami udostępniającymi zasoby na zasadach określonych w </w:t>
      </w:r>
      <w:r>
        <w:fldChar w:fldCharType="begin"/>
      </w:r>
      <w:r>
        <w:rPr>
          <w:rStyle w:val="Czeinternetowe"/>
          <w:sz w:val="22"/>
          <w:u w:val="none"/>
          <w:szCs w:val="22"/>
          <w:rFonts w:cs="Calibri"/>
        </w:rPr>
        <w:instrText> HYPERLINK "https://sip.lex.pl/" \l "/document/18903829?unitId=art(118)&amp;cm=DOCUMENT"</w:instrText>
      </w:r>
      <w:r>
        <w:rPr>
          <w:rStyle w:val="Czeinternetowe"/>
          <w:sz w:val="22"/>
          <w:u w:val="none"/>
          <w:szCs w:val="22"/>
          <w:rFonts w:cs="Calibri"/>
        </w:rPr>
        <w:fldChar w:fldCharType="separate"/>
      </w:r>
      <w:r>
        <w:rPr>
          <w:rStyle w:val="Czeinternetowe"/>
          <w:rFonts w:cs="Calibri"/>
          <w:color w:val="auto"/>
          <w:sz w:val="22"/>
          <w:szCs w:val="22"/>
          <w:u w:val="none"/>
        </w:rPr>
        <w:t>art. 118</w:t>
      </w:r>
      <w:r>
        <w:rPr>
          <w:rStyle w:val="Czeinternetowe"/>
          <w:sz w:val="22"/>
          <w:u w:val="none"/>
          <w:szCs w:val="22"/>
          <w:rFonts w:cs="Calibri"/>
        </w:rPr>
        <w:fldChar w:fldCharType="end"/>
      </w:r>
      <w:r>
        <w:rPr>
          <w:rFonts w:cs="Calibri"/>
          <w:sz w:val="22"/>
          <w:szCs w:val="22"/>
        </w:rPr>
        <w:t xml:space="preserve"> ustawy PZP, przedstawienia </w:t>
      </w:r>
      <w:r>
        <w:rPr>
          <w:rStyle w:val="Wyrnienie"/>
          <w:rFonts w:cs="Calibri"/>
          <w:i w:val="false"/>
          <w:sz w:val="22"/>
          <w:szCs w:val="22"/>
        </w:rPr>
        <w:t>podmiotowych środków dowodowych</w:t>
      </w:r>
      <w:r>
        <w:rPr>
          <w:rFonts w:cs="Calibri"/>
          <w:sz w:val="22"/>
          <w:szCs w:val="22"/>
        </w:rPr>
        <w:t xml:space="preserve">, o których mowa w ust. 1 pkt 2, ust. 2 pkt 1, 2, 3, 5, 6, 7 dotyczących tych podmiotów, potwierdzających, że nie zachodzą wobec tych podmiotów podstawy wykluczenia z postępowania. </w:t>
      </w:r>
    </w:p>
    <w:p>
      <w:pPr>
        <w:pStyle w:val="Normal"/>
        <w:widowControl/>
        <w:numPr>
          <w:ilvl w:val="6"/>
          <w:numId w:val="7"/>
        </w:numPr>
        <w:suppressAutoHyphens w:val="false"/>
        <w:spacing w:before="120" w:after="0"/>
        <w:ind w:left="425" w:right="0" w:hanging="425"/>
        <w:jc w:val="both"/>
        <w:rPr/>
      </w:pPr>
      <w:r>
        <w:rPr>
          <w:rFonts w:cs="Calibri"/>
          <w:sz w:val="22"/>
          <w:szCs w:val="22"/>
        </w:rPr>
        <w:t xml:space="preserve">Do podmiotów udostępniających zasoby na zasadach określonych w </w:t>
      </w:r>
      <w:r>
        <w:fldChar w:fldCharType="begin"/>
      </w:r>
      <w:r>
        <w:rPr>
          <w:rStyle w:val="Czeinternetowe"/>
          <w:sz w:val="22"/>
          <w:u w:val="none"/>
          <w:szCs w:val="22"/>
          <w:rFonts w:cs="Calibri"/>
        </w:rPr>
        <w:instrText> HYPERLINK "https://sip.lex.pl/" \l "/document/18903829?unitId=art(118)&amp;cm=DOCUMENT"</w:instrText>
      </w:r>
      <w:r>
        <w:rPr>
          <w:rStyle w:val="Czeinternetowe"/>
          <w:sz w:val="22"/>
          <w:u w:val="none"/>
          <w:szCs w:val="22"/>
          <w:rFonts w:cs="Calibri"/>
        </w:rPr>
        <w:fldChar w:fldCharType="separate"/>
      </w:r>
      <w:r>
        <w:rPr>
          <w:rStyle w:val="Czeinternetowe"/>
          <w:rFonts w:cs="Calibri"/>
          <w:color w:val="auto"/>
          <w:sz w:val="22"/>
          <w:szCs w:val="22"/>
          <w:u w:val="none"/>
        </w:rPr>
        <w:t>art. 118</w:t>
      </w:r>
      <w:r>
        <w:rPr>
          <w:rStyle w:val="Czeinternetowe"/>
          <w:sz w:val="22"/>
          <w:u w:val="none"/>
          <w:szCs w:val="22"/>
          <w:rFonts w:cs="Calibri"/>
        </w:rPr>
        <w:fldChar w:fldCharType="end"/>
      </w:r>
      <w:r>
        <w:rPr>
          <w:rFonts w:cs="Calibri"/>
          <w:sz w:val="22"/>
          <w:szCs w:val="22"/>
        </w:rPr>
        <w:t xml:space="preserve"> ustawy PZP oraz podwykonawców niebędących podmiotami udostępniającymi zasoby na tych zasadach, mających siedzibę lub miejsce zamieszkania poza terytorium Rzeczypospolitej Polskiej, przepis ust. 2 stosuje się odpowiednio.</w:t>
      </w:r>
    </w:p>
    <w:p>
      <w:pPr>
        <w:pStyle w:val="Normal"/>
        <w:widowControl/>
        <w:numPr>
          <w:ilvl w:val="6"/>
          <w:numId w:val="7"/>
        </w:numPr>
        <w:suppressAutoHyphens w:val="false"/>
        <w:spacing w:before="120" w:after="0"/>
        <w:ind w:left="425" w:right="0" w:hanging="425"/>
        <w:jc w:val="both"/>
        <w:rPr/>
      </w:pPr>
      <w:r>
        <w:rPr>
          <w:rFonts w:cs="Calibri"/>
          <w:sz w:val="22"/>
          <w:szCs w:val="22"/>
        </w:rPr>
        <w:t xml:space="preserve">Jeżeli z uzasadnionej przyczyny Wykonawca nie może złożyć wymaganych przez Zamawiającego </w:t>
      </w:r>
      <w:r>
        <w:rPr>
          <w:rStyle w:val="Wyrnienie"/>
          <w:rFonts w:cs="Calibri"/>
          <w:sz w:val="22"/>
          <w:szCs w:val="22"/>
        </w:rPr>
        <w:t>podmiotowych środków dowodowych</w:t>
      </w:r>
      <w:r>
        <w:rPr>
          <w:rFonts w:cs="Calibri"/>
          <w:sz w:val="22"/>
          <w:szCs w:val="22"/>
        </w:rPr>
        <w:t xml:space="preserve">, o których mowa w ust. 1, Wykonawca składa inne </w:t>
      </w:r>
      <w:r>
        <w:rPr>
          <w:rStyle w:val="Wyrnienie"/>
          <w:rFonts w:cs="Calibri"/>
          <w:sz w:val="22"/>
          <w:szCs w:val="22"/>
        </w:rPr>
        <w:t>podmiotowe środki dowodowe</w:t>
      </w:r>
      <w:r>
        <w:rPr>
          <w:rFonts w:cs="Calibri"/>
          <w:sz w:val="22"/>
          <w:szCs w:val="22"/>
        </w:rPr>
        <w:t>, które w wystarczający sposób potwierdzają spełnianie opisanego przez Zamawiającego warunku udziału w postępowaniu dotyczącego sytuacji ekonomicznej lub finansowej.</w:t>
      </w:r>
    </w:p>
    <w:p>
      <w:pPr>
        <w:pStyle w:val="Normal"/>
        <w:widowControl/>
        <w:numPr>
          <w:ilvl w:val="6"/>
          <w:numId w:val="7"/>
        </w:numPr>
        <w:suppressAutoHyphens w:val="false"/>
        <w:spacing w:before="120" w:after="0"/>
        <w:ind w:left="425" w:right="0" w:hanging="425"/>
        <w:jc w:val="both"/>
        <w:rPr/>
      </w:pPr>
      <w:r>
        <w:rPr>
          <w:rFonts w:cs="Calibri"/>
          <w:sz w:val="22"/>
          <w:szCs w:val="22"/>
        </w:rPr>
        <w:t xml:space="preserve">W celu potwierdzenia spełniania przez Wykonawcę warunków udziału w postępowaniu dotyczących zdolności technicznej lub zawodowej, Zamawiający żąda następujących </w:t>
      </w:r>
      <w:r>
        <w:rPr>
          <w:rStyle w:val="Wyrnienie"/>
          <w:rFonts w:cs="Calibri"/>
          <w:sz w:val="22"/>
          <w:szCs w:val="22"/>
        </w:rPr>
        <w:t>podmiotowych środków dowodowych</w:t>
      </w:r>
      <w:r>
        <w:rPr>
          <w:rFonts w:cs="Calibri"/>
          <w:sz w:val="22"/>
          <w:szCs w:val="22"/>
        </w:rPr>
        <w:t>:</w:t>
      </w:r>
    </w:p>
    <w:p>
      <w:pPr>
        <w:pStyle w:val="ListParagraph"/>
        <w:widowControl/>
        <w:numPr>
          <w:ilvl w:val="0"/>
          <w:numId w:val="40"/>
        </w:numPr>
        <w:suppressAutoHyphens w:val="false"/>
        <w:spacing w:before="120" w:after="0"/>
        <w:ind w:left="782" w:right="0" w:hanging="357"/>
        <w:contextualSpacing/>
        <w:jc w:val="both"/>
        <w:rPr>
          <w:rFonts w:ascii="Times New Roman" w:hAnsi="Times New Roman" w:cs="Calibri"/>
          <w:sz w:val="22"/>
          <w:szCs w:val="22"/>
        </w:rPr>
      </w:pPr>
      <w:r>
        <w:rPr>
          <w:rFonts w:cs="Calibri"/>
          <w:sz w:val="22"/>
          <w:szCs w:val="22"/>
        </w:rPr>
        <w:t>oświadczenia na temat wykształcenia i kwalifikacji zawodowych Wykonawcy lub kadry kierowniczej Wykonawcy – załącznik nr 7 do Formularza oferty,</w:t>
      </w:r>
    </w:p>
    <w:p>
      <w:pPr>
        <w:pStyle w:val="ListParagraph"/>
        <w:widowControl/>
        <w:suppressAutoHyphens w:val="false"/>
        <w:spacing w:before="120" w:after="0"/>
        <w:ind w:left="782" w:right="0" w:hanging="0"/>
        <w:contextualSpacing/>
        <w:jc w:val="both"/>
        <w:rPr>
          <w:rFonts w:ascii="Times New Roman" w:hAnsi="Times New Roman" w:cs="Calibri"/>
          <w:sz w:val="22"/>
          <w:szCs w:val="22"/>
        </w:rPr>
      </w:pPr>
      <w:r>
        <w:rPr>
          <w:rFonts w:cs="Calibri"/>
          <w:sz w:val="22"/>
          <w:szCs w:val="22"/>
        </w:rPr>
        <w:t>Zamawiający wymaga, aby Wykonawca wykazał, że dysponuje lub będzie dysponował osobami do realizacji zamówienia posiadającymi doświadczenie/ uprawnienia budowlane tj.:</w:t>
      </w:r>
    </w:p>
    <w:p>
      <w:pPr>
        <w:pStyle w:val="ListParagraph"/>
        <w:numPr>
          <w:ilvl w:val="2"/>
          <w:numId w:val="6"/>
        </w:numPr>
        <w:spacing w:before="120" w:after="0"/>
        <w:ind w:left="1134" w:right="0" w:hanging="357"/>
        <w:contextualSpacing/>
        <w:jc w:val="both"/>
        <w:rPr>
          <w:rFonts w:ascii="Times New Roman" w:hAnsi="Times New Roman" w:cs="Calibri"/>
          <w:b/>
          <w:b/>
          <w:bCs/>
          <w:sz w:val="22"/>
          <w:szCs w:val="22"/>
          <w:u w:val="single"/>
        </w:rPr>
      </w:pPr>
      <w:r>
        <w:rPr>
          <w:rFonts w:cs="Calibri"/>
          <w:b/>
          <w:bCs/>
          <w:sz w:val="22"/>
          <w:szCs w:val="22"/>
          <w:u w:val="single"/>
        </w:rPr>
        <w:t>Kierownik robót elektrycznych (min. – 1 osoba) – wymagania:</w:t>
      </w:r>
    </w:p>
    <w:p>
      <w:pPr>
        <w:pStyle w:val="ListParagraph"/>
        <w:ind w:left="1134" w:right="0" w:hanging="0"/>
        <w:jc w:val="both"/>
        <w:rPr>
          <w:rFonts w:ascii="Times New Roman" w:hAnsi="Times New Roman" w:cs="Calibri"/>
          <w:sz w:val="22"/>
          <w:szCs w:val="22"/>
        </w:rPr>
      </w:pPr>
      <w:r>
        <w:rPr>
          <w:rFonts w:cs="Calibri"/>
          <w:sz w:val="22"/>
          <w:szCs w:val="22"/>
        </w:rPr>
        <w:t xml:space="preserve">Osoba ta musi posiadać uprawnienia budowlane do kierowania robotami budowlanymi w specjalności instalacyjnej w zakresie sieci, instalacji i urządzeń elektrycznych i elektroenergetycznych* wraz z ważnym zaświadczeniem o przynależności do właściwej izby samorządu zawodowego oraz minimum 5 letnie (przez upływem terminu składania ofert) doświadczenie zawodowe. </w:t>
      </w:r>
    </w:p>
    <w:p>
      <w:pPr>
        <w:pStyle w:val="ListParagraph"/>
        <w:spacing w:before="120" w:after="0"/>
        <w:ind w:left="1134" w:right="0" w:hanging="0"/>
        <w:contextualSpacing/>
        <w:jc w:val="both"/>
        <w:rPr>
          <w:rFonts w:ascii="Times New Roman" w:hAnsi="Times New Roman" w:cs="Calibri"/>
          <w:i/>
          <w:i/>
          <w:sz w:val="22"/>
          <w:szCs w:val="22"/>
        </w:rPr>
      </w:pPr>
      <w:r>
        <w:rPr>
          <w:rFonts w:cs="Calibri"/>
          <w:i/>
          <w:sz w:val="22"/>
          <w:szCs w:val="22"/>
        </w:rPr>
        <w:t>(*Przez uprawnienia budowlane Zamawiający rozumie uprawnienia wydane zgodne z ustawą z dnia 7 lipca 1994 r. Prawo budowlane lub odpowiadające im ważne uprawnienia wydane na podstawie wcześniej obowiązujących przepisów, lub odpowiadające im uprawnienia budowlane, które zostały wydane obywatelom państwa Europejskiego Obszaru Gospodarczego oraz Konfederacji Szwajcarskiej, z zastrzeżeniem art. 12a oraz innych przepisów ustawy Prawo Budowlane oraz ustawy o zasadach uznawania kwalifikacji zawodowych nabytych w państwach członkowskich Unii Europejskiej.)</w:t>
      </w:r>
    </w:p>
    <w:p>
      <w:pPr>
        <w:pStyle w:val="Normal"/>
        <w:widowControl/>
        <w:numPr>
          <w:ilvl w:val="6"/>
          <w:numId w:val="7"/>
        </w:numPr>
        <w:suppressAutoHyphens w:val="false"/>
        <w:spacing w:before="120" w:after="0"/>
        <w:ind w:left="425" w:right="0" w:hanging="425"/>
        <w:jc w:val="both"/>
        <w:rPr/>
      </w:pPr>
      <w:r>
        <w:rPr>
          <w:rStyle w:val="Wyrnienie"/>
          <w:rFonts w:cs="Calibri"/>
          <w:i w:val="false"/>
          <w:sz w:val="22"/>
          <w:szCs w:val="22"/>
        </w:rPr>
        <w:t>Podmiotowe środki dowodowe</w:t>
      </w:r>
      <w:r>
        <w:rPr>
          <w:rFonts w:cs="Calibri"/>
          <w:sz w:val="22"/>
          <w:szCs w:val="22"/>
        </w:rPr>
        <w:t xml:space="preserve"> oraz inne dokumenty lub oświadczenia, o których mowa w rozporządzeniu Ministra Rozwoju, Pracy i Technologii z dnia 23 grudnia 2020r. w sprawie podmiotowych środków dowodowych oraz innych dokumentów lub oświadczeń, jakich może żądać zamawiający od wykonawcy, składa się w formie elektronicznej, w postaci elektronicznej opatrzonej podpisem zaufanym lub podpisem osobistym, w formie pisemnej lub w formie dokumentowej, w zakresie i w sposób określony w przepisach wydanych na podstawie </w:t>
      </w:r>
      <w:r>
        <w:fldChar w:fldCharType="begin"/>
      </w:r>
      <w:r>
        <w:rPr>
          <w:rStyle w:val="Czeinternetowe"/>
          <w:sz w:val="22"/>
          <w:u w:val="none"/>
          <w:szCs w:val="22"/>
          <w:rFonts w:cs="Calibri"/>
        </w:rPr>
        <w:instrText> HYPERLINK "https://sip.lex.pl/" \l "/document/18903829?unitId=art(70)&amp;cm=DOCUMENT"</w:instrText>
      </w:r>
      <w:r>
        <w:rPr>
          <w:rStyle w:val="Czeinternetowe"/>
          <w:sz w:val="22"/>
          <w:u w:val="none"/>
          <w:szCs w:val="22"/>
          <w:rFonts w:cs="Calibri"/>
        </w:rPr>
        <w:fldChar w:fldCharType="separate"/>
      </w:r>
      <w:r>
        <w:rPr>
          <w:rStyle w:val="Czeinternetowe"/>
          <w:rFonts w:cs="Calibri"/>
          <w:color w:val="auto"/>
          <w:sz w:val="22"/>
          <w:szCs w:val="22"/>
          <w:u w:val="none"/>
        </w:rPr>
        <w:t>art. 70</w:t>
      </w:r>
      <w:r>
        <w:rPr>
          <w:rStyle w:val="Czeinternetowe"/>
          <w:sz w:val="22"/>
          <w:u w:val="none"/>
          <w:szCs w:val="22"/>
          <w:rFonts w:cs="Calibri"/>
        </w:rPr>
        <w:fldChar w:fldCharType="end"/>
      </w:r>
      <w:r>
        <w:rPr>
          <w:rFonts w:cs="Calibri"/>
          <w:sz w:val="22"/>
          <w:szCs w:val="22"/>
        </w:rPr>
        <w:t xml:space="preserve"> ustawy PZP.</w:t>
      </w:r>
    </w:p>
    <w:p>
      <w:pPr>
        <w:pStyle w:val="Normal"/>
        <w:widowControl/>
        <w:numPr>
          <w:ilvl w:val="6"/>
          <w:numId w:val="7"/>
        </w:numPr>
        <w:suppressAutoHyphens w:val="false"/>
        <w:spacing w:before="120" w:after="0"/>
        <w:ind w:left="425" w:right="0" w:hanging="425"/>
        <w:jc w:val="both"/>
        <w:rPr>
          <w:rFonts w:ascii="Times New Roman" w:hAnsi="Times New Roman" w:eastAsia="Times New Roman" w:cs="Calibri"/>
          <w:sz w:val="22"/>
          <w:szCs w:val="22"/>
          <w:lang w:eastAsia="pl-PL"/>
        </w:rPr>
      </w:pPr>
      <w:r>
        <w:rPr>
          <w:rFonts w:eastAsia="Times New Roman" w:cs="Calibri"/>
          <w:sz w:val="22"/>
          <w:szCs w:val="22"/>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w:t>
      </w:r>
    </w:p>
    <w:p>
      <w:pPr>
        <w:pStyle w:val="ListParagraph"/>
        <w:widowControl/>
        <w:numPr>
          <w:ilvl w:val="0"/>
          <w:numId w:val="39"/>
        </w:numPr>
        <w:suppressAutoHyphens w:val="false"/>
        <w:ind w:left="851" w:right="0" w:hanging="425"/>
        <w:jc w:val="both"/>
        <w:rPr>
          <w:rFonts w:ascii="Times New Roman" w:hAnsi="Times New Roman" w:eastAsia="Times New Roman" w:cs="Calibri"/>
          <w:sz w:val="22"/>
          <w:szCs w:val="22"/>
          <w:lang w:eastAsia="pl-PL"/>
        </w:rPr>
      </w:pPr>
      <w:r>
        <w:rPr>
          <w:rFonts w:eastAsia="Times New Roman" w:cs="Calibri"/>
          <w:sz w:val="22"/>
          <w:szCs w:val="22"/>
          <w:lang w:eastAsia="pl-PL"/>
        </w:rPr>
        <w:t>zakres dostępnych Wykonawcy zasobów podmiotu udostępniającego zasoby;</w:t>
      </w:r>
    </w:p>
    <w:p>
      <w:pPr>
        <w:pStyle w:val="ListParagraph"/>
        <w:widowControl/>
        <w:numPr>
          <w:ilvl w:val="0"/>
          <w:numId w:val="39"/>
        </w:numPr>
        <w:suppressAutoHyphens w:val="false"/>
        <w:ind w:left="851" w:right="0" w:hanging="425"/>
        <w:jc w:val="both"/>
        <w:rPr>
          <w:rFonts w:ascii="Times New Roman" w:hAnsi="Times New Roman" w:eastAsia="Times New Roman" w:cs="Calibri"/>
          <w:sz w:val="22"/>
          <w:szCs w:val="22"/>
          <w:lang w:eastAsia="pl-PL"/>
        </w:rPr>
      </w:pPr>
      <w:r>
        <w:rPr>
          <w:rFonts w:eastAsia="Times New Roman" w:cs="Calibri"/>
          <w:sz w:val="22"/>
          <w:szCs w:val="22"/>
          <w:lang w:eastAsia="pl-PL"/>
        </w:rPr>
        <w:t>sposób i okres udostępnienia Wykonawcy i wykorzystania przez niego zasobów podmiotu udostępniającego te zasoby przy wykonywaniu zamówienia;</w:t>
      </w:r>
    </w:p>
    <w:p>
      <w:pPr>
        <w:pStyle w:val="ListParagraph"/>
        <w:widowControl/>
        <w:numPr>
          <w:ilvl w:val="0"/>
          <w:numId w:val="39"/>
        </w:numPr>
        <w:suppressAutoHyphens w:val="false"/>
        <w:ind w:left="851" w:right="0" w:hanging="425"/>
        <w:jc w:val="both"/>
        <w:rPr>
          <w:rFonts w:ascii="Times New Roman" w:hAnsi="Times New Roman" w:eastAsia="Times New Roman" w:cs="Calibri"/>
          <w:sz w:val="22"/>
          <w:szCs w:val="22"/>
          <w:lang w:eastAsia="pl-PL"/>
        </w:rPr>
      </w:pPr>
      <w:r>
        <w:rPr>
          <w:rFonts w:eastAsia="Times New Roman" w:cs="Calibri"/>
          <w:sz w:val="22"/>
          <w:szCs w:val="22"/>
          <w:lang w:eastAsia="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pPr>
        <w:pStyle w:val="Normal"/>
        <w:widowControl/>
        <w:numPr>
          <w:ilvl w:val="6"/>
          <w:numId w:val="7"/>
        </w:numPr>
        <w:suppressAutoHyphens w:val="false"/>
        <w:spacing w:before="120" w:after="0"/>
        <w:ind w:left="425" w:right="0" w:hanging="425"/>
        <w:jc w:val="both"/>
        <w:rPr>
          <w:rFonts w:ascii="Times New Roman" w:hAnsi="Times New Roman" w:cs="Calibri"/>
          <w:sz w:val="22"/>
          <w:szCs w:val="22"/>
        </w:rPr>
      </w:pPr>
      <w:r>
        <w:rPr>
          <w:rFonts w:cs="Calibri"/>
          <w:sz w:val="22"/>
          <w:szCs w:val="22"/>
        </w:rPr>
        <w:t>Ocena spełnienia warunków wymaganych od Wykonawców zostanie dokonana wg formuły „spełnia – nie spełnia”, w oparciu o informacje zawarte w dokumentach i oświadczeniach dołączonych do oferty. Z treści załączonych dokumentów i oświadczeń musi wynikać jednoznacznie, iż Wykonawca spełnia wyżej wymienione warunki.</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Wykonawca może, zamiast odpowiednich podmiotowych środków dowodowych potwierdzających brak podstaw wykluczenia, przedłożyć ważny certyfikat Wykonawcy wydany zgodnie z ustawą o certyfikacji wykonawców zamówień publicznych, w zakresie objętym tym certyfikatem. Zamawiający uzna certyfikat w zakresie, w jakim potwierdza on okoliczności wymagane w niniejszym postępowaniu.</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 xml:space="preserve">Jeżeli Wykonawca przedłoży certyfikat wykonawcy, Zamawiający nie będzie żądał dokumentów, których okoliczności zostały potwierdzone tym certyfikatem. </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Jeżeli certyfikat obejmuje jedynie część wymaganych okoliczności, Zamawiający wezwie do złożenia pozostałych dokumentów.</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W przypadku Wykonawców wspólnie ubiegających się o udzielenie zamówienia każdy z Wykonawców może posługiwać się odrębnym certyfikatem Wykonawcy w zakresie dotyczącym potwierdzenia braku podstaw wykluczenia. Zamawiający uzna certyfikat każdego z członków konsorcjum wyłącznie w zakresie okoliczności potwierdzonych tym certyfikatem oraz w odniesieniu do Wykonawcy, którego certyfikat został wydany.</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Jeżeli certyfikat nie obejmuje wszystkich wymaganych okoliczności lub został wydany jedynie dla jednego z członków konsorcjum, Zamawiający wezwie do złożenia podmiotowych środków dowodowych wyłącznie w zakresie nieobjętym certyfikatem.</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Certyfikat Wykonawcy składany w postępowaniu powinien zostać złożony w postaci elektronicznej zgodnie z obowiązującymi przepisami prawa. Jeżeli certyfikat został wydany jako dokument elektroniczny, powinien zawierać kwalifikowany podpis elektroniczny, kwalifikowaną pieczęć elektroniczną albo inny sposób uwierzytelnienia przewidziany w przepisach regulujących funkcjonowanie systemu certyfikacji Wykonawców, umożliwiający weryfikację jego autentyczności oraz ważności.</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Jeżeli Wykonawca składa elektroniczną kopię certyfikatu, powinna ona zostać sporządzona zgodnie z przepisami dotyczącymi składania dokumentów elektronicznych w postępowaniu o udzielenie zamówienia publicznego. Zamawiający może zweryfikować autentyczność oraz aktualność certyfikatu w odpowiednim rejestrze lub systemie teleinformatycznym, jeżeli taki został udostępniony przez podmiot certyfikujący.</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W przypadku utraty ważności certyfikatu Wykonawcy przed zakończeniem postępowania lub gdy certyfikat przestanie potwierdzać wymagane okoliczności, Wykonawca jest zobowiązany, na wezwanie Zamawiającego, przedłożyć odpowiednie podmiotowe środki dowodowe potwierdzające brak podstaw wykluczenia.</w:t>
      </w:r>
    </w:p>
    <w:p>
      <w:pPr>
        <w:pStyle w:val="Normal"/>
        <w:widowControl/>
        <w:numPr>
          <w:ilvl w:val="6"/>
          <w:numId w:val="7"/>
        </w:numPr>
        <w:suppressAutoHyphens w:val="false"/>
        <w:spacing w:before="120" w:after="0"/>
        <w:ind w:left="425" w:right="0" w:hanging="425"/>
        <w:jc w:val="both"/>
        <w:rPr>
          <w:rFonts w:ascii="Times New Roman" w:hAnsi="Times New Roman" w:eastAsia="Calibri" w:cs="Calibri"/>
          <w:color w:val="000000"/>
          <w:sz w:val="22"/>
          <w:szCs w:val="22"/>
          <w:lang w:eastAsia="en-US"/>
        </w:rPr>
      </w:pPr>
      <w:r>
        <w:rPr>
          <w:rFonts w:eastAsia="Calibri" w:cs="Calibri"/>
          <w:color w:val="000000"/>
          <w:sz w:val="22"/>
          <w:szCs w:val="22"/>
          <w:lang w:eastAsia="en-US"/>
        </w:rPr>
        <w:t xml:space="preserve">Zamawiający może zweryfikować aktualność i autentyczność przedłożonego przez Wykonawcę certyfikatu w ogólnodostępnej Bazie Danych o Certyfikacji Wykonawców Zamówień Publicznych prowadzonej przez Ministra Rozwoju i Technologii. </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sz w:val="22"/>
          <w:szCs w:val="22"/>
        </w:rPr>
      </w:pPr>
      <w:r>
        <w:rPr>
          <w:rFonts w:eastAsia="Times New Roman" w:cs="Calibri"/>
          <w:b/>
          <w:sz w:val="22"/>
          <w:szCs w:val="22"/>
          <w:highlight w:val="lightGray"/>
          <w:lang w:eastAsia="pl-PL"/>
        </w:rPr>
        <w:t>§ 21. </w:t>
      </w:r>
      <w:r>
        <w:rPr>
          <w:rFonts w:cs="Calibri"/>
          <w:b/>
          <w:sz w:val="22"/>
          <w:szCs w:val="22"/>
          <w:highlight w:val="lightGray"/>
        </w:rPr>
        <w:t>Opis części zamówienia, jeżeli Zamawiający dopuszcza składanie ofert częściowych, l</w:t>
      </w:r>
      <w:r>
        <w:rPr>
          <w:rFonts w:eastAsia="Times New Roman" w:cs="Calibri"/>
          <w:b/>
          <w:sz w:val="22"/>
          <w:szCs w:val="22"/>
          <w:highlight w:val="lightGray"/>
          <w:lang w:eastAsia="pl-PL"/>
        </w:rPr>
        <w:t>iczba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pPr>
        <w:pStyle w:val="Tretekstu"/>
        <w:spacing w:before="120" w:after="0"/>
        <w:jc w:val="both"/>
        <w:rPr>
          <w:rFonts w:ascii="Times New Roman" w:hAnsi="Times New Roman" w:cs="Calibri"/>
          <w:b/>
          <w:b/>
          <w:bCs/>
          <w:iCs/>
          <w:sz w:val="22"/>
          <w:szCs w:val="22"/>
        </w:rPr>
      </w:pPr>
      <w:r>
        <w:rPr>
          <w:rFonts w:cs="Calibri"/>
          <w:b/>
          <w:bCs/>
          <w:iCs/>
          <w:sz w:val="22"/>
          <w:szCs w:val="22"/>
        </w:rPr>
        <w:t>Zamawiający nie dokonuje podziału zamówienia na części z uwagi na charakter oraz technologiczną i funkcjonalną spójność przedmiotu zamówienia.</w:t>
      </w:r>
    </w:p>
    <w:p>
      <w:pPr>
        <w:pStyle w:val="Tretekstu"/>
        <w:jc w:val="both"/>
        <w:rPr>
          <w:rFonts w:ascii="Times New Roman" w:hAnsi="Times New Roman"/>
          <w:sz w:val="22"/>
          <w:szCs w:val="22"/>
        </w:rPr>
      </w:pPr>
      <w:r>
        <w:rPr>
          <w:sz w:val="22"/>
          <w:szCs w:val="22"/>
        </w:rPr>
        <w:t>Przedmiot zamówienia obejmuje dostawę, montaż, podłączenie i uruchomienie agregatu prądotwórczego wraz z wykonaniem wszystkich niezbędnych instalacji, zabezpieczeń, układu automatycznego załączania rezerwy (SZR), przeprowadzeniem wymaganych prób i pomiarów oraz przekazaniem kompletnego i sprawnego układu zasilania awaryjnego do użytkowania.</w:t>
      </w:r>
    </w:p>
    <w:p>
      <w:pPr>
        <w:pStyle w:val="Tretekstu"/>
        <w:jc w:val="both"/>
        <w:rPr>
          <w:rFonts w:ascii="Times New Roman" w:hAnsi="Times New Roman"/>
          <w:sz w:val="22"/>
          <w:szCs w:val="22"/>
        </w:rPr>
      </w:pPr>
      <w:r>
        <w:rPr>
          <w:sz w:val="22"/>
          <w:szCs w:val="22"/>
        </w:rPr>
        <w:t>Poszczególne elementy zamówienia są ze sobą ściśle powiązane technicznie i powinny zostać wykonane jako jeden kompletny układ. Podział zamówienia, np. na odrębną dostawę agregatu, wykonanie instalacji elektrycznej, układu SZR oraz uruchomienie, wymagałby koordynowania prac kilku wykonawców i mógłby prowadzić do problemów na styku poszczególnych zakresów, w szczególności w zakresie kompatybilności zastosowanych urządzeń, prawidłowości ich współpracy oraz ustalenia odpowiedzialności za ewentualne nieprawidłowości.</w:t>
      </w:r>
    </w:p>
    <w:p>
      <w:pPr>
        <w:pStyle w:val="Tretekstu"/>
        <w:jc w:val="both"/>
        <w:rPr>
          <w:rFonts w:ascii="Times New Roman" w:hAnsi="Times New Roman"/>
          <w:sz w:val="22"/>
          <w:szCs w:val="22"/>
        </w:rPr>
      </w:pPr>
      <w:r>
        <w:rPr>
          <w:sz w:val="22"/>
          <w:szCs w:val="22"/>
        </w:rPr>
        <w:t>Powierzenie realizacji całości zamówienia jednemu wykonawcy pozwala na zachowanie jednolitej odpowiedzialności za dobór urządzeń, wykonanie instalacji, prawidłowe działanie automatyki, przeprowadzenie prób oraz osiągnięcie wymaganego efektu końcowego, tj. zapewnienie niezawodnego zasilania awaryjnego obiektu Domu Pomocy Społecznej w Obrytem.</w:t>
      </w:r>
    </w:p>
    <w:p>
      <w:pPr>
        <w:pStyle w:val="Tretekstu"/>
        <w:jc w:val="both"/>
        <w:rPr>
          <w:rFonts w:ascii="Times New Roman" w:hAnsi="Times New Roman"/>
          <w:sz w:val="22"/>
          <w:szCs w:val="22"/>
        </w:rPr>
      </w:pPr>
      <w:r>
        <w:rPr>
          <w:sz w:val="22"/>
          <w:szCs w:val="22"/>
        </w:rPr>
        <w:t>Podział zamówienia na części mógłby zatem powodować nadmierne trudności techniczne i organizacyjne, zwiększać ryzyko braku kompatybilności poszczególnych elementów oraz utrudniać jednoznaczne określenie odpowiedzialności gwarancyjnej za prawidłowe funkcjonowanie całego układu.</w:t>
      </w:r>
    </w:p>
    <w:p>
      <w:pPr>
        <w:pStyle w:val="Tretekstu"/>
        <w:jc w:val="both"/>
        <w:rPr>
          <w:rFonts w:ascii="Times New Roman" w:hAnsi="Times New Roman"/>
          <w:sz w:val="22"/>
          <w:szCs w:val="22"/>
        </w:rPr>
      </w:pPr>
      <w:r>
        <w:rPr>
          <w:sz w:val="22"/>
          <w:szCs w:val="22"/>
        </w:rPr>
        <w:t>Jednocześnie Zamawiający wskazuje, że brak podziału zamówienia na części nie ma na celu ograniczenia konkurencji ani utrudnienia dostępu do zamówienia małym i średnim przedsiębiorstwom. Zakres i wartość zamówienia umożliwiają jego realizację przez wykonawców działających na rynku dostaw i instalacji agregatów prądotwórczych, a decyzja o niedokonaniu podziału wynika wyłącznie z technicznego i funkcjonalnego charakteru przedmiotu zamówienia.</w:t>
      </w:r>
    </w:p>
    <w:p>
      <w:pPr>
        <w:pStyle w:val="Normal"/>
        <w:jc w:val="both"/>
        <w:rPr>
          <w:rFonts w:ascii="Times New Roman" w:hAnsi="Times New Roman" w:cs="Calibri"/>
          <w:sz w:val="22"/>
          <w:szCs w:val="22"/>
        </w:rPr>
      </w:pPr>
      <w:r>
        <w:rPr>
          <w:rFonts w:cs="Calibri"/>
          <w:sz w:val="22"/>
          <w:szCs w:val="22"/>
        </w:rPr>
      </w:r>
    </w:p>
    <w:p>
      <w:pPr>
        <w:pStyle w:val="Normal"/>
        <w:jc w:val="center"/>
        <w:rPr>
          <w:rFonts w:ascii="Times New Roman" w:hAnsi="Times New Roman"/>
          <w:sz w:val="22"/>
          <w:szCs w:val="22"/>
        </w:rPr>
      </w:pPr>
      <w:r>
        <w:rPr>
          <w:rFonts w:cs="Calibri"/>
          <w:b/>
          <w:sz w:val="22"/>
          <w:szCs w:val="22"/>
          <w:highlight w:val="lightGray"/>
        </w:rPr>
        <w:t>§ 22. </w:t>
      </w:r>
      <w:r>
        <w:rPr>
          <w:rFonts w:eastAsia="Times New Roman" w:cs="Calibri"/>
          <w:b/>
          <w:sz w:val="22"/>
          <w:szCs w:val="22"/>
          <w:highlight w:val="lightGray"/>
          <w:lang w:eastAsia="pl-PL"/>
        </w:rPr>
        <w:t>Informacje dotyczące ofert wariantowych, w tym informacje o sposobie przedstawiania ofert wariantowych oraz minimalne warunki, jakim muszą odpowiadać oferty wariantowe, jeżeli Zamawiający wymaga lub dopuszcza ich składanie</w:t>
      </w:r>
    </w:p>
    <w:p>
      <w:pPr>
        <w:pStyle w:val="Normal"/>
        <w:spacing w:before="120" w:after="0"/>
        <w:jc w:val="both"/>
        <w:rPr>
          <w:rFonts w:ascii="Times New Roman" w:hAnsi="Times New Roman" w:cs="Calibri"/>
          <w:sz w:val="22"/>
          <w:szCs w:val="22"/>
        </w:rPr>
      </w:pPr>
      <w:r>
        <w:rPr>
          <w:rFonts w:cs="Calibri"/>
          <w:sz w:val="22"/>
          <w:szCs w:val="22"/>
        </w:rPr>
        <w:t>Zamawiający nie dopuszcza składania ofert wariantowych.</w:t>
      </w:r>
    </w:p>
    <w:p>
      <w:pPr>
        <w:pStyle w:val="Normal"/>
        <w:jc w:val="both"/>
        <w:rPr>
          <w:rFonts w:ascii="Times New Roman" w:hAnsi="Times New Roman" w:cs="Calibri"/>
          <w:b/>
          <w:b/>
          <w:sz w:val="22"/>
          <w:szCs w:val="22"/>
        </w:rPr>
      </w:pPr>
      <w:r>
        <w:rPr>
          <w:rFonts w:cs="Calibri"/>
          <w:b/>
          <w:sz w:val="22"/>
          <w:szCs w:val="22"/>
        </w:rPr>
      </w:r>
    </w:p>
    <w:p>
      <w:pPr>
        <w:pStyle w:val="Normal"/>
        <w:jc w:val="center"/>
        <w:rPr>
          <w:rFonts w:ascii="Times New Roman" w:hAnsi="Times New Roman"/>
          <w:sz w:val="22"/>
          <w:szCs w:val="22"/>
        </w:rPr>
      </w:pPr>
      <w:r>
        <w:rPr>
          <w:rFonts w:cs="Calibri"/>
          <w:b/>
          <w:sz w:val="22"/>
          <w:szCs w:val="22"/>
          <w:highlight w:val="lightGray"/>
        </w:rPr>
        <w:t>§ 23. </w:t>
      </w:r>
      <w:r>
        <w:rPr>
          <w:rFonts w:eastAsia="Times New Roman" w:cs="Calibri"/>
          <w:b/>
          <w:sz w:val="22"/>
          <w:szCs w:val="22"/>
          <w:highlight w:val="lightGray"/>
          <w:lang w:eastAsia="pl-PL"/>
        </w:rPr>
        <w:t xml:space="preserve">Wymagania w zakresie zatrudnienia osób, o których mowa w art. 96 ust. 2 pkt 2, </w:t>
        <w:br/>
        <w:t>jeżeli zamawiający przewiduje takie wymagania</w:t>
      </w:r>
    </w:p>
    <w:p>
      <w:pPr>
        <w:pStyle w:val="Normal"/>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 dotyczy. </w:t>
      </w:r>
    </w:p>
    <w:p>
      <w:pPr>
        <w:pStyle w:val="Normal"/>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24. Informacja o zastrzeżeniu możliwości ubiegania się o udzielenie zamówienia wyłącznie przez Wykonawców, o których mowa w art. 94, jeżeli Zamawiający przewiduje takie wymagania</w:t>
      </w:r>
    </w:p>
    <w:p>
      <w:pPr>
        <w:pStyle w:val="Normal"/>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 dotyczy. </w:t>
      </w:r>
    </w:p>
    <w:p>
      <w:pPr>
        <w:pStyle w:val="Normal"/>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25. Wymagania dotyczące wadium, w tym jego kwotę, jeżeli Zamawiający przewiduje </w:t>
        <w:br/>
        <w:t>obowiązek wniesienia wadium</w:t>
      </w:r>
    </w:p>
    <w:p>
      <w:pPr>
        <w:pStyle w:val="Normal"/>
        <w:jc w:val="both"/>
        <w:rPr>
          <w:rFonts w:ascii="Times New Roman" w:hAnsi="Times New Roman" w:eastAsia="Times New Roman" w:cs="Calibri"/>
          <w:sz w:val="22"/>
          <w:szCs w:val="22"/>
          <w:lang w:eastAsia="pl-PL"/>
        </w:rPr>
      </w:pPr>
      <w:r>
        <w:rPr>
          <w:rFonts w:eastAsia="Times New Roman" w:cs="Calibri"/>
          <w:sz w:val="22"/>
          <w:szCs w:val="22"/>
          <w:lang w:eastAsia="pl-PL"/>
        </w:rPr>
        <w:t>Nie dotyczy.</w:t>
      </w:r>
    </w:p>
    <w:p>
      <w:pPr>
        <w:pStyle w:val="Normal"/>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26. Informacja o przewidywanych zamówieniach, o których mowa w art. 214 ust. 1 pkt 8, </w:t>
        <w:br/>
        <w:t>jeżeli Zamawiający przewiduje udzielenie takich zamówień</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 xml:space="preserve">Zamawiający nie przewiduje udzielenie zamówień, o których mowa w art. 214 ust. 1 pkt 8 ustawy PZP.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27. 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 xml:space="preserve">Zamawiający nie przewiduje przeprowadzenia wizji lokalnej.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28. Informacje dotyczące walut obcych, w jakich mogą być prowadzone rozliczenia między </w:t>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Zamawiającym a Wykonawcą, jeżeli Zamawiający przewiduje rozliczenia w walutach obcych</w:t>
      </w:r>
    </w:p>
    <w:p>
      <w:pPr>
        <w:pStyle w:val="Normal"/>
        <w:widowControl/>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 dotyczy. </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29. Informacje dotyczące zwrotu kosztów udziału w postępowaniu, </w:t>
        <w:br/>
        <w:t>jeżeli Zamawiający przewiduje ich zwrot</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t>Nie dotyczy.</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30. Informacja o obowiązku osobistego wykonania przez Wykonawcę kluczowych zadań, jeżeli Zamawiający dokonuje takiego zastrzeżenia zgodnie z art. 60 i art. 121</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 xml:space="preserve">Zamawiający nie zastrzega obowiązku osobistego wykonania przez Wykonawców kluczowych zadań dotyczących realizacji przedmiotu zamówienia. </w:t>
      </w:r>
    </w:p>
    <w:p>
      <w:pPr>
        <w:pStyle w:val="ListParagraph"/>
        <w:widowControl/>
        <w:suppressAutoHyphens w:val="false"/>
        <w:spacing w:before="120" w:after="0"/>
        <w:ind w:left="0" w:right="0" w:hanging="0"/>
        <w:contextualSpacing/>
        <w:jc w:val="both"/>
        <w:rPr>
          <w:rFonts w:ascii="Times New Roman" w:hAnsi="Times New Roman" w:cs="Calibri"/>
          <w:sz w:val="22"/>
          <w:szCs w:val="22"/>
        </w:rPr>
      </w:pPr>
      <w:r>
        <w:rPr>
          <w:rFonts w:cs="Calibri"/>
          <w:sz w:val="22"/>
          <w:szCs w:val="22"/>
        </w:rPr>
        <w:t xml:space="preserve">Zamawiający żąda wskazania przez Wykonawcę w Formularzu ofertowym części zamówienia, których wykonanie zamierza powierzyć podwykonawcom oraz podania nazw ew. podwykonawców, jeżeli </w:t>
        <w:br/>
        <w:t xml:space="preserve">są już znani. </w:t>
      </w:r>
    </w:p>
    <w:p>
      <w:pPr>
        <w:pStyle w:val="ListParagraph"/>
        <w:widowControl/>
        <w:suppressAutoHyphens w:val="false"/>
        <w:spacing w:before="0" w:after="0"/>
        <w:ind w:left="0" w:right="0" w:hanging="0"/>
        <w:contextualSpacing/>
        <w:jc w:val="both"/>
        <w:rPr>
          <w:rFonts w:ascii="Times New Roman" w:hAnsi="Times New Roman" w:cs="Calibri"/>
          <w:sz w:val="22"/>
          <w:szCs w:val="22"/>
        </w:rPr>
      </w:pPr>
      <w:r>
        <w:rPr>
          <w:rFonts w:cs="Calibri"/>
          <w:sz w:val="22"/>
          <w:szCs w:val="22"/>
        </w:rPr>
      </w:r>
    </w:p>
    <w:p>
      <w:pPr>
        <w:pStyle w:val="ListParagraph"/>
        <w:widowControl/>
        <w:suppressAutoHyphens w:val="false"/>
        <w:spacing w:before="0" w:after="0"/>
        <w:ind w:left="0" w:right="0" w:hanging="0"/>
        <w:contextualSpacing/>
        <w:jc w:val="center"/>
        <w:rPr>
          <w:rFonts w:ascii="Times New Roman" w:hAnsi="Times New Roman"/>
          <w:sz w:val="22"/>
          <w:szCs w:val="22"/>
        </w:rPr>
      </w:pPr>
      <w:r>
        <w:rPr>
          <w:rFonts w:cs="Calibri"/>
          <w:b/>
          <w:sz w:val="22"/>
          <w:szCs w:val="22"/>
          <w:highlight w:val="lightGray"/>
        </w:rPr>
        <w:t>§ 31. </w:t>
      </w:r>
      <w:r>
        <w:rPr>
          <w:rFonts w:eastAsia="Times New Roman" w:cs="Calibri"/>
          <w:b/>
          <w:sz w:val="22"/>
          <w:szCs w:val="22"/>
          <w:highlight w:val="lightGray"/>
          <w:lang w:eastAsia="pl-PL"/>
        </w:rPr>
        <w:t xml:space="preserve">Maksymalna liczbę Wykonawców, z którymi Zamawiający zawrze umowę ramową, </w:t>
        <w:br/>
        <w:t>jeżeli Zamawiający przewiduje zawarcie umowy ramowej</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t>Nie dotyczy.</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32. Informacja o przewidywanym wyborze najkorzystniejszej oferty z zastosowaniem </w:t>
        <w:br/>
        <w:t xml:space="preserve">aukcji elektronicznej wraz z informacjami, o których mowa w art. 230, </w:t>
        <w:br/>
        <w:t>jeżeli Zamawiający przewiduje aukcję elektroniczną</w:t>
      </w:r>
    </w:p>
    <w:p>
      <w:pPr>
        <w:pStyle w:val="Normal"/>
        <w:spacing w:before="120" w:after="0"/>
        <w:rPr>
          <w:rFonts w:ascii="Times New Roman" w:hAnsi="Times New Roman" w:cs="Calibri"/>
          <w:sz w:val="22"/>
          <w:szCs w:val="22"/>
        </w:rPr>
      </w:pPr>
      <w:r>
        <w:rPr>
          <w:rFonts w:cs="Calibri"/>
          <w:sz w:val="22"/>
          <w:szCs w:val="22"/>
        </w:rPr>
        <w:t>Zamawiający nie przewiduje przeprowadzenia aukcji elektronicznej.</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33. Wymóg lub możliwość złożenia ofert w postaci katalogów elektronicznych lub dołączenia katalogów elektronicznych do oferty, w sytuacji określonej w art. 93</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t>Nie dotyczy.</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xml:space="preserve">§ 34. Informacje dotyczące zabezpieczenia należytego wykonania umowy, </w:t>
        <w:br/>
        <w:t>jeżeli Zamawiający je przewiduje</w:t>
      </w:r>
    </w:p>
    <w:p>
      <w:pPr>
        <w:pStyle w:val="Normal"/>
        <w:jc w:val="both"/>
        <w:rPr>
          <w:rFonts w:ascii="Times New Roman" w:hAnsi="Times New Roman" w:cs="Calibri"/>
          <w:sz w:val="22"/>
          <w:szCs w:val="22"/>
        </w:rPr>
      </w:pPr>
      <w:r>
        <w:rPr>
          <w:rFonts w:cs="Calibri"/>
          <w:sz w:val="22"/>
          <w:szCs w:val="22"/>
        </w:rPr>
        <w:t xml:space="preserve">Nie dotyczy. </w:t>
      </w:r>
    </w:p>
    <w:p>
      <w:pPr>
        <w:pStyle w:val="Normal"/>
        <w:widowControl/>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Times New Roman" w:cs="Calibri"/>
          <w:b/>
          <w:b/>
          <w:sz w:val="22"/>
          <w:szCs w:val="22"/>
          <w:highlight w:val="lightGray"/>
          <w:lang w:eastAsia="pl-PL"/>
        </w:rPr>
      </w:pPr>
      <w:r>
        <w:rPr>
          <w:rFonts w:eastAsia="Times New Roman" w:cs="Calibri"/>
          <w:b/>
          <w:sz w:val="22"/>
          <w:szCs w:val="22"/>
          <w:highlight w:val="lightGray"/>
          <w:lang w:eastAsia="pl-PL"/>
        </w:rPr>
        <w:t>§ 35. Załączniki</w:t>
      </w:r>
    </w:p>
    <w:p>
      <w:pPr>
        <w:pStyle w:val="Normal"/>
        <w:widowControl/>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Oferta wraz z załącznikami nr 1-7 – załącznik Nr 1 do SWZ</w:t>
      </w:r>
    </w:p>
    <w:p>
      <w:pPr>
        <w:pStyle w:val="Normal"/>
        <w:widowControl/>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Istotne dla stron postanowienia umowne – załącznik Nr 2 do SWZ</w:t>
      </w:r>
      <w:r>
        <w:br w:type="page"/>
      </w:r>
    </w:p>
    <w:p>
      <w:pPr>
        <w:pStyle w:val="Normal"/>
        <w:widowControl/>
        <w:suppressAutoHyphens w:val="false"/>
        <w:jc w:val="right"/>
        <w:rPr>
          <w:rFonts w:ascii="Times New Roman" w:hAnsi="Times New Roman" w:eastAsia="Times New Roman" w:cs="Calibri"/>
          <w:b/>
          <w:b/>
          <w:sz w:val="22"/>
          <w:szCs w:val="22"/>
          <w:lang w:eastAsia="pl-PL"/>
        </w:rPr>
      </w:pPr>
      <w:r>
        <w:rPr>
          <w:rFonts w:eastAsia="Times New Roman" w:cs="Calibri"/>
          <w:b/>
          <w:sz w:val="22"/>
          <w:szCs w:val="22"/>
          <w:lang w:eastAsia="pl-PL"/>
        </w:rPr>
        <w:t>Załącznik Nr 1 do SWZ</w:t>
      </w:r>
    </w:p>
    <w:p>
      <w:pPr>
        <w:pStyle w:val="Normal"/>
        <w:widowControl/>
        <w:suppressAutoHyphens w:val="false"/>
        <w:jc w:val="both"/>
        <w:rPr>
          <w:rFonts w:ascii="Times New Roman" w:hAnsi="Times New Roman" w:eastAsia="Times New Roman" w:cs="Calibri"/>
          <w:bCs/>
          <w:sz w:val="22"/>
          <w:szCs w:val="22"/>
          <w:lang w:eastAsia="pl-PL"/>
        </w:rPr>
      </w:pPr>
      <w:r>
        <w:rPr>
          <w:rFonts w:eastAsia="Times New Roman" w:cs="Calibri"/>
          <w:bCs/>
          <w:sz w:val="22"/>
          <w:szCs w:val="22"/>
          <w:lang w:eastAsia="pl-PL"/>
        </w:rPr>
        <w:t>DPS.ZP.264/TP8/2026</w:t>
      </w:r>
    </w:p>
    <w:p>
      <w:pPr>
        <w:pStyle w:val="Normal"/>
        <w:jc w:val="center"/>
        <w:rPr>
          <w:rFonts w:ascii="Times New Roman" w:hAnsi="Times New Roman" w:eastAsia="Times New Roman" w:cs="Calibri"/>
          <w:b/>
          <w:b/>
          <w:spacing w:val="100"/>
          <w:sz w:val="22"/>
          <w:szCs w:val="22"/>
          <w:lang w:eastAsia="zh-CN"/>
        </w:rPr>
      </w:pPr>
      <w:r>
        <w:rPr>
          <w:rFonts w:eastAsia="Times New Roman" w:cs="Calibri"/>
          <w:b/>
          <w:spacing w:val="100"/>
          <w:sz w:val="22"/>
          <w:szCs w:val="22"/>
          <w:lang w:eastAsia="zh-CN"/>
        </w:rPr>
        <w:t>OFERTA</w:t>
      </w:r>
    </w:p>
    <w:p>
      <w:pPr>
        <w:pStyle w:val="Normal"/>
        <w:jc w:val="both"/>
        <w:rPr>
          <w:rFonts w:ascii="Times New Roman" w:hAnsi="Times New Roman" w:cs="Calibri"/>
          <w:sz w:val="22"/>
          <w:szCs w:val="22"/>
        </w:rPr>
      </w:pPr>
      <w:r>
        <w:rPr>
          <w:rFonts w:cs="Calibri"/>
          <w:sz w:val="22"/>
          <w:szCs w:val="22"/>
        </w:rPr>
        <w:t>Wykonawca:</w:t>
      </w:r>
    </w:p>
    <w:p>
      <w:pPr>
        <w:pStyle w:val="Normal"/>
        <w:spacing w:before="240" w:after="0"/>
        <w:rPr>
          <w:rFonts w:ascii="Times New Roman" w:hAnsi="Times New Roman" w:cs="Calibri"/>
          <w:sz w:val="22"/>
          <w:szCs w:val="22"/>
        </w:rPr>
      </w:pPr>
      <w:r>
        <w:rPr>
          <w:rFonts w:cs="Calibri"/>
          <w:sz w:val="22"/>
          <w:szCs w:val="22"/>
        </w:rPr>
        <w:t xml:space="preserve">nazwa </w:t>
        <w:tab/>
        <w:t>..............................................................................................</w:t>
      </w:r>
    </w:p>
    <w:p>
      <w:pPr>
        <w:pStyle w:val="Normal"/>
        <w:spacing w:before="240" w:after="0"/>
        <w:rPr>
          <w:rFonts w:ascii="Times New Roman" w:hAnsi="Times New Roman" w:cs="Calibri"/>
          <w:sz w:val="22"/>
          <w:szCs w:val="22"/>
        </w:rPr>
      </w:pPr>
      <w:r>
        <w:rPr>
          <w:rFonts w:cs="Calibri"/>
          <w:sz w:val="22"/>
          <w:szCs w:val="22"/>
        </w:rPr>
        <w:t xml:space="preserve">adres </w:t>
        <w:tab/>
        <w:t xml:space="preserve">ul. .................................................... </w:t>
        <w:tab/>
        <w:tab/>
        <w:t>miejscowość ..........................................</w:t>
      </w:r>
    </w:p>
    <w:p>
      <w:pPr>
        <w:pStyle w:val="Normal"/>
        <w:spacing w:before="240" w:after="0"/>
        <w:ind w:left="0" w:right="0" w:firstLine="709"/>
        <w:rPr>
          <w:rFonts w:ascii="Times New Roman" w:hAnsi="Times New Roman" w:cs="Calibri"/>
          <w:sz w:val="22"/>
          <w:szCs w:val="22"/>
        </w:rPr>
      </w:pPr>
      <w:r>
        <w:rPr>
          <w:rFonts w:cs="Calibri"/>
          <w:sz w:val="22"/>
          <w:szCs w:val="22"/>
        </w:rPr>
        <w:t xml:space="preserve">kod pocztowy </w:t>
        <w:tab/>
        <w:t xml:space="preserve">......-............ </w:t>
        <w:tab/>
        <w:tab/>
        <w:tab/>
        <w:t>województwo ......................................</w:t>
      </w:r>
    </w:p>
    <w:p>
      <w:pPr>
        <w:pStyle w:val="Normal"/>
        <w:tabs>
          <w:tab w:val="clear" w:pos="708"/>
          <w:tab w:val="left" w:pos="0" w:leader="none"/>
        </w:tabs>
        <w:spacing w:before="240" w:after="0"/>
        <w:jc w:val="both"/>
        <w:rPr>
          <w:rFonts w:ascii="Times New Roman" w:hAnsi="Times New Roman" w:cs="Calibri"/>
          <w:sz w:val="22"/>
          <w:szCs w:val="22"/>
        </w:rPr>
      </w:pPr>
      <w:r>
        <w:rPr>
          <w:rFonts w:cs="Calibri"/>
          <w:sz w:val="22"/>
          <w:szCs w:val="22"/>
        </w:rPr>
        <w:t xml:space="preserve">REGON </w:t>
        <w:tab/>
        <w:t xml:space="preserve">............................................................... </w:t>
        <w:tab/>
        <w:t xml:space="preserve">NIP </w:t>
        <w:tab/>
        <w:t>.......................................................</w:t>
      </w:r>
    </w:p>
    <w:p>
      <w:pPr>
        <w:pStyle w:val="Normal"/>
        <w:spacing w:before="240" w:after="0"/>
        <w:rPr>
          <w:rFonts w:ascii="Times New Roman" w:hAnsi="Times New Roman" w:cs="Calibri"/>
          <w:sz w:val="22"/>
          <w:szCs w:val="22"/>
          <w:lang w:val="de-DE"/>
        </w:rPr>
      </w:pPr>
      <w:r>
        <w:rPr>
          <w:rFonts w:cs="Calibri"/>
          <w:sz w:val="22"/>
          <w:szCs w:val="22"/>
          <w:lang w:val="de-DE"/>
        </w:rPr>
        <w:t xml:space="preserve">tel. </w:t>
        <w:tab/>
        <w:t>......................................................................</w:t>
        <w:tab/>
        <w:t xml:space="preserve">fax. </w:t>
        <w:tab/>
        <w:t>.......................................................</w:t>
      </w:r>
    </w:p>
    <w:p>
      <w:pPr>
        <w:pStyle w:val="Normal"/>
        <w:spacing w:before="240" w:after="0"/>
        <w:jc w:val="both"/>
        <w:rPr>
          <w:rFonts w:ascii="Times New Roman" w:hAnsi="Times New Roman" w:cs="Calibri"/>
          <w:sz w:val="22"/>
          <w:szCs w:val="22"/>
          <w:lang w:val="de-DE"/>
        </w:rPr>
      </w:pPr>
      <w:r>
        <w:rPr>
          <w:rFonts w:cs="Calibri"/>
          <w:sz w:val="22"/>
          <w:szCs w:val="22"/>
          <w:lang w:val="de-DE"/>
        </w:rPr>
        <w:t xml:space="preserve">Internet: </w:t>
        <w:tab/>
        <w:t>http:// ...................................................</w:t>
        <w:tab/>
        <w:t>e-mail ......................................</w:t>
      </w:r>
    </w:p>
    <w:p>
      <w:pPr>
        <w:pStyle w:val="Normal"/>
        <w:spacing w:before="240" w:after="0"/>
        <w:jc w:val="both"/>
        <w:rPr>
          <w:rFonts w:ascii="Times New Roman" w:hAnsi="Times New Roman" w:eastAsia="Times New Roman" w:cs="Calibri"/>
          <w:sz w:val="22"/>
          <w:szCs w:val="22"/>
          <w:lang w:eastAsia="zh-CN"/>
        </w:rPr>
      </w:pPr>
      <w:r>
        <w:rPr>
          <w:rFonts w:eastAsia="Times New Roman" w:cs="Calibri"/>
          <w:sz w:val="22"/>
          <w:szCs w:val="22"/>
          <w:lang w:eastAsia="zh-CN"/>
        </w:rPr>
        <w:t>Imię i nazwisko osoby/osób reprezentującej Wykonawcę / Wykonawców ………………………………………</w:t>
      </w:r>
    </w:p>
    <w:p>
      <w:pPr>
        <w:pStyle w:val="Normal"/>
        <w:spacing w:before="120" w:after="0"/>
        <w:jc w:val="both"/>
        <w:rPr>
          <w:rFonts w:ascii="Times New Roman" w:hAnsi="Times New Roman" w:eastAsia="Times New Roman" w:cs="Calibri"/>
          <w:spacing w:val="-2"/>
          <w:sz w:val="22"/>
          <w:szCs w:val="22"/>
          <w:lang w:eastAsia="zh-CN"/>
        </w:rPr>
      </w:pPr>
      <w:r>
        <w:rPr>
          <w:rFonts w:eastAsia="Times New Roman" w:cs="Calibri"/>
          <w:spacing w:val="-2"/>
          <w:sz w:val="22"/>
          <w:szCs w:val="22"/>
          <w:lang w:eastAsia="zh-CN"/>
        </w:rPr>
      </w:r>
    </w:p>
    <w:p>
      <w:pPr>
        <w:pStyle w:val="Normal"/>
        <w:spacing w:before="120" w:after="0"/>
        <w:jc w:val="both"/>
        <w:rPr>
          <w:rFonts w:ascii="Times New Roman" w:hAnsi="Times New Roman" w:eastAsia="Times New Roman" w:cs="Calibri"/>
          <w:spacing w:val="-2"/>
          <w:sz w:val="22"/>
          <w:szCs w:val="22"/>
          <w:lang w:eastAsia="zh-CN"/>
        </w:rPr>
      </w:pPr>
      <w:r>
        <w:rPr>
          <w:rFonts w:eastAsia="Times New Roman" w:cs="Calibri"/>
          <w:spacing w:val="-2"/>
          <w:sz w:val="22"/>
          <w:szCs w:val="22"/>
          <w:lang w:eastAsia="zh-CN"/>
        </w:rPr>
        <w:t>Niniejszym składamy ofertę w postępowaniu o udzielenie zamówienia publicznego w trybie podstawowym na</w:t>
      </w:r>
      <w:bookmarkStart w:id="0" w:name="_Hlk173307734"/>
      <w:bookmarkStart w:id="1" w:name="_Hlk173401563"/>
      <w:bookmarkEnd w:id="0"/>
      <w:bookmarkEnd w:id="1"/>
    </w:p>
    <w:p>
      <w:pPr>
        <w:pStyle w:val="Normal"/>
        <w:spacing w:before="120" w:after="120"/>
        <w:jc w:val="center"/>
        <w:rPr>
          <w:rFonts w:ascii="Times New Roman" w:hAnsi="Times New Roman"/>
          <w:sz w:val="22"/>
          <w:szCs w:val="22"/>
        </w:rPr>
      </w:pPr>
      <w:r>
        <w:rPr>
          <w:rFonts w:eastAsia="Times New Roman" w:cs="Calibri"/>
          <w:b/>
          <w:bCs/>
          <w:iCs/>
          <w:sz w:val="22"/>
          <w:szCs w:val="22"/>
          <w:lang w:eastAsia="zh-CN"/>
        </w:rPr>
        <w:t>„</w:t>
      </w:r>
      <w:r>
        <w:rPr>
          <w:rFonts w:eastAsia="Times New Roman" w:cs="Calibri"/>
          <w:b/>
          <w:bCs/>
          <w:iCs/>
          <w:sz w:val="22"/>
          <w:szCs w:val="22"/>
          <w:lang w:eastAsia="zh-CN"/>
        </w:rPr>
        <w:t>Dostawę fabrycznie nowego stacjonarnego agregatu prądotwórczego na potrzeby zasilania awaryjnego Domu Pomocy Społecznej w Obrytem”</w:t>
      </w:r>
    </w:p>
    <w:p>
      <w:pPr>
        <w:pStyle w:val="Normal"/>
        <w:rPr>
          <w:rFonts w:ascii="Times New Roman" w:hAnsi="Times New Roman"/>
          <w:sz w:val="22"/>
          <w:szCs w:val="22"/>
        </w:rPr>
      </w:pPr>
      <w:r>
        <w:rPr>
          <w:rFonts w:eastAsia="Times New Roman" w:cs="Calibri"/>
          <w:bCs/>
          <w:sz w:val="22"/>
          <w:szCs w:val="22"/>
          <w:lang w:eastAsia="zh-CN"/>
        </w:rPr>
        <w:t xml:space="preserve">prowadzonego przez Powiat Pułtuski, jednostka organizacyjna: </w:t>
      </w:r>
      <w:r>
        <w:rPr>
          <w:rFonts w:eastAsia="Times New Roman" w:cs="Calibri"/>
          <w:b/>
          <w:bCs/>
          <w:i/>
          <w:sz w:val="22"/>
          <w:szCs w:val="22"/>
          <w:lang w:eastAsia="zh-CN"/>
        </w:rPr>
        <w:t>Dom Pomocy Społecznej w Obrytem</w:t>
      </w:r>
    </w:p>
    <w:p>
      <w:pPr>
        <w:pStyle w:val="Normal"/>
        <w:widowControl/>
        <w:rPr>
          <w:rFonts w:ascii="Times New Roman" w:hAnsi="Times New Roman" w:eastAsia="TTE1C8A9A8t00" w:cs="Calibri"/>
          <w:sz w:val="22"/>
          <w:szCs w:val="22"/>
          <w:lang w:eastAsia="zh-CN"/>
        </w:rPr>
      </w:pPr>
      <w:r>
        <w:rPr>
          <w:rFonts w:eastAsia="TTE1C8A9A8t00" w:cs="Calibri"/>
          <w:sz w:val="22"/>
          <w:szCs w:val="22"/>
          <w:lang w:eastAsia="zh-CN"/>
        </w:rPr>
      </w:r>
    </w:p>
    <w:p>
      <w:pPr>
        <w:pStyle w:val="Normal"/>
        <w:widowControl/>
        <w:rPr>
          <w:rFonts w:ascii="Times New Roman" w:hAnsi="Times New Roman"/>
          <w:sz w:val="22"/>
          <w:szCs w:val="22"/>
        </w:rPr>
      </w:pPr>
      <w:r>
        <w:rPr>
          <w:rFonts w:eastAsia="TTE1C8A9A8t00" w:cs="Calibri"/>
          <w:sz w:val="22"/>
          <w:szCs w:val="22"/>
          <w:lang w:eastAsia="zh-CN"/>
        </w:rPr>
        <w:t>Oferujemy wykonanie przedmiotu zamówienia za cenę ryczałtową wynoszącą:</w:t>
      </w:r>
    </w:p>
    <w:p>
      <w:pPr>
        <w:pStyle w:val="Normal"/>
        <w:widowControl/>
        <w:rPr>
          <w:rFonts w:ascii="Times New Roman" w:hAnsi="Times New Roman" w:eastAsia="TTE1C8A9A8t00" w:cs="Calibri"/>
          <w:sz w:val="22"/>
          <w:szCs w:val="22"/>
          <w:lang w:eastAsia="zh-CN"/>
        </w:rPr>
      </w:pPr>
      <w:r>
        <w:rPr>
          <w:rFonts w:eastAsia="TTE1C8A9A8t00" w:cs="Calibri"/>
          <w:sz w:val="22"/>
          <w:szCs w:val="22"/>
          <w:lang w:eastAsia="zh-CN"/>
        </w:rPr>
      </w:r>
    </w:p>
    <w:p>
      <w:pPr>
        <w:pStyle w:val="Normal"/>
        <w:widowControl/>
        <w:jc w:val="both"/>
        <w:rPr>
          <w:rFonts w:ascii="Times New Roman" w:hAnsi="Times New Roman" w:eastAsia="TTE1C8A9A8t00" w:cs="Calibri"/>
          <w:b/>
          <w:b/>
          <w:bCs/>
          <w:iCs/>
          <w:sz w:val="22"/>
          <w:szCs w:val="22"/>
          <w:u w:val="single"/>
          <w:lang w:eastAsia="zh-CN"/>
        </w:rPr>
      </w:pPr>
      <w:r>
        <w:rPr>
          <w:rFonts w:eastAsia="TTE1C8A9A8t00" w:cs="Calibri"/>
          <w:b/>
          <w:bCs/>
          <w:iCs/>
          <w:sz w:val="22"/>
          <w:szCs w:val="22"/>
          <w:u w:val="single"/>
          <w:lang w:eastAsia="zh-CN"/>
        </w:rPr>
      </w:r>
    </w:p>
    <w:p>
      <w:pPr>
        <w:pStyle w:val="Normal"/>
        <w:spacing w:before="120" w:after="0"/>
        <w:jc w:val="both"/>
        <w:rPr>
          <w:rFonts w:ascii="Times New Roman" w:hAnsi="Times New Roman" w:eastAsia="TTE1C8A9A8t00" w:cs="Calibri"/>
          <w:sz w:val="22"/>
          <w:szCs w:val="22"/>
          <w:lang w:eastAsia="zh-CN"/>
        </w:rPr>
      </w:pPr>
      <w:r>
        <w:rPr>
          <w:rFonts w:eastAsia="TTE1C8A9A8t00" w:cs="Calibri"/>
          <w:sz w:val="22"/>
          <w:szCs w:val="22"/>
          <w:lang w:eastAsia="zh-CN"/>
        </w:rPr>
        <w:t>…………………………………… </w:t>
      </w:r>
      <w:r>
        <w:rPr>
          <w:rFonts w:eastAsia="TTE1C8A9A8t00" w:cs="Calibri"/>
          <w:sz w:val="22"/>
          <w:szCs w:val="22"/>
          <w:lang w:eastAsia="zh-CN"/>
        </w:rPr>
        <w:t>zł netto</w:t>
      </w:r>
    </w:p>
    <w:p>
      <w:pPr>
        <w:pStyle w:val="Normal"/>
        <w:spacing w:before="120" w:after="0"/>
        <w:jc w:val="both"/>
        <w:rPr>
          <w:rFonts w:ascii="Times New Roman" w:hAnsi="Times New Roman" w:eastAsia="TTE1C8A9A8t00" w:cs="Calibri"/>
          <w:sz w:val="22"/>
          <w:szCs w:val="22"/>
          <w:lang w:eastAsia="zh-CN"/>
        </w:rPr>
      </w:pPr>
      <w:r>
        <w:rPr>
          <w:rFonts w:eastAsia="TTE1C8A9A8t00" w:cs="Calibri"/>
          <w:sz w:val="22"/>
          <w:szCs w:val="22"/>
          <w:lang w:eastAsia="zh-CN"/>
        </w:rPr>
        <w:t>VAT: ……………… % w kwocie …………………….. zł</w:t>
      </w:r>
    </w:p>
    <w:p>
      <w:pPr>
        <w:pStyle w:val="Normal"/>
        <w:spacing w:before="120" w:after="0"/>
        <w:jc w:val="both"/>
        <w:rPr>
          <w:rFonts w:ascii="Times New Roman" w:hAnsi="Times New Roman" w:eastAsia="TTE1C8A9A8t00" w:cs="Calibri"/>
          <w:sz w:val="22"/>
          <w:szCs w:val="22"/>
          <w:lang w:eastAsia="zh-CN"/>
        </w:rPr>
      </w:pPr>
      <w:r>
        <w:rPr>
          <w:rFonts w:eastAsia="TTE1C8A9A8t00" w:cs="Calibri"/>
          <w:sz w:val="22"/>
          <w:szCs w:val="22"/>
          <w:lang w:eastAsia="zh-CN"/>
        </w:rPr>
        <w:t>…………………………………… </w:t>
      </w:r>
      <w:r>
        <w:rPr>
          <w:rFonts w:eastAsia="TTE1C8A9A8t00" w:cs="Calibri"/>
          <w:sz w:val="22"/>
          <w:szCs w:val="22"/>
          <w:lang w:eastAsia="zh-CN"/>
        </w:rPr>
        <w:t>zł brutto</w:t>
      </w:r>
    </w:p>
    <w:p>
      <w:pPr>
        <w:pStyle w:val="Normal"/>
        <w:spacing w:before="120" w:after="0"/>
        <w:jc w:val="both"/>
        <w:rPr>
          <w:rFonts w:ascii="Times New Roman" w:hAnsi="Times New Roman" w:eastAsia="TTE1C8A9A8t00" w:cs="Calibri"/>
          <w:sz w:val="22"/>
          <w:szCs w:val="22"/>
          <w:lang w:eastAsia="zh-CN"/>
        </w:rPr>
      </w:pPr>
      <w:r>
        <w:rPr>
          <w:rFonts w:eastAsia="TTE1C8A9A8t00" w:cs="Calibri"/>
          <w:sz w:val="22"/>
          <w:szCs w:val="22"/>
          <w:lang w:eastAsia="zh-CN"/>
        </w:rPr>
        <w:t>Słownie …………………………………………………………………………………………………………………………. zł brutto.</w:t>
      </w:r>
    </w:p>
    <w:p>
      <w:pPr>
        <w:pStyle w:val="Normal"/>
        <w:spacing w:before="120" w:after="0"/>
        <w:jc w:val="both"/>
        <w:rPr>
          <w:rFonts w:ascii="Times New Roman" w:hAnsi="Times New Roman" w:eastAsia="TTE1C8A9A8t00" w:cs="Calibri"/>
          <w:b/>
          <w:b/>
          <w:bCs/>
          <w:iCs/>
          <w:sz w:val="22"/>
          <w:szCs w:val="22"/>
          <w:u w:val="single"/>
          <w:lang w:eastAsia="zh-CN"/>
        </w:rPr>
      </w:pPr>
      <w:r>
        <w:rPr>
          <w:rFonts w:eastAsia="TTE1C8A9A8t00" w:cs="Calibri"/>
          <w:b/>
          <w:bCs/>
          <w:iCs/>
          <w:sz w:val="22"/>
          <w:szCs w:val="22"/>
          <w:u w:val="single"/>
          <w:lang w:eastAsia="zh-CN"/>
        </w:rPr>
      </w:r>
    </w:p>
    <w:p>
      <w:pPr>
        <w:pStyle w:val="Normal"/>
        <w:ind w:left="17" w:right="0" w:hanging="0"/>
        <w:jc w:val="both"/>
        <w:rPr>
          <w:rFonts w:ascii="Times New Roman" w:hAnsi="Times New Roman" w:eastAsia="Times New Roman" w:cs="Calibri"/>
          <w:b/>
          <w:b/>
          <w:bCs/>
          <w:sz w:val="22"/>
          <w:szCs w:val="22"/>
          <w:u w:val="single"/>
        </w:rPr>
      </w:pPr>
      <w:r>
        <w:rPr>
          <w:rFonts w:eastAsia="Times New Roman" w:cs="Calibri"/>
          <w:b/>
          <w:bCs/>
          <w:sz w:val="22"/>
          <w:szCs w:val="22"/>
          <w:u w:val="single"/>
        </w:rPr>
        <w:t>Oświadczamy, że:</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uzyskaliśmy informacje niezbędne do przygotowania oferty i właściwego wykonania zamówienia,</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cena oferty wskazana powyżej zawiera wszelkie koszty związane z realizacją niniejszego zamówienia,</w:t>
      </w:r>
    </w:p>
    <w:p>
      <w:pPr>
        <w:pStyle w:val="Normal"/>
        <w:numPr>
          <w:ilvl w:val="0"/>
          <w:numId w:val="9"/>
        </w:numPr>
        <w:tabs>
          <w:tab w:val="clear" w:pos="708"/>
          <w:tab w:val="left" w:pos="283" w:leader="none"/>
        </w:tabs>
        <w:spacing w:before="120" w:after="0"/>
        <w:ind w:left="284" w:right="0" w:hanging="284"/>
        <w:jc w:val="both"/>
        <w:rPr>
          <w:rFonts w:ascii="Times New Roman" w:hAnsi="Times New Roman" w:eastAsia="Times New Roman" w:cs="Calibri"/>
          <w:sz w:val="22"/>
          <w:szCs w:val="22"/>
          <w:lang w:eastAsia="zh-CN"/>
        </w:rPr>
      </w:pPr>
      <w:r>
        <w:rPr>
          <w:rFonts w:eastAsia="Times New Roman" w:cs="Calibri"/>
          <w:sz w:val="22"/>
          <w:szCs w:val="22"/>
          <w:lang w:eastAsia="zh-CN"/>
        </w:rPr>
        <w:t>wybór oferty nie będzie prowadzić do powstania u zamawiającego obowiązku podatkowego / wybór oferty będzie prowadzić do powstania u zamawiającego obowiązku podatkowego w odniesieniu do następujących towarów:</w:t>
      </w:r>
    </w:p>
    <w:p>
      <w:pPr>
        <w:pStyle w:val="Normal"/>
        <w:ind w:left="283" w:right="0" w:hanging="0"/>
        <w:jc w:val="both"/>
        <w:rPr>
          <w:rFonts w:ascii="Times New Roman" w:hAnsi="Times New Roman" w:eastAsia="Times New Roman" w:cs="Calibri"/>
          <w:sz w:val="22"/>
          <w:szCs w:val="22"/>
          <w:lang w:eastAsia="zh-CN"/>
        </w:rPr>
      </w:pPr>
      <w:r>
        <w:rPr>
          <w:rFonts w:eastAsia="Times New Roman" w:cs="Calibri"/>
          <w:sz w:val="22"/>
          <w:szCs w:val="22"/>
          <w:lang w:eastAsia="zh-CN"/>
        </w:rPr>
        <w:t xml:space="preserve">.........................................................................................................................................., </w:t>
      </w:r>
    </w:p>
    <w:p>
      <w:pPr>
        <w:pStyle w:val="Normal"/>
        <w:ind w:left="283" w:right="0" w:hanging="0"/>
        <w:jc w:val="both"/>
        <w:rPr>
          <w:rFonts w:ascii="Times New Roman" w:hAnsi="Times New Roman" w:eastAsia="Times New Roman" w:cs="Calibri"/>
          <w:sz w:val="22"/>
          <w:szCs w:val="22"/>
          <w:lang w:eastAsia="zh-CN"/>
        </w:rPr>
      </w:pPr>
      <w:r>
        <w:rPr>
          <w:rFonts w:eastAsia="Times New Roman" w:cs="Calibri"/>
          <w:sz w:val="22"/>
          <w:szCs w:val="22"/>
          <w:lang w:eastAsia="zh-CN"/>
        </w:rPr>
        <w:t xml:space="preserve">.........................................................................................................................................., </w:t>
      </w:r>
    </w:p>
    <w:p>
      <w:pPr>
        <w:pStyle w:val="Normal"/>
        <w:ind w:left="283" w:right="0" w:hanging="0"/>
        <w:jc w:val="both"/>
        <w:rPr>
          <w:rFonts w:ascii="Times New Roman" w:hAnsi="Times New Roman" w:eastAsia="Times New Roman" w:cs="Calibri"/>
          <w:sz w:val="22"/>
          <w:szCs w:val="22"/>
          <w:lang w:eastAsia="zh-CN"/>
        </w:rPr>
      </w:pPr>
      <w:r>
        <w:rPr>
          <w:rFonts w:eastAsia="Times New Roman" w:cs="Calibri"/>
          <w:sz w:val="22"/>
          <w:szCs w:val="22"/>
          <w:lang w:eastAsia="zh-CN"/>
        </w:rPr>
        <w:t>Wartość towaru powodująca obowiązek podatkowy u zamawiającego to ......................... zł netto.**</w:t>
      </w:r>
    </w:p>
    <w:p>
      <w:pPr>
        <w:pStyle w:val="Normal"/>
        <w:numPr>
          <w:ilvl w:val="0"/>
          <w:numId w:val="9"/>
        </w:numPr>
        <w:tabs>
          <w:tab w:val="clear" w:pos="708"/>
          <w:tab w:val="left" w:pos="283" w:leader="none"/>
        </w:tabs>
        <w:spacing w:before="120" w:after="0"/>
        <w:ind w:left="284" w:right="0" w:hanging="284"/>
        <w:jc w:val="both"/>
        <w:rPr/>
      </w:pPr>
      <w:r>
        <w:rPr>
          <w:rFonts w:cs="Calibri"/>
          <w:sz w:val="22"/>
          <w:szCs w:val="22"/>
        </w:rPr>
        <w:t xml:space="preserve">przedmiot zamówienia wykonamy w terminie </w:t>
      </w:r>
      <w:r>
        <w:rPr>
          <w:rFonts w:cs="Calibri"/>
          <w:b/>
          <w:bCs/>
          <w:sz w:val="22"/>
          <w:szCs w:val="22"/>
        </w:rPr>
        <w:t xml:space="preserve">do </w:t>
      </w:r>
      <w:r>
        <w:rPr>
          <w:rFonts w:cs="Calibri"/>
          <w:b/>
          <w:bCs/>
          <w:sz w:val="22"/>
          <w:szCs w:val="22"/>
        </w:rPr>
        <w:t>30</w:t>
      </w:r>
      <w:r>
        <w:rPr>
          <w:rFonts w:cs="Calibri"/>
          <w:b/>
          <w:bCs/>
          <w:sz w:val="22"/>
          <w:szCs w:val="22"/>
        </w:rPr>
        <w:t xml:space="preserve"> dni</w:t>
      </w:r>
      <w:r>
        <w:rPr>
          <w:rFonts w:cs="Calibri"/>
          <w:sz w:val="22"/>
          <w:szCs w:val="22"/>
        </w:rPr>
        <w:t xml:space="preserve"> od daty podpisania umowy, jednak nie później niż </w:t>
      </w:r>
      <w:r>
        <w:rPr>
          <w:rFonts w:cs="Calibri"/>
          <w:b/>
          <w:bCs/>
          <w:sz w:val="22"/>
          <w:szCs w:val="22"/>
        </w:rPr>
        <w:t>do dnia 1</w:t>
      </w:r>
      <w:r>
        <w:rPr>
          <w:rFonts w:cs="Calibri"/>
          <w:b/>
          <w:bCs/>
          <w:sz w:val="22"/>
          <w:szCs w:val="22"/>
        </w:rPr>
        <w:t>7</w:t>
      </w:r>
      <w:r>
        <w:rPr>
          <w:rFonts w:cs="Calibri"/>
          <w:b/>
          <w:bCs/>
          <w:sz w:val="22"/>
          <w:szCs w:val="22"/>
        </w:rPr>
        <w:t>.12.2026 r</w:t>
      </w:r>
      <w:r>
        <w:rPr>
          <w:rFonts w:cs="Calibri"/>
          <w:sz w:val="22"/>
          <w:szCs w:val="22"/>
        </w:rPr>
        <w:t>.</w:t>
      </w:r>
    </w:p>
    <w:p>
      <w:pPr>
        <w:pStyle w:val="Normal"/>
        <w:numPr>
          <w:ilvl w:val="0"/>
          <w:numId w:val="9"/>
        </w:numPr>
        <w:tabs>
          <w:tab w:val="clear" w:pos="708"/>
          <w:tab w:val="left" w:pos="283" w:leader="none"/>
        </w:tabs>
        <w:spacing w:before="120" w:after="0"/>
        <w:ind w:left="284" w:right="0" w:hanging="284"/>
        <w:jc w:val="both"/>
        <w:rPr>
          <w:rFonts w:ascii="Times New Roman" w:hAnsi="Times New Roman"/>
          <w:sz w:val="22"/>
          <w:szCs w:val="22"/>
        </w:rPr>
      </w:pPr>
      <w:r>
        <w:rPr>
          <w:rFonts w:cs="Calibri"/>
          <w:sz w:val="22"/>
          <w:szCs w:val="22"/>
        </w:rPr>
        <w:t xml:space="preserve">udzielimy gwarancji na przedmiot zamówienia na okres ………… miesięcy (min. 24 miesiące, max. 59 miesięcy) </w:t>
      </w:r>
      <w:r>
        <w:rPr>
          <w:rFonts w:eastAsia="Times New Roman" w:cs="Calibri"/>
          <w:sz w:val="22"/>
          <w:szCs w:val="22"/>
        </w:rPr>
        <w:t xml:space="preserve">na przedmiot zamówienia, licząc od daty bezusterkowego odbioru końcowego całości przedmiotu zamówienia, </w:t>
      </w:r>
    </w:p>
    <w:p>
      <w:pPr>
        <w:pStyle w:val="Normal"/>
        <w:numPr>
          <w:ilvl w:val="0"/>
          <w:numId w:val="9"/>
        </w:numPr>
        <w:tabs>
          <w:tab w:val="clear" w:pos="708"/>
          <w:tab w:val="left" w:pos="283" w:leader="none"/>
        </w:tabs>
        <w:spacing w:before="120" w:after="0"/>
        <w:ind w:left="284" w:right="0" w:hanging="284"/>
        <w:jc w:val="both"/>
        <w:rPr>
          <w:rFonts w:ascii="Times New Roman" w:hAnsi="Times New Roman" w:eastAsia="Times New Roman" w:cs="Calibri"/>
          <w:sz w:val="22"/>
          <w:szCs w:val="22"/>
          <w:lang w:eastAsia="zh-CN"/>
        </w:rPr>
      </w:pPr>
      <w:r>
        <w:rPr>
          <w:rFonts w:eastAsia="Times New Roman" w:cs="Calibri"/>
          <w:sz w:val="22"/>
          <w:szCs w:val="22"/>
          <w:lang w:eastAsia="zh-CN"/>
        </w:rPr>
        <w:t>ponosimy odpowiedzialność z tytułu rękojmi za wady powstałe w trakcie realizacji zamówienia, które zostanie wykonane własnymi siłami bądź przy udziale podwykonawców,</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wypełniliśmy obowiązki informacyjne przewidziane w art. 13 lub art. 14 RODO wobec osób fizycznych, od których dane osobowe bezpośrednio lub pośrednio pozyskaliśmy w celu ubiegania się o udzielenie zamówienia publicznego w niniejszym postępowaniu,</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zapoznaliśmy się i akceptujemy Specyfikację Warunków Zamówienia oraz wszelką dokumentację i nie wnosimy do nich zastrzeżeń,</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akceptujemy termin związania ofertą,</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zamówienie wykonamy sami / z udziałem podwykonawców w zakresie ...................................../*,</w:t>
      </w:r>
    </w:p>
    <w:p>
      <w:pPr>
        <w:pStyle w:val="Normal"/>
        <w:numPr>
          <w:ilvl w:val="0"/>
          <w:numId w:val="9"/>
        </w:numPr>
        <w:tabs>
          <w:tab w:val="clear" w:pos="708"/>
          <w:tab w:val="left" w:pos="283" w:leader="none"/>
        </w:tabs>
        <w:spacing w:before="120" w:after="0"/>
        <w:ind w:left="284" w:right="0" w:hanging="284"/>
        <w:jc w:val="both"/>
        <w:rPr>
          <w:rFonts w:ascii="Times New Roman" w:hAnsi="Times New Roman" w:eastAsia="Times New Roman" w:cs="Calibri"/>
          <w:sz w:val="22"/>
          <w:szCs w:val="22"/>
          <w:lang w:eastAsia="zh-CN"/>
        </w:rPr>
      </w:pPr>
      <w:r>
        <w:rPr>
          <w:rFonts w:eastAsia="Times New Roman" w:cs="Calibri"/>
          <w:sz w:val="22"/>
          <w:szCs w:val="22"/>
          <w:lang w:eastAsia="zh-CN"/>
        </w:rPr>
        <w:t>w celu potwierdzenia spełnienia warunków udziału w postępowaniu, polegamy na zasobach podmiotów trzecich wskazanych poniżej, którym zostanie powierzona realizacja następujących części zamówienia:</w:t>
      </w:r>
    </w:p>
    <w:p>
      <w:pPr>
        <w:pStyle w:val="Normal"/>
        <w:ind w:left="283" w:right="0" w:hanging="0"/>
        <w:jc w:val="both"/>
        <w:rPr>
          <w:rFonts w:ascii="Times New Roman" w:hAnsi="Times New Roman" w:eastAsia="Times New Roman" w:cs="Calibri"/>
          <w:sz w:val="22"/>
          <w:szCs w:val="22"/>
          <w:lang w:eastAsia="zh-CN"/>
        </w:rPr>
      </w:pPr>
      <w:r>
        <w:rPr>
          <w:rFonts w:eastAsia="Times New Roman" w:cs="Calibri"/>
          <w:sz w:val="22"/>
          <w:szCs w:val="22"/>
          <w:lang w:eastAsia="zh-CN"/>
        </w:rPr>
        <w:t xml:space="preserve">Nazwa i adres podmiotu trzeciego: ………………………….., </w:t>
      </w:r>
    </w:p>
    <w:p>
      <w:pPr>
        <w:pStyle w:val="Normal"/>
        <w:ind w:left="283" w:right="0" w:hanging="0"/>
        <w:jc w:val="both"/>
        <w:rPr>
          <w:rFonts w:ascii="Times New Roman" w:hAnsi="Times New Roman" w:eastAsia="Times New Roman" w:cs="Calibri"/>
          <w:sz w:val="22"/>
          <w:szCs w:val="22"/>
          <w:lang w:eastAsia="zh-CN"/>
        </w:rPr>
      </w:pPr>
      <w:r>
        <w:rPr>
          <w:rFonts w:eastAsia="Times New Roman" w:cs="Calibri"/>
          <w:sz w:val="22"/>
          <w:szCs w:val="22"/>
          <w:lang w:eastAsia="zh-CN"/>
        </w:rPr>
        <w:t>Zakres udostępnionych zasobów: ……………..…………..…,</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akceptujemy istotne dla stron postanowienia umowy i w razie wybrania naszej oferty zobowiązujemy się do podpisania umowy w miejscu i terminie wskazanym przez zamawiającego,</w:t>
      </w:r>
    </w:p>
    <w:p>
      <w:pPr>
        <w:pStyle w:val="Normal"/>
        <w:numPr>
          <w:ilvl w:val="0"/>
          <w:numId w:val="9"/>
        </w:numPr>
        <w:tabs>
          <w:tab w:val="clear" w:pos="708"/>
          <w:tab w:val="left" w:pos="283" w:leader="none"/>
        </w:tabs>
        <w:spacing w:before="120" w:after="0"/>
        <w:ind w:left="284" w:right="0" w:hanging="284"/>
        <w:jc w:val="both"/>
        <w:rPr>
          <w:rFonts w:ascii="Times New Roman" w:hAnsi="Times New Roman"/>
          <w:sz w:val="22"/>
          <w:szCs w:val="22"/>
        </w:rPr>
      </w:pPr>
      <w:r>
        <w:rPr>
          <w:rFonts w:cs="Calibri"/>
          <w:sz w:val="22"/>
          <w:szCs w:val="22"/>
        </w:rPr>
        <w:t xml:space="preserve">jesteśmy czynnym podatnikiem podatku od tworów i usług i jesteśmy uprawnieni do wystawienia faktury. </w:t>
      </w:r>
      <w:r>
        <w:rPr>
          <w:rFonts w:eastAsia="Times New Roman" w:cs="Calibri"/>
          <w:sz w:val="22"/>
          <w:szCs w:val="22"/>
          <w:lang w:eastAsia="pl-PL"/>
        </w:rPr>
        <w:t>Należność wykonawcy z tytułu realizacji umowy płatna będzie przelewem w terminie do 30 dni liczonych od dnia dostarczenia do siedziby zamawiającego prawidłowo wystawionej faktury na rachunek bankowy wykonawcy wskazany na fakturze VAT, z zastosowaniem mechanizmu podzielonej płatności (split payment),</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informacje i dokumenty zawarte w załączniku nr .…. do oferty stanowią tajemnicę przedsiębiorstwa w rozumieniu przepisów o zwalczaniu nieuczciwej konkurencji i zastrzegamy, że nie mogą być one udostępniane,</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 xml:space="preserve">jesteśmy mikroprzedsiębiorstwem / małym przedsiębiorstwem / średnim przedsiębiorstwem / prowadzę działalność jednoosobową / jestem osobą fizyczną nieprowadzącą działalności gospodarczej / inny rodzaj * – …………………………………………………………………………………, </w:t>
      </w:r>
    </w:p>
    <w:p>
      <w:pPr>
        <w:pStyle w:val="Normal"/>
        <w:numPr>
          <w:ilvl w:val="0"/>
          <w:numId w:val="9"/>
        </w:numPr>
        <w:tabs>
          <w:tab w:val="clear" w:pos="708"/>
          <w:tab w:val="left" w:pos="283" w:leader="none"/>
        </w:tabs>
        <w:spacing w:before="120" w:after="0"/>
        <w:ind w:left="284" w:right="0" w:hanging="284"/>
        <w:jc w:val="both"/>
        <w:rPr>
          <w:rFonts w:ascii="Times New Roman" w:hAnsi="Times New Roman" w:cs="Calibri"/>
          <w:sz w:val="22"/>
          <w:szCs w:val="22"/>
        </w:rPr>
      </w:pPr>
      <w:r>
        <w:rPr>
          <w:rFonts w:cs="Calibri"/>
          <w:sz w:val="22"/>
          <w:szCs w:val="22"/>
        </w:rPr>
        <w:t>Osobą/osobami upoważnionymi do podpisania umowy jest/są/*:</w:t>
      </w:r>
    </w:p>
    <w:p>
      <w:pPr>
        <w:pStyle w:val="ListParagraph"/>
        <w:numPr>
          <w:ilvl w:val="3"/>
          <w:numId w:val="17"/>
        </w:numPr>
        <w:spacing w:before="60" w:after="0"/>
        <w:ind w:left="709" w:right="0" w:hanging="425"/>
        <w:contextualSpacing/>
        <w:rPr>
          <w:rFonts w:ascii="Times New Roman" w:hAnsi="Times New Roman" w:cs="Calibri"/>
          <w:sz w:val="22"/>
          <w:szCs w:val="22"/>
        </w:rPr>
      </w:pPr>
      <w:r>
        <w:rPr>
          <w:rFonts w:cs="Calibri"/>
          <w:sz w:val="22"/>
          <w:szCs w:val="22"/>
        </w:rPr>
        <w:t>.................................................................................................................................................</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stanowisko ..............................................................................................................................</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tel./fax. ....................................................................</w:t>
      </w:r>
    </w:p>
    <w:p>
      <w:pPr>
        <w:pStyle w:val="ListParagraph"/>
        <w:numPr>
          <w:ilvl w:val="3"/>
          <w:numId w:val="17"/>
        </w:numPr>
        <w:spacing w:before="60" w:after="0"/>
        <w:ind w:left="709" w:right="0" w:hanging="425"/>
        <w:contextualSpacing/>
        <w:rPr>
          <w:rFonts w:ascii="Times New Roman" w:hAnsi="Times New Roman" w:cs="Calibri"/>
          <w:sz w:val="22"/>
          <w:szCs w:val="22"/>
        </w:rPr>
      </w:pPr>
      <w:r>
        <w:rPr>
          <w:rFonts w:cs="Calibri"/>
          <w:sz w:val="22"/>
          <w:szCs w:val="22"/>
        </w:rPr>
        <w:t>.................................................................................................................................................</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stanowisko ..............................................................................................................................</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tel./fax. ....................................................................</w:t>
      </w:r>
    </w:p>
    <w:p>
      <w:pPr>
        <w:pStyle w:val="Normal"/>
        <w:numPr>
          <w:ilvl w:val="0"/>
          <w:numId w:val="9"/>
        </w:numPr>
        <w:tabs>
          <w:tab w:val="clear" w:pos="708"/>
          <w:tab w:val="left" w:pos="283" w:leader="none"/>
        </w:tabs>
        <w:spacing w:before="120" w:after="0"/>
        <w:ind w:left="284" w:right="0" w:hanging="284"/>
        <w:rPr>
          <w:rFonts w:ascii="Times New Roman" w:hAnsi="Times New Roman" w:cs="Calibri"/>
          <w:sz w:val="22"/>
          <w:szCs w:val="22"/>
        </w:rPr>
      </w:pPr>
      <w:r>
        <w:rPr>
          <w:rFonts w:cs="Calibri"/>
          <w:sz w:val="22"/>
          <w:szCs w:val="22"/>
        </w:rPr>
        <w:t>Osobą/osobami do kontaktów z Zamawiającym odpowiedzialnymi za wykonanie zobowiązań umowy jest/są/*:</w:t>
      </w:r>
    </w:p>
    <w:p>
      <w:pPr>
        <w:pStyle w:val="ListParagraph"/>
        <w:numPr>
          <w:ilvl w:val="6"/>
          <w:numId w:val="17"/>
        </w:numPr>
        <w:spacing w:before="60" w:after="0"/>
        <w:ind w:left="709" w:right="0" w:hanging="425"/>
        <w:contextualSpacing/>
        <w:rPr>
          <w:rFonts w:ascii="Times New Roman" w:hAnsi="Times New Roman" w:cs="Calibri"/>
          <w:sz w:val="22"/>
          <w:szCs w:val="22"/>
        </w:rPr>
      </w:pPr>
      <w:r>
        <w:rPr>
          <w:rFonts w:cs="Calibri"/>
          <w:sz w:val="22"/>
          <w:szCs w:val="22"/>
        </w:rPr>
        <w:t>.................................................................................................................................................</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stanowisko ..............................................................................................................................</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tel./fax. ...................................................................</w:t>
      </w:r>
    </w:p>
    <w:p>
      <w:pPr>
        <w:pStyle w:val="ListParagraph"/>
        <w:numPr>
          <w:ilvl w:val="6"/>
          <w:numId w:val="17"/>
        </w:numPr>
        <w:spacing w:before="60" w:after="0"/>
        <w:ind w:left="709" w:right="0" w:hanging="425"/>
        <w:contextualSpacing/>
        <w:rPr>
          <w:rFonts w:ascii="Times New Roman" w:hAnsi="Times New Roman" w:cs="Calibri"/>
          <w:sz w:val="22"/>
          <w:szCs w:val="22"/>
        </w:rPr>
      </w:pPr>
      <w:r>
        <w:rPr>
          <w:rFonts w:cs="Calibri"/>
          <w:sz w:val="22"/>
          <w:szCs w:val="22"/>
        </w:rPr>
        <w:t>.................................................................................................................................................</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stanowisko ..............................................................................................................................</w:t>
      </w:r>
    </w:p>
    <w:p>
      <w:pPr>
        <w:pStyle w:val="ListParagraph"/>
        <w:spacing w:before="60" w:after="0"/>
        <w:ind w:left="709" w:right="0" w:hanging="0"/>
        <w:contextualSpacing/>
        <w:rPr>
          <w:rFonts w:ascii="Times New Roman" w:hAnsi="Times New Roman" w:cs="Calibri"/>
          <w:sz w:val="22"/>
          <w:szCs w:val="22"/>
        </w:rPr>
      </w:pPr>
      <w:r>
        <w:rPr>
          <w:rFonts w:cs="Calibri"/>
          <w:sz w:val="22"/>
          <w:szCs w:val="22"/>
        </w:rPr>
        <w:t>tel./fax. ...................................................................</w:t>
      </w:r>
    </w:p>
    <w:p>
      <w:pPr>
        <w:pStyle w:val="Normal"/>
        <w:jc w:val="both"/>
        <w:rPr>
          <w:rFonts w:ascii="Times New Roman" w:hAnsi="Times New Roman" w:cs="Calibri"/>
          <w:sz w:val="22"/>
          <w:szCs w:val="22"/>
        </w:rPr>
      </w:pPr>
      <w:r>
        <w:rPr>
          <w:rFonts w:cs="Calibri"/>
          <w:sz w:val="22"/>
          <w:szCs w:val="22"/>
        </w:rPr>
      </w:r>
    </w:p>
    <w:p>
      <w:pPr>
        <w:pStyle w:val="Normal"/>
        <w:jc w:val="both"/>
        <w:rPr>
          <w:rFonts w:ascii="Times New Roman" w:hAnsi="Times New Roman" w:cs="Calibri"/>
          <w:sz w:val="22"/>
          <w:szCs w:val="22"/>
        </w:rPr>
      </w:pPr>
      <w:r>
        <w:rPr>
          <w:rFonts w:cs="Calibri"/>
          <w:sz w:val="22"/>
          <w:szCs w:val="22"/>
        </w:rPr>
        <w:t>Integralną częścią oferty są załączniki:</w:t>
      </w:r>
    </w:p>
    <w:p>
      <w:pPr>
        <w:pStyle w:val="Normal"/>
        <w:rPr>
          <w:rFonts w:ascii="Times New Roman" w:hAnsi="Times New Roman" w:cs="Calibri"/>
          <w:sz w:val="22"/>
          <w:szCs w:val="22"/>
        </w:rPr>
      </w:pPr>
      <w:r>
        <w:rPr>
          <w:rFonts w:cs="Calibri"/>
          <w:sz w:val="22"/>
          <w:szCs w:val="22"/>
        </w:rPr>
        <w:t>...................................................................</w:t>
      </w:r>
    </w:p>
    <w:p>
      <w:pPr>
        <w:pStyle w:val="Normal"/>
        <w:rPr>
          <w:rFonts w:ascii="Times New Roman" w:hAnsi="Times New Roman" w:cs="Calibri"/>
          <w:sz w:val="22"/>
          <w:szCs w:val="22"/>
        </w:rPr>
      </w:pPr>
      <w:r>
        <w:rPr>
          <w:rFonts w:cs="Calibri"/>
          <w:sz w:val="22"/>
          <w:szCs w:val="22"/>
        </w:rPr>
        <w:t>...................................................................</w:t>
      </w:r>
    </w:p>
    <w:p>
      <w:pPr>
        <w:pStyle w:val="Normal"/>
        <w:rPr>
          <w:rFonts w:ascii="Times New Roman" w:hAnsi="Times New Roman" w:cs="Calibri"/>
          <w:sz w:val="22"/>
          <w:szCs w:val="22"/>
        </w:rPr>
      </w:pPr>
      <w:r>
        <w:rPr>
          <w:rFonts w:cs="Calibri"/>
          <w:sz w:val="22"/>
          <w:szCs w:val="22"/>
        </w:rPr>
        <w:t>...................................................................</w:t>
      </w:r>
    </w:p>
    <w:p>
      <w:pPr>
        <w:pStyle w:val="Normal"/>
        <w:rPr>
          <w:rFonts w:ascii="Times New Roman" w:hAnsi="Times New Roman" w:cs="Calibri"/>
          <w:sz w:val="22"/>
          <w:szCs w:val="22"/>
        </w:rPr>
      </w:pPr>
      <w:r>
        <w:rPr>
          <w:rFonts w:cs="Calibri"/>
          <w:sz w:val="22"/>
          <w:szCs w:val="22"/>
        </w:rPr>
        <w:t>...................................................................</w:t>
      </w:r>
    </w:p>
    <w:p>
      <w:pPr>
        <w:pStyle w:val="Normal"/>
        <w:jc w:val="both"/>
        <w:rPr>
          <w:rFonts w:ascii="Times New Roman" w:hAnsi="Times New Roman" w:cs="Calibri"/>
          <w:sz w:val="22"/>
          <w:szCs w:val="22"/>
        </w:rPr>
      </w:pPr>
      <w:r>
        <w:rPr>
          <w:rFonts w:cs="Calibri"/>
          <w:sz w:val="22"/>
          <w:szCs w:val="22"/>
        </w:rPr>
      </w:r>
    </w:p>
    <w:p>
      <w:pPr>
        <w:pStyle w:val="Normal"/>
        <w:ind w:left="17" w:right="0" w:hanging="0"/>
        <w:jc w:val="both"/>
        <w:rPr>
          <w:rFonts w:ascii="Times New Roman" w:hAnsi="Times New Roman" w:cs="Calibri"/>
          <w:sz w:val="22"/>
          <w:szCs w:val="22"/>
        </w:rPr>
      </w:pPr>
      <w:r>
        <w:rPr>
          <w:rFonts w:cs="Calibri"/>
          <w:sz w:val="22"/>
          <w:szCs w:val="22"/>
        </w:rPr>
        <w:t>Na ..........  olejno ponumerowanych stronach składamy całość oferty.</w:t>
      </w:r>
    </w:p>
    <w:p>
      <w:pPr>
        <w:pStyle w:val="Normal"/>
        <w:ind w:left="17" w:right="0" w:hanging="0"/>
        <w:jc w:val="both"/>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xml:space="preserve">................................. dnia ...................... 2026 r. </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r>
    </w:p>
    <w:p>
      <w:pPr>
        <w:pStyle w:val="Normal"/>
        <w:rPr>
          <w:rFonts w:ascii="Times New Roman" w:hAnsi="Times New Roman" w:eastAsia="Times New Roman" w:cs="Calibri"/>
          <w:i/>
          <w:i/>
          <w:sz w:val="22"/>
          <w:szCs w:val="22"/>
          <w:u w:val="single"/>
          <w:lang w:eastAsia="zh-CN"/>
        </w:rPr>
      </w:pPr>
      <w:r>
        <w:rPr>
          <w:rFonts w:eastAsia="Times New Roman" w:cs="Calibri"/>
          <w:i/>
          <w:sz w:val="22"/>
          <w:szCs w:val="22"/>
          <w:u w:val="single"/>
          <w:lang w:eastAsia="zh-CN"/>
        </w:rPr>
        <w:t>UWAGA:</w:t>
      </w:r>
    </w:p>
    <w:p>
      <w:pPr>
        <w:pStyle w:val="Normal"/>
        <w:jc w:val="both"/>
        <w:rPr>
          <w:rFonts w:ascii="Times New Roman" w:hAnsi="Times New Roman" w:eastAsia="Times New Roman" w:cs="Calibri"/>
          <w:i/>
          <w:i/>
          <w:sz w:val="22"/>
          <w:szCs w:val="22"/>
          <w:lang w:eastAsia="zh-CN"/>
        </w:rPr>
      </w:pPr>
      <w:r>
        <w:rPr>
          <w:rFonts w:eastAsia="Times New Roman" w:cs="Calibri"/>
          <w:i/>
          <w:sz w:val="22"/>
          <w:szCs w:val="22"/>
          <w:lang w:eastAsia="zh-CN"/>
        </w:rPr>
        <w:t xml:space="preserve">* niepotrzebne skreślić </w:t>
      </w:r>
    </w:p>
    <w:p>
      <w:pPr>
        <w:pStyle w:val="Normal"/>
        <w:jc w:val="both"/>
        <w:rPr>
          <w:rFonts w:ascii="Times New Roman" w:hAnsi="Times New Roman" w:eastAsia="Times New Roman" w:cs="Calibri"/>
          <w:i/>
          <w:i/>
          <w:sz w:val="22"/>
          <w:szCs w:val="22"/>
          <w:lang w:eastAsia="zh-CN"/>
        </w:rPr>
      </w:pPr>
      <w:r>
        <w:rPr>
          <w:rFonts w:eastAsia="Times New Roman" w:cs="Calibri"/>
          <w:i/>
          <w:sz w:val="22"/>
          <w:szCs w:val="22"/>
          <w:lang w:eastAsia="zh-CN"/>
        </w:rPr>
        <w:t>** dotyczy wyłącznie Wykonawców, których oferty będą generować obowiązek doliczania wartości podatku VAT od wartości netto oferty.</w:t>
      </w:r>
    </w:p>
    <w:p>
      <w:pPr>
        <w:pStyle w:val="Normal"/>
        <w:jc w:val="both"/>
        <w:rPr>
          <w:rFonts w:ascii="Times New Roman" w:hAnsi="Times New Roman" w:eastAsia="Times New Roman" w:cs="Calibri"/>
          <w:i/>
          <w:i/>
          <w:sz w:val="22"/>
          <w:szCs w:val="22"/>
          <w:lang w:eastAsia="zh-CN"/>
        </w:rPr>
      </w:pPr>
      <w:r>
        <w:rPr>
          <w:rFonts w:eastAsia="Times New Roman" w:cs="Calibri"/>
          <w:i/>
          <w:sz w:val="22"/>
          <w:szCs w:val="22"/>
          <w:lang w:eastAsia="zh-CN"/>
        </w:rPr>
        <w:t>Niezaznaczenie przez Wykonawcę powyższej informacji i nie uzupełnienie tiretu 3 traktowane będzie przez Zamawiającego jako informacja o tym, że wybór oferty Wykonawcy nie będzie prowadzić do powstania u Zamawiającego o</w:t>
      </w:r>
      <w:bookmarkStart w:id="2" w:name="_Hlk174347598"/>
      <w:bookmarkEnd w:id="2"/>
      <w:r>
        <w:br w:type="page"/>
      </w:r>
    </w:p>
    <w:p>
      <w:pPr>
        <w:pStyle w:val="Normal"/>
        <w:widowControl/>
        <w:suppressAutoHyphens w:val="false"/>
        <w:spacing w:lineRule="auto" w:line="259" w:before="0" w:after="160"/>
        <w:jc w:val="right"/>
        <w:rPr>
          <w:rFonts w:ascii="Times New Roman" w:hAnsi="Times New Roman" w:cs="Calibri"/>
          <w:b/>
          <w:b/>
          <w:bCs/>
          <w:sz w:val="22"/>
          <w:szCs w:val="22"/>
        </w:rPr>
      </w:pPr>
      <w:r>
        <w:rPr>
          <w:rFonts w:cs="Calibri"/>
          <w:b/>
          <w:bCs/>
          <w:sz w:val="22"/>
          <w:szCs w:val="22"/>
        </w:rPr>
        <w:t>Załącznik nr 1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OR. 272.7.2026</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jc w:val="both"/>
        <w:rPr>
          <w:rFonts w:ascii="Times New Roman" w:hAnsi="Times New Roman" w:cs="Calibri"/>
          <w:sz w:val="22"/>
          <w:szCs w:val="22"/>
        </w:rPr>
      </w:pPr>
      <w:r>
        <w:rPr>
          <w:rFonts w:cs="Calibri"/>
          <w:sz w:val="22"/>
          <w:szCs w:val="22"/>
        </w:rPr>
        <w:t>................................................</w:t>
      </w:r>
    </w:p>
    <w:p>
      <w:pPr>
        <w:pStyle w:val="Normal"/>
        <w:jc w:val="both"/>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center"/>
        <w:rPr>
          <w:rFonts w:ascii="Times New Roman" w:hAnsi="Times New Roman" w:eastAsia="Times New Roman" w:cs="Calibri"/>
          <w:b/>
          <w:b/>
          <w:sz w:val="22"/>
          <w:szCs w:val="22"/>
          <w:lang w:eastAsia="zh-CN"/>
        </w:rPr>
      </w:pPr>
      <w:r>
        <w:rPr>
          <w:rFonts w:eastAsia="Times New Roman" w:cs="Calibri"/>
          <w:b/>
          <w:sz w:val="22"/>
          <w:szCs w:val="22"/>
          <w:lang w:eastAsia="zh-CN"/>
        </w:rPr>
        <w:t>Karta informacyjna</w:t>
      </w:r>
    </w:p>
    <w:p>
      <w:pPr>
        <w:pStyle w:val="Normal"/>
        <w:jc w:val="both"/>
        <w:rPr>
          <w:rFonts w:ascii="Times New Roman" w:hAnsi="Times New Roman" w:eastAsia="Times New Roman" w:cs="Calibri"/>
          <w:bCs/>
          <w:sz w:val="22"/>
          <w:szCs w:val="22"/>
          <w:lang w:eastAsia="zh-CN"/>
        </w:rPr>
      </w:pPr>
      <w:r>
        <w:rPr>
          <w:rFonts w:eastAsia="Times New Roman" w:cs="Calibri"/>
          <w:bCs/>
          <w:sz w:val="22"/>
          <w:szCs w:val="22"/>
          <w:lang w:eastAsia="zh-CN"/>
        </w:rPr>
      </w:r>
    </w:p>
    <w:p>
      <w:pPr>
        <w:pStyle w:val="Normal"/>
        <w:spacing w:lineRule="auto" w:line="360"/>
        <w:jc w:val="both"/>
        <w:rPr>
          <w:rFonts w:ascii="Times New Roman" w:hAnsi="Times New Roman"/>
          <w:sz w:val="22"/>
          <w:szCs w:val="22"/>
        </w:rPr>
      </w:pPr>
      <w:r>
        <w:rPr>
          <w:rFonts w:eastAsia="Times New Roman" w:cs="Calibri"/>
          <w:bCs/>
          <w:sz w:val="22"/>
          <w:szCs w:val="22"/>
          <w:lang w:eastAsia="zh-CN"/>
        </w:rPr>
        <w:t xml:space="preserve">Dotyczy: </w:t>
      </w:r>
      <w:r>
        <w:rPr>
          <w:rFonts w:eastAsia="Times New Roman" w:cs="Calibri"/>
          <w:b/>
          <w:bCs/>
          <w:iCs/>
          <w:sz w:val="22"/>
          <w:szCs w:val="22"/>
          <w:lang w:eastAsia="zh-CN"/>
        </w:rPr>
        <w:t>„Dostawy fabrycznie nowego stacjonarnego agregatu prądotwórczego na potrzeby zasilania awaryjnego Domu Pomocy Społecznej w Obrytem”</w:t>
      </w:r>
    </w:p>
    <w:p>
      <w:pPr>
        <w:pStyle w:val="Normal"/>
        <w:widowControl/>
        <w:jc w:val="both"/>
        <w:rPr>
          <w:rFonts w:ascii="Times New Roman" w:hAnsi="Times New Roman" w:eastAsia="TTE1C8A9A8t00" w:cs="Calibri"/>
          <w:b/>
          <w:b/>
          <w:bCs/>
          <w:iCs/>
          <w:sz w:val="22"/>
          <w:szCs w:val="22"/>
          <w:u w:val="single"/>
          <w:lang w:eastAsia="zh-CN"/>
        </w:rPr>
      </w:pPr>
      <w:r>
        <w:rPr>
          <w:rFonts w:eastAsia="TTE1C8A9A8t00" w:cs="Calibri"/>
          <w:b/>
          <w:bCs/>
          <w:iCs/>
          <w:sz w:val="22"/>
          <w:szCs w:val="22"/>
          <w:u w:val="single"/>
          <w:lang w:eastAsia="zh-CN"/>
        </w:rPr>
      </w:r>
    </w:p>
    <w:tbl>
      <w:tblPr>
        <w:tblW w:w="9062" w:type="dxa"/>
        <w:jc w:val="left"/>
        <w:tblInd w:w="0" w:type="dxa"/>
        <w:tblCellMar>
          <w:top w:w="0" w:type="dxa"/>
          <w:left w:w="108" w:type="dxa"/>
          <w:bottom w:w="0" w:type="dxa"/>
          <w:right w:w="108" w:type="dxa"/>
        </w:tblCellMar>
      </w:tblPr>
      <w:tblGrid>
        <w:gridCol w:w="560"/>
        <w:gridCol w:w="3543"/>
        <w:gridCol w:w="1328"/>
        <w:gridCol w:w="1930"/>
        <w:gridCol w:w="1701"/>
      </w:tblGrid>
      <w:tr>
        <w:trPr/>
        <w:tc>
          <w:tcPr>
            <w:tcW w:w="560"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
                <w:b/>
                <w:i/>
                <w:i/>
                <w:iCs/>
                <w:kern w:val="0"/>
                <w:sz w:val="22"/>
                <w:szCs w:val="22"/>
                <w:lang w:eastAsia="zh-CN"/>
              </w:rPr>
            </w:pPr>
            <w:r>
              <w:rPr>
                <w:rFonts w:eastAsia="Times New Roman" w:cs="Calibri"/>
                <w:b/>
                <w:i/>
                <w:iCs/>
                <w:kern w:val="0"/>
                <w:sz w:val="22"/>
                <w:szCs w:val="22"/>
                <w:lang w:eastAsia="zh-CN"/>
              </w:rPr>
              <w:t>Lp.</w:t>
            </w:r>
          </w:p>
        </w:tc>
        <w:tc>
          <w:tcPr>
            <w:tcW w:w="354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i/>
                <w:i/>
                <w:iCs/>
                <w:kern w:val="0"/>
                <w:sz w:val="22"/>
                <w:szCs w:val="22"/>
                <w:lang w:eastAsia="zh-CN"/>
              </w:rPr>
            </w:pPr>
            <w:r>
              <w:rPr>
                <w:rFonts w:eastAsia="Times New Roman" w:cs="Calibri"/>
                <w:b/>
                <w:i/>
                <w:iCs/>
                <w:kern w:val="0"/>
                <w:sz w:val="22"/>
                <w:szCs w:val="22"/>
                <w:lang w:eastAsia="zh-CN"/>
              </w:rPr>
              <w:t>Wymagania minimalne</w:t>
            </w:r>
          </w:p>
        </w:tc>
        <w:tc>
          <w:tcPr>
            <w:tcW w:w="325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i/>
                <w:i/>
                <w:iCs/>
                <w:kern w:val="0"/>
                <w:sz w:val="22"/>
                <w:szCs w:val="22"/>
                <w:lang w:eastAsia="zh-CN"/>
              </w:rPr>
            </w:pPr>
            <w:r>
              <w:rPr>
                <w:rFonts w:eastAsia="Times New Roman" w:cs="Calibri"/>
                <w:b/>
                <w:i/>
                <w:iCs/>
                <w:kern w:val="0"/>
                <w:sz w:val="22"/>
                <w:szCs w:val="22"/>
                <w:lang w:eastAsia="zh-CN"/>
              </w:rPr>
              <w:t>Potwierdzenie spełnienia wymagań</w:t>
            </w:r>
          </w:p>
        </w:tc>
        <w:tc>
          <w:tcPr>
            <w:tcW w:w="1701"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
                <w:b/>
                <w:i/>
                <w:i/>
                <w:iCs/>
                <w:kern w:val="0"/>
                <w:sz w:val="22"/>
                <w:szCs w:val="22"/>
                <w:lang w:eastAsia="zh-CN"/>
              </w:rPr>
            </w:pPr>
            <w:r>
              <w:rPr>
                <w:rFonts w:eastAsia="Times New Roman" w:cs="Calibri"/>
                <w:b/>
                <w:i/>
                <w:iCs/>
                <w:kern w:val="0"/>
                <w:sz w:val="22"/>
                <w:szCs w:val="22"/>
                <w:lang w:eastAsia="zh-CN"/>
              </w:rPr>
              <w:t>Ewentualnie przedstawić rozwiązania równoważne (o ile dotyczą)</w:t>
            </w:r>
          </w:p>
        </w:tc>
      </w:tr>
      <w:tr>
        <w:trPr/>
        <w:tc>
          <w:tcPr>
            <w:tcW w:w="560"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c>
          <w:tcPr>
            <w:tcW w:w="354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należy wpisać TAK lub NIE</w:t>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 oferowaną wartość parametru</w:t>
            </w:r>
          </w:p>
        </w:tc>
        <w:tc>
          <w:tcPr>
            <w:tcW w:w="1701"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2</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3</w:t>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4</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5</w:t>
            </w:r>
          </w:p>
        </w:tc>
      </w:tr>
      <w:tr>
        <w:trPr/>
        <w:tc>
          <w:tcPr>
            <w:tcW w:w="9062"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Podstawowe wymagania</w:t>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xml:space="preserve">Agregat Europejskiego producenta, oferującego agregaty ogólnoświatowo, z minimum 20 lat doświadczenia w produkcji agregatów </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Moc znamionowa w trybie gotowości ESP min 250 kVA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 xml:space="preserve">Podać </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Moc znamionowa ciągła PRP min. 200kW</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Calibri"/>
                <w:kern w:val="0"/>
                <w:sz w:val="22"/>
                <w:szCs w:val="22"/>
              </w:rPr>
            </w:pPr>
            <w:r>
              <w:rPr>
                <w:rFonts w:eastAsia="Calibri" w:cs="Calibri"/>
                <w:kern w:val="0"/>
                <w:sz w:val="22"/>
                <w:szCs w:val="22"/>
              </w:rPr>
              <w:t>Napięcie 400 V (3 faz), Częstotliwość 50 Hz</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5</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Prąd znamionowy PRP 3 fazy minimum 350 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6</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Klasa wydajności minimum G2 wg ISO 8528-5:1993, zdolność przyjmowania obciążenia w jednym kroku minimum 60% PRP wg EN ISO 8528-5</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7</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ArialMT" w:cs="Calibri"/>
                <w:kern w:val="0"/>
                <w:sz w:val="22"/>
                <w:szCs w:val="22"/>
              </w:rPr>
            </w:pPr>
            <w:r>
              <w:rPr>
                <w:rFonts w:eastAsia="ArialMT" w:cs="Calibri"/>
                <w:kern w:val="0"/>
                <w:sz w:val="22"/>
                <w:szCs w:val="22"/>
              </w:rPr>
              <w:t>Temperatura pracy: -25 – 40 °C</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8</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Wymiary maksymalne: długość – 3450 mm, szerokość – 1250 mm, wysokość – 2250 mm</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9</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Calibri" w:cs="Times New Roman"/>
                <w:kern w:val="0"/>
                <w:sz w:val="22"/>
                <w:szCs w:val="22"/>
              </w:rPr>
            </w:pPr>
            <w:r>
              <w:rPr>
                <w:rFonts w:eastAsia="ArialMT" w:cs="Calibri"/>
                <w:kern w:val="0"/>
                <w:sz w:val="22"/>
                <w:szCs w:val="22"/>
              </w:rPr>
              <w:t>Waga agregatu z płynami eksploatacyjnymi bez paliwa maksymalnie 3000 kg;</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10</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ArialMT" w:cs="Calibri"/>
                <w:kern w:val="0"/>
                <w:sz w:val="22"/>
                <w:szCs w:val="22"/>
              </w:rPr>
            </w:pPr>
            <w:r>
              <w:rPr>
                <w:rFonts w:eastAsia="ArialMT" w:cs="Calibri"/>
                <w:kern w:val="0"/>
                <w:sz w:val="22"/>
                <w:szCs w:val="22"/>
              </w:rPr>
              <w:t>Obudowa wyciszona do użytkowania na zewnątrz</w:t>
            </w:r>
          </w:p>
          <w:p>
            <w:pPr>
              <w:pStyle w:val="Normal"/>
              <w:spacing w:lineRule="auto" w:line="240" w:before="0" w:after="0"/>
              <w:rPr>
                <w:rFonts w:ascii="Times New Roman" w:hAnsi="Times New Roman" w:eastAsia="ArialMT" w:cs="Calibri"/>
                <w:kern w:val="0"/>
                <w:sz w:val="22"/>
                <w:szCs w:val="22"/>
              </w:rPr>
            </w:pPr>
            <w:r>
              <w:rPr>
                <w:rFonts w:eastAsia="ArialMT" w:cs="Calibri"/>
                <w:kern w:val="0"/>
                <w:sz w:val="22"/>
                <w:szCs w:val="22"/>
              </w:rPr>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ArialMT" w:cs="Calibri"/>
                <w:kern w:val="0"/>
                <w:sz w:val="22"/>
                <w:szCs w:val="22"/>
              </w:rPr>
            </w:pPr>
            <w:r>
              <w:rPr>
                <w:rFonts w:eastAsia="ArialMT" w:cs="Calibri"/>
                <w:kern w:val="0"/>
                <w:sz w:val="22"/>
                <w:szCs w:val="22"/>
              </w:rPr>
              <w:t>Max moc ciśnienia akustycznego (LpA) mierzone w odległości 7 m – maksymalnie 70 dBA zgodnie z 2000/14/WE</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12</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Wewnątrz ochrona przed gorącymi elementami</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13</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Stopień ochrony obudowy IP minimum 44</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14</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Rozłącznik głowy akumulatora tzw. Hebel</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15</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Wyłącznik bezpieczeństwa tzw. grzybek</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16</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Drzwi serwisowe zamykane na kluczyk</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17</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Ochrona antykorozyjna – blacha ocynkowana elektrolitycznie</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i/>
                <w:i/>
                <w:iCs/>
                <w:kern w:val="0"/>
                <w:sz w:val="22"/>
                <w:szCs w:val="22"/>
                <w:lang w:eastAsia="zh-CN"/>
              </w:rPr>
            </w:pPr>
            <w:r>
              <w:rPr>
                <w:rFonts w:eastAsia="Times New Roman" w:cs="Calibri"/>
                <w:bCs/>
                <w:i/>
                <w:i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9062"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 xml:space="preserve">Wymagane parametry silnika napędowego </w:t>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18</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xml:space="preserve">Spalinowy / wysokoprężny spełniający normę minimum Stage I </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19</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Liczba cylindrów min. 6</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20</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Pojemność skokowa minimum 8,5 l</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Moc netto 210-220 kW</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22</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xml:space="preserve">Prędkość obrotowa 1.500 obr/min, elektroniczna lub elektryczna regulacja obrotów </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23</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Pojemność układu chłodzenia 33-35 l</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24</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Pojemność układu olejowego (pierwsze napełnienie) 27-30 l</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25</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Zbiornik paliwa o pojemności maksymalnie 550 l (minimum 15 h pracy przy 75% PRP)</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26</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Korek wlewu paliwa wewnątrz obudowy</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27</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Akumulator minimum 2x 12V 45 Ah</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9062"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Wymagane parametry prądnicy</w:t>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28</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Synchroniczna, samowzbudna, samoregulująca, bez szczotkowa, jednołożyskowa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29</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Liczba biegunów 4</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30</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Elektroniczny regulator AVR VR 438</w:t>
              <w:br/>
              <w:t>o stabilizacji napięcia +/- 1%</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Stopień ochrony IP minimum 23</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32</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Klasa izolacji H</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33</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Sprawność prądnicy przy 100% cos  φ min. 92%</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34</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Wzbudzenie prądnicy za pomocą minimum dwóch dodatkowych uzwojeń uzależniających parametry regulacji zarówno od generowanego napięcia jak i prądu – niedopuszczalne jest stosowanie dodatkowych prądnic z magnesami trwałymi</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35</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Zdolność przenoszenie obciążeń do 300% prądu znamionowego przez min. 10 s lub wytrzymywanie krótkiego prądu zwarcia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9062"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Wymagane parametry panelu sterującego (sterownika)</w:t>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36</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xml:space="preserve">Wyświetlacz LCD bez wykresów graficznych </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37</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Tryb pracy: rozruch ręczny i automatyczny</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38</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Przegląd podstawowych parametrów pracy (prędkość obrotowa silnika, napięcie, częstotliwość, czas pracy, napięcie baterii)</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39</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Wyświetlanie stanów alarmowych</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40</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Ochrona i zabezpieczenie silnika i prądnicy</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41</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Sterowanie układem SZR (wykrywanie zaniku zasilania z sieci i automatyczne przełączanie na zasilanie z generatora, przy powrocie zasilania z sieci automatyczne przełączenie z powrotem)</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9062"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rFonts w:ascii="Times New Roman" w:hAnsi="Times New Roman" w:eastAsia="Times New Roman" w:cs="Calibri"/>
                <w:b/>
                <w:b/>
                <w:kern w:val="0"/>
                <w:sz w:val="22"/>
                <w:szCs w:val="22"/>
                <w:lang w:eastAsia="zh-CN"/>
              </w:rPr>
            </w:pPr>
            <w:r>
              <w:rPr>
                <w:rFonts w:eastAsia="Times New Roman" w:cs="Calibri"/>
                <w:b/>
                <w:kern w:val="0"/>
                <w:sz w:val="22"/>
                <w:szCs w:val="22"/>
                <w:lang w:eastAsia="zh-CN"/>
              </w:rPr>
              <w:t>Wymagane wyposażenie</w:t>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42</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Listwa zaciskowa umożliwiająca wyprowadzenie maksymalnej mocy agregatu</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43</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Rama bezwyciekowa mogąca pomieścić min. 100% łącznej objętości wszystkich płynów znajdujących się w generatorze (ON, chłodziwo, olej smarujący)</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44</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Zewnętrzny punkt spustowy (wanny retencyjnej, zbiornika paliwa, oleju, chłodziwa)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45</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Wyłącznik główny 4 biegunowy minimum 400 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46</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Układ SZR (samoczynne załączanie rezerwy) w oddzielnej otwieranej obudowie metalowej lub z tworzywa termoutwardzalnego:</w:t>
            </w:r>
          </w:p>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układ sterowany przez sterownik generatora prądotwórczego</w:t>
            </w:r>
          </w:p>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przełącznik 4 – polowy z napędem silnikowym</w:t>
            </w:r>
          </w:p>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 blokada mechaniczna i elektryczna przed równoczesnym załączeniem dwóch źródeł zasilania</w:t>
            </w:r>
          </w:p>
          <w:p>
            <w:pPr>
              <w:pStyle w:val="Normal"/>
              <w:widowControl/>
              <w:suppressAutoHyphens w:val="false"/>
              <w:spacing w:lineRule="auto" w:line="240" w:before="0" w:after="0"/>
              <w:rPr>
                <w:rFonts w:ascii="Times New Roman" w:hAnsi="Times New Roman" w:eastAsia="Calibri" w:cs="Times New Roman"/>
                <w:kern w:val="0"/>
                <w:sz w:val="22"/>
                <w:szCs w:val="22"/>
              </w:rPr>
            </w:pPr>
            <w:r>
              <w:rPr>
                <w:rFonts w:eastAsia="ArialMT" w:cs="Calibri"/>
                <w:kern w:val="0"/>
                <w:sz w:val="22"/>
                <w:szCs w:val="22"/>
              </w:rPr>
              <w:t>- prąd znamionowy 400 A</w:t>
            </w:r>
          </w:p>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napięcie Vac 180 – 280 V</w:t>
            </w:r>
          </w:p>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 częstotliwość 50 Hz</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47</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Ładowarka akumulatorowa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48</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Grzałka płynu chłodzącego</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49</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Dokumentacja techniczo-ruchowa w języku polskim: instrukcje obsługi, konserwacji i serwisowania, deklarację zgodności UE, protokół pierwszego uruchomienia, a także dokumenty (karty) gwarancyjne i inne niezbędne dokumenty (np. paszporty techniczne, certyfikaty, katalog części) – wraz z dostawą urządzenia.</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Podać</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r>
        <w:trPr/>
        <w:tc>
          <w:tcPr>
            <w:tcW w:w="5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50</w:t>
            </w:r>
          </w:p>
        </w:tc>
        <w:tc>
          <w:tcPr>
            <w:tcW w:w="3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spacing w:lineRule="auto" w:line="240" w:before="0" w:after="0"/>
              <w:rPr>
                <w:rFonts w:ascii="Times New Roman" w:hAnsi="Times New Roman" w:eastAsia="ArialMT" w:cs="Calibri"/>
                <w:kern w:val="0"/>
                <w:sz w:val="22"/>
                <w:szCs w:val="22"/>
              </w:rPr>
            </w:pPr>
            <w:r>
              <w:rPr>
                <w:rFonts w:eastAsia="ArialMT" w:cs="Calibri"/>
                <w:kern w:val="0"/>
                <w:sz w:val="22"/>
                <w:szCs w:val="22"/>
              </w:rPr>
              <w:t>Certyfikat CE</w:t>
            </w:r>
          </w:p>
        </w:tc>
        <w:tc>
          <w:tcPr>
            <w:tcW w:w="13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c>
          <w:tcPr>
            <w:tcW w:w="1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jc w:val="center"/>
              <w:rPr>
                <w:rFonts w:ascii="Times New Roman" w:hAnsi="Times New Roman" w:eastAsia="Times New Roman" w:cs="Calibri"/>
                <w:bCs/>
                <w:kern w:val="0"/>
                <w:sz w:val="22"/>
                <w:szCs w:val="22"/>
                <w:lang w:eastAsia="zh-CN"/>
              </w:rPr>
            </w:pPr>
            <w:r>
              <w:rPr>
                <w:rFonts w:eastAsia="Times New Roman" w:cs="Calibri"/>
                <w:bCs/>
                <w:kern w:val="0"/>
                <w:sz w:val="22"/>
                <w:szCs w:val="22"/>
                <w:lang w:eastAsia="zh-CN"/>
              </w:rPr>
            </w:r>
          </w:p>
        </w:tc>
      </w:tr>
    </w:tbl>
    <w:p>
      <w:pPr>
        <w:pStyle w:val="Normal"/>
        <w:jc w:val="both"/>
        <w:rPr>
          <w:rFonts w:ascii="Times New Roman" w:hAnsi="Times New Roman" w:eastAsia="Times New Roman" w:cs="Calibri"/>
          <w:bCs/>
          <w:sz w:val="22"/>
          <w:szCs w:val="22"/>
          <w:lang w:eastAsia="zh-CN"/>
        </w:rPr>
      </w:pPr>
      <w:r>
        <w:rPr>
          <w:rFonts w:eastAsia="Times New Roman" w:cs="Calibri"/>
          <w:bCs/>
          <w:sz w:val="22"/>
          <w:szCs w:val="22"/>
          <w:lang w:eastAsia="zh-CN"/>
        </w:rPr>
      </w:r>
    </w:p>
    <w:p>
      <w:pPr>
        <w:pStyle w:val="ListParagraph"/>
        <w:numPr>
          <w:ilvl w:val="3"/>
          <w:numId w:val="8"/>
        </w:numPr>
        <w:ind w:left="426" w:right="0" w:hanging="426"/>
        <w:jc w:val="both"/>
        <w:rPr>
          <w:rFonts w:ascii="Times New Roman" w:hAnsi="Times New Roman" w:eastAsia="Times New Roman" w:cs="Calibri"/>
          <w:bCs/>
          <w:sz w:val="22"/>
          <w:szCs w:val="22"/>
          <w:lang w:eastAsia="zh-CN"/>
        </w:rPr>
      </w:pPr>
      <w:r>
        <w:rPr>
          <w:rFonts w:eastAsia="Times New Roman" w:cs="Calibri"/>
          <w:bCs/>
          <w:sz w:val="22"/>
          <w:szCs w:val="22"/>
          <w:lang w:eastAsia="zh-CN"/>
        </w:rPr>
        <w:t>Wszystkie parametry techniczne muszą być spełnione łącznie, aby oferta była ważna i spełniała wszystkie wymagania.</w:t>
      </w:r>
    </w:p>
    <w:p>
      <w:pPr>
        <w:pStyle w:val="ListParagraph"/>
        <w:numPr>
          <w:ilvl w:val="3"/>
          <w:numId w:val="8"/>
        </w:numPr>
        <w:ind w:left="426" w:right="0" w:hanging="426"/>
        <w:jc w:val="both"/>
        <w:rPr>
          <w:rFonts w:ascii="Times New Roman" w:hAnsi="Times New Roman" w:eastAsia="Times New Roman" w:cs="Calibri"/>
          <w:bCs/>
          <w:sz w:val="22"/>
          <w:szCs w:val="22"/>
          <w:lang w:eastAsia="zh-CN"/>
        </w:rPr>
      </w:pPr>
      <w:r>
        <w:rPr>
          <w:rFonts w:eastAsia="Times New Roman" w:cs="Calibri"/>
          <w:bCs/>
          <w:sz w:val="22"/>
          <w:szCs w:val="22"/>
          <w:lang w:eastAsia="zh-CN"/>
        </w:rPr>
        <w:t>Niespełnienie wymaganych parametrów i warunków spowoduje odrzucenie oferty.</w:t>
      </w:r>
    </w:p>
    <w:p>
      <w:pPr>
        <w:pStyle w:val="ListParagraph"/>
        <w:numPr>
          <w:ilvl w:val="3"/>
          <w:numId w:val="8"/>
        </w:numPr>
        <w:ind w:left="426" w:right="0" w:hanging="426"/>
        <w:jc w:val="both"/>
        <w:rPr>
          <w:rFonts w:ascii="Times New Roman" w:hAnsi="Times New Roman" w:eastAsia="Times New Roman" w:cs="Calibri"/>
          <w:bCs/>
          <w:sz w:val="22"/>
          <w:szCs w:val="22"/>
          <w:lang w:eastAsia="zh-CN"/>
        </w:rPr>
      </w:pPr>
      <w:r>
        <w:rPr>
          <w:rFonts w:eastAsia="Times New Roman" w:cs="Calibri"/>
          <w:bCs/>
          <w:sz w:val="22"/>
          <w:szCs w:val="22"/>
          <w:lang w:eastAsia="zh-CN"/>
        </w:rPr>
        <w:t>W kolumnie „4” Wykonawca powinien opisać zaoferowane parametry.</w:t>
      </w:r>
    </w:p>
    <w:p>
      <w:pPr>
        <w:pStyle w:val="Normal"/>
        <w:jc w:val="both"/>
        <w:rPr>
          <w:rFonts w:ascii="Times New Roman" w:hAnsi="Times New Roman" w:eastAsia="Times New Roman" w:cs="Calibri"/>
          <w:iCs/>
          <w:sz w:val="22"/>
          <w:szCs w:val="22"/>
          <w:lang w:eastAsia="zh-CN"/>
        </w:rPr>
      </w:pPr>
      <w:r>
        <w:rPr>
          <w:rFonts w:eastAsia="Times New Roman" w:cs="Calibri"/>
          <w:iCs/>
          <w:sz w:val="22"/>
          <w:szCs w:val="22"/>
          <w:lang w:eastAsia="zh-CN"/>
        </w:rPr>
      </w:r>
    </w:p>
    <w:p>
      <w:pPr>
        <w:pStyle w:val="Normal"/>
        <w:jc w:val="both"/>
        <w:rPr>
          <w:rFonts w:ascii="Times New Roman" w:hAnsi="Times New Roman" w:eastAsia="Times New Roman" w:cs="Calibri"/>
          <w:iCs/>
          <w:sz w:val="22"/>
          <w:szCs w:val="22"/>
          <w:lang w:eastAsia="zh-CN"/>
        </w:rPr>
      </w:pPr>
      <w:r>
        <w:rPr>
          <w:rFonts w:eastAsia="Times New Roman" w:cs="Calibri"/>
          <w:iCs/>
          <w:sz w:val="22"/>
          <w:szCs w:val="22"/>
          <w:lang w:eastAsia="zh-CN"/>
        </w:rPr>
      </w:r>
    </w:p>
    <w:p>
      <w:pPr>
        <w:pStyle w:val="Normal"/>
        <w:rPr>
          <w:rFonts w:ascii="Times New Roman" w:hAnsi="Times New Roman" w:cs="Calibri"/>
          <w:sz w:val="22"/>
          <w:szCs w:val="22"/>
        </w:rPr>
      </w:pPr>
      <w:r>
        <w:rPr>
          <w:rFonts w:cs="Calibri"/>
          <w:sz w:val="22"/>
          <w:szCs w:val="22"/>
        </w:rPr>
        <w:t>........................... dnia ........................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r>
        <w:br w:type="page"/>
      </w:r>
    </w:p>
    <w:p>
      <w:pPr>
        <w:pStyle w:val="Normal"/>
        <w:jc w:val="right"/>
        <w:rPr>
          <w:rFonts w:ascii="Times New Roman" w:hAnsi="Times New Roman" w:cs="Calibri"/>
          <w:b/>
          <w:b/>
          <w:bCs/>
          <w:sz w:val="22"/>
          <w:szCs w:val="22"/>
        </w:rPr>
      </w:pPr>
      <w:r>
        <w:rPr>
          <w:rFonts w:cs="Calibri"/>
          <w:b/>
          <w:bCs/>
          <w:sz w:val="22"/>
          <w:szCs w:val="22"/>
        </w:rPr>
        <w:t>Załącznik nr 2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DPS.ZP.294/TP8/2026</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jc w:val="both"/>
        <w:rPr>
          <w:rFonts w:ascii="Times New Roman" w:hAnsi="Times New Roman" w:cs="Calibri"/>
          <w:sz w:val="22"/>
          <w:szCs w:val="22"/>
        </w:rPr>
      </w:pPr>
      <w:r>
        <w:rPr>
          <w:rFonts w:cs="Calibri"/>
          <w:sz w:val="22"/>
          <w:szCs w:val="22"/>
        </w:rPr>
        <w:t>................................................</w:t>
      </w:r>
    </w:p>
    <w:p>
      <w:pPr>
        <w:pStyle w:val="Normal"/>
        <w:jc w:val="both"/>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both"/>
        <w:rPr>
          <w:rFonts w:ascii="Times New Roman" w:hAnsi="Times New Roman" w:cs="Calibri"/>
          <w:b/>
          <w:b/>
          <w:bCs/>
          <w:sz w:val="22"/>
          <w:szCs w:val="22"/>
        </w:rPr>
      </w:pPr>
      <w:r>
        <w:rPr>
          <w:rFonts w:cs="Calibri"/>
          <w:b/>
          <w:bCs/>
          <w:sz w:val="22"/>
          <w:szCs w:val="22"/>
        </w:rPr>
      </w:r>
    </w:p>
    <w:p>
      <w:pPr>
        <w:pStyle w:val="Normal"/>
        <w:spacing w:lineRule="auto" w:line="360"/>
        <w:jc w:val="center"/>
        <w:rPr>
          <w:rFonts w:ascii="Times New Roman" w:hAnsi="Times New Roman" w:eastAsia="Times New Roman" w:cs="Calibri"/>
          <w:b/>
          <w:b/>
          <w:sz w:val="22"/>
          <w:szCs w:val="22"/>
          <w:u w:val="single"/>
        </w:rPr>
      </w:pPr>
      <w:r>
        <w:rPr>
          <w:rFonts w:eastAsia="Times New Roman" w:cs="Calibri"/>
          <w:b/>
          <w:sz w:val="22"/>
          <w:szCs w:val="22"/>
          <w:u w:val="single"/>
        </w:rPr>
        <w:t xml:space="preserve">Oświadczenie Wykonawcy </w:t>
      </w:r>
    </w:p>
    <w:p>
      <w:pPr>
        <w:pStyle w:val="Normal"/>
        <w:spacing w:lineRule="auto" w:line="360"/>
        <w:jc w:val="center"/>
        <w:rPr>
          <w:rFonts w:ascii="Times New Roman" w:hAnsi="Times New Roman" w:eastAsia="Times New Roman" w:cs="Calibri"/>
          <w:b/>
          <w:b/>
          <w:bCs/>
          <w:sz w:val="22"/>
          <w:szCs w:val="22"/>
        </w:rPr>
      </w:pPr>
      <w:r>
        <w:rPr>
          <w:rFonts w:eastAsia="Times New Roman" w:cs="Calibri"/>
          <w:b/>
          <w:bCs/>
          <w:sz w:val="22"/>
          <w:szCs w:val="22"/>
        </w:rPr>
        <w:t xml:space="preserve">dotyczące spełnienia warunków udziału w postępowaniu </w:t>
      </w:r>
    </w:p>
    <w:p>
      <w:pPr>
        <w:pStyle w:val="Normal"/>
        <w:spacing w:lineRule="auto" w:line="480"/>
        <w:jc w:val="both"/>
        <w:rPr>
          <w:rFonts w:ascii="Times New Roman" w:hAnsi="Times New Roman" w:eastAsia="Times New Roman" w:cs="Calibri"/>
          <w:bCs/>
          <w:sz w:val="22"/>
          <w:szCs w:val="22"/>
        </w:rPr>
      </w:pPr>
      <w:r>
        <w:rPr>
          <w:rFonts w:eastAsia="Times New Roman" w:cs="Calibri"/>
          <w:bCs/>
          <w:sz w:val="22"/>
          <w:szCs w:val="22"/>
        </w:rPr>
      </w:r>
    </w:p>
    <w:p>
      <w:pPr>
        <w:pStyle w:val="Normal"/>
        <w:spacing w:lineRule="auto" w:line="480"/>
        <w:jc w:val="both"/>
        <w:rPr>
          <w:rFonts w:ascii="Times New Roman" w:hAnsi="Times New Roman"/>
          <w:sz w:val="22"/>
          <w:szCs w:val="22"/>
        </w:rPr>
      </w:pPr>
      <w:r>
        <w:rPr>
          <w:rFonts w:eastAsia="Times New Roman" w:cs="Calibri"/>
          <w:bCs/>
          <w:sz w:val="22"/>
          <w:szCs w:val="22"/>
        </w:rPr>
        <w:t>Oświadczam,</w:t>
      </w:r>
      <w:r>
        <w:rPr>
          <w:rFonts w:eastAsia="Times New Roman" w:cs="Calibri"/>
          <w:sz w:val="22"/>
          <w:szCs w:val="22"/>
        </w:rPr>
        <w:t xml:space="preserve"> że spełniam warunki udziału w postępowaniu o udzielenie zamówienia publicznego w trybie podstawowym na</w:t>
      </w:r>
      <w:r>
        <w:rPr>
          <w:rFonts w:eastAsia="Times New Roman" w:cs="Calibri"/>
          <w:bCs/>
          <w:sz w:val="22"/>
          <w:szCs w:val="22"/>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cs="Calibri"/>
          <w:bCs/>
          <w:iCs/>
          <w:sz w:val="22"/>
          <w:szCs w:val="22"/>
        </w:rPr>
        <w:t xml:space="preserve"> </w:t>
      </w:r>
      <w:r>
        <w:rPr>
          <w:rFonts w:eastAsia="Times New Roman" w:cs="Calibri"/>
          <w:bCs/>
          <w:sz w:val="22"/>
          <w:szCs w:val="22"/>
        </w:rPr>
        <w:t>prowadzonego przez Powiat Pułtuski, jednostka organizacyjna: Dom Pomocy Społecznej w Obrytem</w:t>
      </w:r>
      <w:r>
        <w:rPr>
          <w:rFonts w:eastAsia="Times New Roman" w:cs="Calibri"/>
          <w:sz w:val="22"/>
          <w:szCs w:val="22"/>
        </w:rPr>
        <w:t>, określone w § 19 SWZ.</w:t>
      </w:r>
    </w:p>
    <w:p>
      <w:pPr>
        <w:pStyle w:val="Normal"/>
        <w:spacing w:lineRule="auto" w:line="360"/>
        <w:ind w:left="0" w:right="0" w:firstLine="709"/>
        <w:jc w:val="both"/>
        <w:rPr>
          <w:rFonts w:ascii="Times New Roman" w:hAnsi="Times New Roman" w:eastAsia="Times New Roman" w:cs="Calibri"/>
          <w:sz w:val="22"/>
          <w:szCs w:val="22"/>
        </w:rPr>
      </w:pPr>
      <w:r>
        <w:rPr>
          <w:rFonts w:eastAsia="Times New Roman" w:cs="Calibri"/>
          <w:sz w:val="22"/>
          <w:szCs w:val="22"/>
        </w:rPr>
      </w:r>
    </w:p>
    <w:p>
      <w:pPr>
        <w:pStyle w:val="Normal"/>
        <w:spacing w:lineRule="auto" w:line="360"/>
        <w:rPr>
          <w:rFonts w:ascii="Times New Roman" w:hAnsi="Times New Roman" w:cs="Calibri"/>
          <w:sz w:val="22"/>
          <w:szCs w:val="22"/>
        </w:rPr>
      </w:pPr>
      <w:r>
        <w:rPr>
          <w:rFonts w:cs="Calibri"/>
          <w:sz w:val="22"/>
          <w:szCs w:val="22"/>
        </w:rPr>
        <w:t xml:space="preserve">........................... dnia............2026 r. </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rPr>
          <w:rFonts w:ascii="Times New Roman" w:hAnsi="Times New Roman" w:eastAsia="Calibri Light" w:cs="Calibri"/>
          <w:sz w:val="22"/>
          <w:szCs w:val="22"/>
          <w:lang w:eastAsia="zh-CN"/>
        </w:rPr>
      </w:pPr>
      <w:r>
        <w:rPr>
          <w:rFonts w:eastAsia="Calibri Light" w:cs="Calibri"/>
          <w:sz w:val="22"/>
          <w:szCs w:val="22"/>
          <w:lang w:eastAsia="zh-CN"/>
        </w:rPr>
      </w:r>
      <w:r>
        <w:br w:type="page"/>
      </w:r>
    </w:p>
    <w:p>
      <w:pPr>
        <w:pStyle w:val="Normal"/>
        <w:jc w:val="right"/>
        <w:rPr>
          <w:rFonts w:ascii="Times New Roman" w:hAnsi="Times New Roman" w:cs="Calibri"/>
          <w:b/>
          <w:b/>
          <w:bCs/>
          <w:sz w:val="22"/>
          <w:szCs w:val="22"/>
        </w:rPr>
      </w:pPr>
      <w:r>
        <w:rPr>
          <w:rFonts w:cs="Calibri"/>
          <w:b/>
          <w:bCs/>
          <w:sz w:val="22"/>
          <w:szCs w:val="22"/>
        </w:rPr>
        <w:t>Załącznik nr 3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DPS.ZP.264/TP8/2026</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jc w:val="both"/>
        <w:rPr>
          <w:rFonts w:ascii="Times New Roman" w:hAnsi="Times New Roman" w:cs="Calibri"/>
          <w:sz w:val="22"/>
          <w:szCs w:val="22"/>
        </w:rPr>
      </w:pPr>
      <w:r>
        <w:rPr>
          <w:rFonts w:cs="Calibri"/>
          <w:sz w:val="22"/>
          <w:szCs w:val="22"/>
        </w:rPr>
        <w:t>................................................</w:t>
      </w:r>
    </w:p>
    <w:p>
      <w:pPr>
        <w:pStyle w:val="Normal"/>
        <w:jc w:val="both"/>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center"/>
        <w:rPr>
          <w:rFonts w:ascii="Times New Roman" w:hAnsi="Times New Roman" w:eastAsia="Times New Roman" w:cs="Calibri"/>
          <w:b/>
          <w:b/>
          <w:sz w:val="22"/>
          <w:szCs w:val="22"/>
          <w:u w:val="single"/>
          <w:lang w:eastAsia="zh-CN"/>
        </w:rPr>
      </w:pPr>
      <w:r>
        <w:rPr>
          <w:rFonts w:eastAsia="Times New Roman" w:cs="Calibri"/>
          <w:b/>
          <w:sz w:val="22"/>
          <w:szCs w:val="22"/>
          <w:u w:val="single"/>
          <w:lang w:eastAsia="zh-CN"/>
        </w:rPr>
        <w:t xml:space="preserve">Oświadczenie Wykonawcy w trybie art. 125 ust. 1 ustawy PZP </w:t>
      </w:r>
    </w:p>
    <w:p>
      <w:pPr>
        <w:pStyle w:val="Normal"/>
        <w:jc w:val="center"/>
        <w:rPr>
          <w:rFonts w:ascii="Times New Roman" w:hAnsi="Times New Roman" w:eastAsia="Times New Roman" w:cs="Calibri"/>
          <w:b/>
          <w:b/>
          <w:bCs/>
          <w:sz w:val="22"/>
          <w:szCs w:val="22"/>
          <w:lang w:eastAsia="zh-CN"/>
        </w:rPr>
      </w:pPr>
      <w:r>
        <w:rPr>
          <w:rFonts w:eastAsia="Times New Roman" w:cs="Calibri"/>
          <w:b/>
          <w:bCs/>
          <w:sz w:val="22"/>
          <w:szCs w:val="22"/>
          <w:lang w:eastAsia="zh-CN"/>
        </w:rPr>
        <w:t>dotyczące przesłanek wykluczenia z postępowania</w:t>
      </w:r>
    </w:p>
    <w:p>
      <w:pPr>
        <w:pStyle w:val="Normal"/>
        <w:jc w:val="both"/>
        <w:rPr>
          <w:rFonts w:ascii="Times New Roman" w:hAnsi="Times New Roman" w:eastAsia="Times New Roman" w:cs="Calibri"/>
          <w:bCs/>
          <w:sz w:val="22"/>
          <w:szCs w:val="22"/>
          <w:lang w:eastAsia="zh-CN"/>
        </w:rPr>
      </w:pPr>
      <w:r>
        <w:rPr>
          <w:rFonts w:eastAsia="Times New Roman" w:cs="Calibri"/>
          <w:bCs/>
          <w:sz w:val="22"/>
          <w:szCs w:val="22"/>
          <w:lang w:eastAsia="zh-CN"/>
        </w:rPr>
      </w:r>
    </w:p>
    <w:p>
      <w:pPr>
        <w:pStyle w:val="Normal"/>
        <w:jc w:val="both"/>
        <w:rPr>
          <w:rFonts w:ascii="Times New Roman" w:hAnsi="Times New Roman"/>
          <w:sz w:val="22"/>
          <w:szCs w:val="22"/>
        </w:rPr>
      </w:pPr>
      <w:r>
        <w:rPr>
          <w:rFonts w:eastAsia="Times New Roman" w:cs="Calibri"/>
          <w:bCs/>
          <w:sz w:val="22"/>
          <w:szCs w:val="22"/>
          <w:lang w:eastAsia="zh-CN"/>
        </w:rPr>
        <w:t>Oświadczam,</w:t>
      </w:r>
      <w:r>
        <w:rPr>
          <w:rFonts w:eastAsia="Times New Roman" w:cs="Calibri"/>
          <w:sz w:val="22"/>
          <w:szCs w:val="22"/>
          <w:lang w:eastAsia="zh-CN"/>
        </w:rPr>
        <w:t xml:space="preserve"> że nie podlegam wykluczeniu z postępowania o udzielenie zamówienia publicznego w trybie podstawowym na</w:t>
      </w:r>
      <w:r>
        <w:rPr>
          <w:rFonts w:eastAsia="Times New Roman" w:cs="Calibri"/>
          <w:b/>
          <w:sz w:val="22"/>
          <w:szCs w:val="22"/>
          <w:lang w:eastAsia="zh-CN"/>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cs="Calibri"/>
          <w:b/>
          <w:i/>
          <w:sz w:val="22"/>
          <w:szCs w:val="22"/>
        </w:rPr>
        <w:t xml:space="preserve">, </w:t>
      </w:r>
      <w:r>
        <w:rPr>
          <w:rFonts w:eastAsia="Times New Roman" w:cs="Calibri"/>
          <w:bCs/>
          <w:sz w:val="22"/>
          <w:szCs w:val="22"/>
          <w:lang w:eastAsia="zh-CN"/>
        </w:rPr>
        <w:t xml:space="preserve">prowadzonego przez Powiat Pułtuski, jednostka organizacyjna: Dom Pomocy Społecznej w Obrytem </w:t>
      </w:r>
      <w:r>
        <w:rPr>
          <w:rFonts w:eastAsia="Times New Roman" w:cs="Calibri"/>
          <w:sz w:val="22"/>
          <w:szCs w:val="22"/>
          <w:lang w:eastAsia="zh-CN"/>
        </w:rPr>
        <w:t>na podstawie:</w:t>
      </w:r>
    </w:p>
    <w:p>
      <w:pPr>
        <w:pStyle w:val="ListParagraph"/>
        <w:numPr>
          <w:ilvl w:val="0"/>
          <w:numId w:val="20"/>
        </w:numPr>
        <w:ind w:left="426" w:right="0" w:hanging="426"/>
        <w:jc w:val="both"/>
        <w:rPr>
          <w:rFonts w:ascii="Times New Roman" w:hAnsi="Times New Roman"/>
          <w:sz w:val="22"/>
          <w:szCs w:val="22"/>
        </w:rPr>
      </w:pPr>
      <w:r>
        <w:rPr>
          <w:rFonts w:eastAsia="Times New Roman" w:cs="Calibri"/>
          <w:sz w:val="22"/>
          <w:szCs w:val="22"/>
          <w:lang w:eastAsia="zh-CN"/>
        </w:rPr>
        <w:t xml:space="preserve">przesłanek określonych w art. 108 ust. 1 i art. 109 ust. 1 pkt 1, 4 ustawy z dnia 11 września 2019 r. Prawo zamówień publicznych (Dz. U. z </w:t>
      </w:r>
      <w:r>
        <w:rPr>
          <w:rFonts w:cs="Calibri"/>
          <w:sz w:val="22"/>
          <w:szCs w:val="22"/>
        </w:rPr>
        <w:t>2026 r. poz. 793</w:t>
      </w:r>
      <w:r>
        <w:rPr>
          <w:rFonts w:eastAsia="Times New Roman" w:cs="Calibri"/>
          <w:sz w:val="22"/>
          <w:szCs w:val="22"/>
          <w:lang w:eastAsia="zh-CN"/>
        </w:rPr>
        <w:t>);</w:t>
      </w:r>
    </w:p>
    <w:p>
      <w:pPr>
        <w:pStyle w:val="ListParagraph"/>
        <w:numPr>
          <w:ilvl w:val="0"/>
          <w:numId w:val="20"/>
        </w:numPr>
        <w:ind w:left="426" w:right="0" w:hanging="426"/>
        <w:jc w:val="both"/>
        <w:rPr>
          <w:rFonts w:ascii="Times New Roman" w:hAnsi="Times New Roman" w:eastAsia="Times New Roman" w:cs="Calibri"/>
          <w:sz w:val="22"/>
          <w:szCs w:val="22"/>
          <w:lang w:eastAsia="zh-CN"/>
        </w:rPr>
      </w:pPr>
      <w:r>
        <w:rPr>
          <w:rFonts w:eastAsia="Times New Roman" w:cs="Calibri"/>
          <w:sz w:val="22"/>
          <w:szCs w:val="22"/>
          <w:lang w:eastAsia="zh-CN"/>
        </w:rPr>
        <w:t>art. 7 ust. 1 ustawy z dnia 13 kwietnia 2022 r. o szczególnych rozwiązaniach w zakresie przeciwdziałania wspieraniu agresji na Ukrainę oraz służących ochronie bezpieczeństwa narodowego (Dz. U. z 2025 r. poz. 514).</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dnia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jc w:val="right"/>
        <w:rPr>
          <w:rFonts w:ascii="Times New Roman" w:hAnsi="Times New Roman" w:cs="Calibri"/>
          <w:sz w:val="22"/>
          <w:szCs w:val="22"/>
        </w:rPr>
      </w:pPr>
      <w:r>
        <w:rPr>
          <w:rFonts w:cs="Calibri"/>
          <w:sz w:val="22"/>
          <w:szCs w:val="22"/>
        </w:rPr>
      </w:r>
    </w:p>
    <w:p>
      <w:pPr>
        <w:pStyle w:val="Normal"/>
        <w:jc w:val="both"/>
        <w:rPr>
          <w:rFonts w:ascii="Times New Roman" w:hAnsi="Times New Roman" w:eastAsia="Times New Roman" w:cs="Calibri"/>
          <w:sz w:val="22"/>
          <w:szCs w:val="22"/>
          <w:lang w:eastAsia="zh-CN"/>
        </w:rPr>
      </w:pPr>
      <w:r>
        <w:rPr>
          <w:rFonts w:eastAsia="Times New Roman" w:cs="Calibri"/>
          <w:sz w:val="22"/>
          <w:szCs w:val="22"/>
          <w:lang w:eastAsia="zh-CN"/>
        </w:rPr>
        <w:t>Oświadczam, że zachodzą w stosunku do mnie podstawy wykluczenia z postępowania na podstawie:</w:t>
      </w:r>
    </w:p>
    <w:p>
      <w:pPr>
        <w:pStyle w:val="ListParagraph"/>
        <w:numPr>
          <w:ilvl w:val="0"/>
          <w:numId w:val="21"/>
        </w:numPr>
        <w:ind w:left="426" w:right="0" w:hanging="426"/>
        <w:jc w:val="both"/>
        <w:rPr>
          <w:rFonts w:ascii="Times New Roman" w:hAnsi="Times New Roman"/>
          <w:sz w:val="22"/>
          <w:szCs w:val="22"/>
        </w:rPr>
      </w:pPr>
      <w:r>
        <w:rPr>
          <w:rFonts w:eastAsia="Times New Roman" w:cs="Calibri"/>
          <w:sz w:val="22"/>
          <w:szCs w:val="22"/>
          <w:lang w:eastAsia="zh-CN"/>
        </w:rPr>
        <w:t xml:space="preserve">art. …………. ustawy z dnia 11 września 2019 r. Prawo zamówień publicznych (Dz. U. z </w:t>
      </w:r>
      <w:r>
        <w:rPr>
          <w:rFonts w:eastAsia="Times New Roman"/>
          <w:sz w:val="22"/>
          <w:szCs w:val="22"/>
          <w:lang w:eastAsia="zh-CN"/>
        </w:rPr>
        <w:t>2026 r. poz. 793</w:t>
      </w:r>
      <w:r>
        <w:rPr>
          <w:rFonts w:eastAsia="Times New Roman" w:cs="Calibri"/>
          <w:sz w:val="22"/>
          <w:szCs w:val="22"/>
          <w:lang w:eastAsia="zh-CN"/>
        </w:rPr>
        <w:t xml:space="preserve">) </w:t>
      </w:r>
      <w:r>
        <w:rPr>
          <w:rFonts w:eastAsia="Times New Roman" w:cs="Calibri"/>
          <w:i/>
          <w:sz w:val="22"/>
          <w:szCs w:val="22"/>
          <w:lang w:eastAsia="zh-CN"/>
        </w:rPr>
        <w:t>(podać mającą zastosowanie podstawę wykluczenia spośród wymienionych w art. 108 ust. 1 pkt 1, 2 i 5 w/w ustawy),</w:t>
      </w:r>
    </w:p>
    <w:p>
      <w:pPr>
        <w:pStyle w:val="ListParagraph"/>
        <w:numPr>
          <w:ilvl w:val="0"/>
          <w:numId w:val="21"/>
        </w:numPr>
        <w:ind w:left="426" w:right="0" w:hanging="426"/>
        <w:jc w:val="both"/>
        <w:rPr>
          <w:rFonts w:ascii="Times New Roman" w:hAnsi="Times New Roman"/>
          <w:sz w:val="22"/>
          <w:szCs w:val="22"/>
        </w:rPr>
      </w:pPr>
      <w:r>
        <w:rPr>
          <w:rFonts w:eastAsia="Times New Roman" w:cs="Calibri"/>
          <w:sz w:val="22"/>
          <w:szCs w:val="22"/>
          <w:lang w:eastAsia="zh-CN"/>
        </w:rPr>
        <w:t>art. …………….. ustawy UOBN. (</w:t>
      </w:r>
      <w:r>
        <w:rPr>
          <w:rFonts w:eastAsia="Times New Roman" w:cs="Calibri"/>
          <w:i/>
          <w:sz w:val="22"/>
          <w:szCs w:val="22"/>
          <w:lang w:eastAsia="zh-CN"/>
        </w:rPr>
        <w:t>podać mającą zastosowanie podstawę wykluczenia – wypełnić, jeśli dotyczy)</w:t>
      </w:r>
    </w:p>
    <w:p>
      <w:pPr>
        <w:pStyle w:val="Normal"/>
        <w:jc w:val="both"/>
        <w:rPr>
          <w:rFonts w:ascii="Times New Roman" w:hAnsi="Times New Roman"/>
          <w:sz w:val="22"/>
          <w:szCs w:val="22"/>
        </w:rPr>
      </w:pPr>
      <w:r>
        <w:rPr>
          <w:rFonts w:eastAsia="Times New Roman" w:cs="Calibri"/>
          <w:sz w:val="22"/>
          <w:szCs w:val="22"/>
          <w:lang w:eastAsia="zh-CN"/>
        </w:rPr>
        <w:t>Jednocześnie oświadczam, że w związku z ww. okolicznością,</w:t>
      </w:r>
      <w:r>
        <w:rPr>
          <w:rFonts w:cs="Calibri"/>
          <w:bCs/>
          <w:sz w:val="22"/>
          <w:szCs w:val="22"/>
        </w:rPr>
        <w:t xml:space="preserve"> </w:t>
      </w:r>
      <w:r>
        <w:rPr>
          <w:rFonts w:eastAsia="Times New Roman" w:cs="Calibri"/>
          <w:bCs/>
          <w:sz w:val="22"/>
          <w:szCs w:val="22"/>
          <w:lang w:eastAsia="zh-CN"/>
        </w:rPr>
        <w:t xml:space="preserve">na podstawie art. 110 ust. 2 </w:t>
      </w:r>
      <w:r>
        <w:rPr>
          <w:rFonts w:eastAsia="Times New Roman" w:cs="Calibri"/>
          <w:sz w:val="22"/>
          <w:szCs w:val="22"/>
          <w:lang w:eastAsia="zh-CN"/>
        </w:rPr>
        <w:t xml:space="preserve">podjąłem następujące środki naprawcze </w:t>
      </w:r>
      <w:r>
        <w:rPr>
          <w:rFonts w:eastAsia="Calibri Light" w:cs="Calibri"/>
          <w:sz w:val="22"/>
          <w:szCs w:val="22"/>
          <w:lang w:eastAsia="zh-CN"/>
        </w:rPr>
        <w:t>……………………………………..…………………………………………………………………</w:t>
      </w:r>
    </w:p>
    <w:p>
      <w:pPr>
        <w:pStyle w:val="Normal"/>
        <w:jc w:val="both"/>
        <w:rPr>
          <w:rFonts w:ascii="Times New Roman" w:hAnsi="Times New Roman" w:eastAsia="Times New Roman" w:cs="Calibri"/>
          <w:i/>
          <w:i/>
          <w:sz w:val="22"/>
          <w:szCs w:val="22"/>
          <w:lang w:eastAsia="zh-CN"/>
        </w:rPr>
      </w:pPr>
      <w:r>
        <w:rPr>
          <w:rFonts w:eastAsia="Times New Roman" w:cs="Calibri"/>
          <w:i/>
          <w:sz w:val="22"/>
          <w:szCs w:val="22"/>
          <w:lang w:eastAsia="zh-CN"/>
        </w:rPr>
      </w:r>
    </w:p>
    <w:p>
      <w:pPr>
        <w:pStyle w:val="Normal"/>
        <w:rPr>
          <w:rFonts w:ascii="Times New Roman" w:hAnsi="Times New Roman" w:cs="Calibri"/>
          <w:sz w:val="22"/>
          <w:szCs w:val="22"/>
        </w:rPr>
      </w:pPr>
      <w:r>
        <w:rPr>
          <w:rFonts w:cs="Calibri"/>
          <w:sz w:val="22"/>
          <w:szCs w:val="22"/>
        </w:rPr>
        <w:t>........................... dnia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rPr>
          <w:rFonts w:ascii="Times New Roman" w:hAnsi="Times New Roman" w:eastAsia="Calibri Light" w:cs="Calibri"/>
          <w:sz w:val="22"/>
          <w:szCs w:val="22"/>
          <w:lang w:eastAsia="zh-CN"/>
        </w:rPr>
      </w:pPr>
      <w:r>
        <w:rPr>
          <w:rFonts w:eastAsia="Calibri Light" w:cs="Calibri"/>
          <w:sz w:val="22"/>
          <w:szCs w:val="22"/>
          <w:lang w:eastAsia="zh-CN"/>
        </w:rPr>
      </w:r>
      <w:r>
        <w:br w:type="page"/>
      </w:r>
    </w:p>
    <w:p>
      <w:pPr>
        <w:pStyle w:val="Normal"/>
        <w:jc w:val="right"/>
        <w:rPr>
          <w:rFonts w:ascii="Times New Roman" w:hAnsi="Times New Roman" w:cs="Calibri"/>
          <w:b/>
          <w:b/>
          <w:bCs/>
          <w:sz w:val="22"/>
          <w:szCs w:val="22"/>
        </w:rPr>
      </w:pPr>
      <w:r>
        <w:rPr>
          <w:rFonts w:cs="Calibri"/>
          <w:b/>
          <w:bCs/>
          <w:sz w:val="22"/>
          <w:szCs w:val="22"/>
        </w:rPr>
        <w:t>Załącznik nr 4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DPS.ZP.264/TP8/2026</w:t>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ind w:left="0" w:right="6378" w:hanging="0"/>
        <w:jc w:val="center"/>
        <w:rPr>
          <w:rFonts w:ascii="Times New Roman" w:hAnsi="Times New Roman" w:cs="Calibri"/>
          <w:sz w:val="22"/>
          <w:szCs w:val="22"/>
        </w:rPr>
      </w:pPr>
      <w:r>
        <w:rPr>
          <w:rFonts w:cs="Calibri"/>
          <w:sz w:val="22"/>
          <w:szCs w:val="22"/>
        </w:rPr>
        <w:t>................................................</w:t>
      </w:r>
    </w:p>
    <w:p>
      <w:pPr>
        <w:pStyle w:val="Normal"/>
        <w:ind w:left="0" w:right="6378" w:hanging="0"/>
        <w:jc w:val="center"/>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center"/>
        <w:rPr>
          <w:rFonts w:ascii="Times New Roman" w:hAnsi="Times New Roman" w:eastAsia="Times New Roman" w:cs="Calibri"/>
          <w:b/>
          <w:b/>
          <w:sz w:val="22"/>
          <w:szCs w:val="22"/>
          <w:u w:val="single"/>
          <w:lang w:eastAsia="zh-CN"/>
        </w:rPr>
      </w:pPr>
      <w:r>
        <w:rPr>
          <w:rFonts w:eastAsia="Times New Roman" w:cs="Calibri"/>
          <w:b/>
          <w:sz w:val="22"/>
          <w:szCs w:val="22"/>
          <w:u w:val="single"/>
          <w:lang w:eastAsia="zh-CN"/>
        </w:rPr>
        <w:t xml:space="preserve">Oświadczenie Wykonawców </w:t>
      </w:r>
    </w:p>
    <w:p>
      <w:pPr>
        <w:pStyle w:val="Normal"/>
        <w:jc w:val="center"/>
        <w:rPr>
          <w:rFonts w:ascii="Times New Roman" w:hAnsi="Times New Roman" w:cs="Calibri"/>
          <w:b/>
          <w:b/>
          <w:bCs/>
          <w:sz w:val="22"/>
          <w:szCs w:val="22"/>
        </w:rPr>
      </w:pPr>
      <w:r>
        <w:rPr>
          <w:rFonts w:cs="Calibri"/>
          <w:b/>
          <w:bCs/>
          <w:sz w:val="22"/>
          <w:szCs w:val="22"/>
        </w:rPr>
        <w:t>wspólnie ubiegających się o udzielenie zamówienia*</w:t>
      </w:r>
    </w:p>
    <w:p>
      <w:pPr>
        <w:pStyle w:val="Normal"/>
        <w:jc w:val="center"/>
        <w:rPr>
          <w:rFonts w:ascii="Times New Roman" w:hAnsi="Times New Roman"/>
          <w:sz w:val="22"/>
          <w:szCs w:val="22"/>
        </w:rPr>
      </w:pPr>
      <w:r>
        <w:rPr>
          <w:rFonts w:cs="Calibri"/>
          <w:b/>
          <w:sz w:val="22"/>
          <w:szCs w:val="22"/>
          <w:lang w:eastAsia="zh-CN"/>
        </w:rPr>
        <w:t xml:space="preserve">składane na podstawie art. 117 ust. 4 ustawy z dnia 11 września 2019 r. Prawo zamówień publicznych </w:t>
      </w:r>
      <w:r>
        <w:rPr>
          <w:rFonts w:cs="Calibri"/>
          <w:sz w:val="22"/>
          <w:szCs w:val="22"/>
          <w:lang w:eastAsia="zh-CN"/>
        </w:rPr>
        <w:t xml:space="preserve">(Dz. U. z </w:t>
      </w:r>
      <w:r>
        <w:rPr>
          <w:sz w:val="22"/>
          <w:szCs w:val="22"/>
          <w:lang w:eastAsia="zh-CN"/>
        </w:rPr>
        <w:t>2026 r. poz. 793</w:t>
      </w:r>
      <w:r>
        <w:rPr>
          <w:rFonts w:cs="Calibri"/>
          <w:sz w:val="22"/>
          <w:szCs w:val="22"/>
          <w:lang w:eastAsia="zh-CN"/>
        </w:rPr>
        <w:t>)</w:t>
      </w:r>
    </w:p>
    <w:p>
      <w:pPr>
        <w:pStyle w:val="Normal"/>
        <w:jc w:val="both"/>
        <w:rPr>
          <w:rFonts w:ascii="Times New Roman" w:hAnsi="Times New Roman" w:cs="Calibri"/>
          <w:sz w:val="22"/>
          <w:szCs w:val="22"/>
        </w:rPr>
      </w:pPr>
      <w:r>
        <w:rPr>
          <w:rFonts w:cs="Calibri"/>
          <w:sz w:val="22"/>
          <w:szCs w:val="22"/>
        </w:rPr>
      </w:r>
    </w:p>
    <w:p>
      <w:pPr>
        <w:pStyle w:val="Normal"/>
        <w:jc w:val="both"/>
        <w:rPr>
          <w:rFonts w:ascii="Times New Roman" w:hAnsi="Times New Roman"/>
          <w:sz w:val="22"/>
          <w:szCs w:val="22"/>
        </w:rPr>
      </w:pPr>
      <w:r>
        <w:rPr>
          <w:rFonts w:cs="Calibri"/>
          <w:bCs/>
          <w:sz w:val="22"/>
          <w:szCs w:val="22"/>
        </w:rPr>
        <w:t xml:space="preserve">dotyczące spełniania warunków udziału w postępowaniu </w:t>
      </w:r>
      <w:r>
        <w:rPr>
          <w:rFonts w:eastAsia="Times New Roman" w:cs="Calibri"/>
          <w:sz w:val="22"/>
          <w:szCs w:val="22"/>
          <w:lang w:eastAsia="zh-CN"/>
        </w:rPr>
        <w:t>o udzielenie zamówienia publicznego w trybie podstawowym na</w:t>
      </w:r>
      <w:r>
        <w:rPr>
          <w:rFonts w:eastAsia="Times New Roman" w:cs="Calibri"/>
          <w:b/>
          <w:sz w:val="22"/>
          <w:szCs w:val="22"/>
          <w:lang w:eastAsia="zh-CN"/>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cs="Calibri"/>
          <w:b/>
          <w:i/>
          <w:sz w:val="22"/>
          <w:szCs w:val="22"/>
        </w:rPr>
        <w:t xml:space="preserve">, </w:t>
      </w:r>
      <w:r>
        <w:rPr>
          <w:rFonts w:eastAsia="Times New Roman" w:cs="Calibri"/>
          <w:bCs/>
          <w:sz w:val="22"/>
          <w:szCs w:val="22"/>
          <w:lang w:eastAsia="zh-CN"/>
        </w:rPr>
        <w:t xml:space="preserve">prowadzonym przez Powiat Pułtuski, jednostka organizacyjna: Dom Pomocy Społecznej w Obrytem </w:t>
      </w:r>
    </w:p>
    <w:p>
      <w:pPr>
        <w:pStyle w:val="Normal"/>
        <w:jc w:val="both"/>
        <w:rPr>
          <w:rFonts w:ascii="Times New Roman" w:hAnsi="Times New Roman" w:cs="Calibri"/>
          <w:bCs/>
          <w:sz w:val="22"/>
          <w:szCs w:val="22"/>
        </w:rPr>
      </w:pPr>
      <w:r>
        <w:rPr>
          <w:rFonts w:cs="Calibri"/>
          <w:bCs/>
          <w:sz w:val="22"/>
          <w:szCs w:val="22"/>
        </w:rPr>
      </w:r>
    </w:p>
    <w:tbl>
      <w:tblPr>
        <w:tblW w:w="9062" w:type="dxa"/>
        <w:jc w:val="left"/>
        <w:tblInd w:w="0" w:type="dxa"/>
        <w:tblCellMar>
          <w:top w:w="0" w:type="dxa"/>
          <w:left w:w="108" w:type="dxa"/>
          <w:bottom w:w="0" w:type="dxa"/>
          <w:right w:w="108" w:type="dxa"/>
        </w:tblCellMar>
      </w:tblPr>
      <w:tblGrid>
        <w:gridCol w:w="570"/>
        <w:gridCol w:w="2914"/>
        <w:gridCol w:w="5578"/>
      </w:tblGrid>
      <w:tr>
        <w:trPr>
          <w:trHeight w:val="503" w:hRule="atLeast"/>
        </w:trPr>
        <w:tc>
          <w:tcPr>
            <w:tcW w:w="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b/>
                <w:b/>
                <w:bCs/>
                <w:i/>
                <w:i/>
                <w:sz w:val="22"/>
                <w:szCs w:val="22"/>
              </w:rPr>
            </w:pPr>
            <w:r>
              <w:rPr>
                <w:rFonts w:cs="Calibri"/>
                <w:b/>
                <w:bCs/>
                <w:i/>
                <w:sz w:val="22"/>
                <w:szCs w:val="22"/>
              </w:rPr>
              <w:t>Lp.</w:t>
            </w:r>
          </w:p>
        </w:tc>
        <w:tc>
          <w:tcPr>
            <w:tcW w:w="29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b/>
                <w:b/>
                <w:bCs/>
                <w:i/>
                <w:i/>
                <w:sz w:val="22"/>
                <w:szCs w:val="22"/>
              </w:rPr>
            </w:pPr>
            <w:r>
              <w:rPr>
                <w:rFonts w:cs="Calibri"/>
                <w:b/>
                <w:bCs/>
                <w:i/>
                <w:sz w:val="22"/>
                <w:szCs w:val="22"/>
              </w:rPr>
              <w:t>Nazwa Wykonawcy</w:t>
            </w:r>
          </w:p>
        </w:tc>
        <w:tc>
          <w:tcPr>
            <w:tcW w:w="55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b/>
                <w:b/>
                <w:bCs/>
                <w:i/>
                <w:i/>
                <w:sz w:val="22"/>
                <w:szCs w:val="22"/>
              </w:rPr>
            </w:pPr>
            <w:r>
              <w:rPr>
                <w:rFonts w:cs="Calibri"/>
                <w:b/>
                <w:bCs/>
                <w:i/>
                <w:sz w:val="22"/>
                <w:szCs w:val="22"/>
              </w:rPr>
              <w:t>Zakres dostaw/usług</w:t>
            </w:r>
          </w:p>
        </w:tc>
      </w:tr>
      <w:tr>
        <w:trPr>
          <w:trHeight w:val="516" w:hRule="atLeast"/>
        </w:trPr>
        <w:tc>
          <w:tcPr>
            <w:tcW w:w="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sz w:val="22"/>
                <w:szCs w:val="22"/>
              </w:rPr>
            </w:pPr>
            <w:r>
              <w:rPr>
                <w:rFonts w:cs="Calibri"/>
                <w:sz w:val="22"/>
                <w:szCs w:val="22"/>
              </w:rPr>
              <w:t>1.</w:t>
            </w:r>
          </w:p>
        </w:tc>
        <w:tc>
          <w:tcPr>
            <w:tcW w:w="29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
                <w:i/>
                <w:sz w:val="22"/>
                <w:szCs w:val="22"/>
              </w:rPr>
            </w:pPr>
            <w:r>
              <w:rPr>
                <w:rFonts w:cs="Calibri"/>
                <w:i/>
                <w:sz w:val="22"/>
                <w:szCs w:val="22"/>
              </w:rPr>
            </w:r>
          </w:p>
        </w:tc>
        <w:tc>
          <w:tcPr>
            <w:tcW w:w="55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
                <w:i/>
                <w:sz w:val="22"/>
                <w:szCs w:val="22"/>
              </w:rPr>
            </w:pPr>
            <w:r>
              <w:rPr>
                <w:rFonts w:cs="Calibri"/>
                <w:i/>
                <w:sz w:val="22"/>
                <w:szCs w:val="22"/>
              </w:rPr>
            </w:r>
          </w:p>
        </w:tc>
      </w:tr>
      <w:tr>
        <w:trPr>
          <w:trHeight w:val="516" w:hRule="atLeast"/>
        </w:trPr>
        <w:tc>
          <w:tcPr>
            <w:tcW w:w="57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sz w:val="22"/>
                <w:szCs w:val="22"/>
              </w:rPr>
            </w:pPr>
            <w:r>
              <w:rPr>
                <w:rFonts w:cs="Calibri"/>
                <w:sz w:val="22"/>
                <w:szCs w:val="22"/>
              </w:rPr>
              <w:t>2.</w:t>
            </w:r>
          </w:p>
        </w:tc>
        <w:tc>
          <w:tcPr>
            <w:tcW w:w="29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
                <w:i/>
                <w:sz w:val="22"/>
                <w:szCs w:val="22"/>
              </w:rPr>
            </w:pPr>
            <w:r>
              <w:rPr>
                <w:rFonts w:cs="Calibri"/>
                <w:i/>
                <w:sz w:val="22"/>
                <w:szCs w:val="22"/>
              </w:rPr>
            </w:r>
          </w:p>
        </w:tc>
        <w:tc>
          <w:tcPr>
            <w:tcW w:w="55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Times New Roman" w:hAnsi="Times New Roman" w:cs="Calibri"/>
                <w:i/>
                <w:i/>
                <w:sz w:val="22"/>
                <w:szCs w:val="22"/>
              </w:rPr>
            </w:pPr>
            <w:r>
              <w:rPr>
                <w:rFonts w:cs="Calibri"/>
                <w:i/>
                <w:sz w:val="22"/>
                <w:szCs w:val="22"/>
              </w:rPr>
            </w:r>
          </w:p>
        </w:tc>
      </w:tr>
    </w:tbl>
    <w:p>
      <w:pPr>
        <w:pStyle w:val="Normal"/>
        <w:jc w:val="both"/>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sz w:val="22"/>
          <w:szCs w:val="22"/>
        </w:rPr>
      </w:pPr>
      <w:r>
        <w:rPr>
          <w:rFonts w:cs="Calibri"/>
          <w:sz w:val="22"/>
          <w:szCs w:val="22"/>
        </w:rPr>
      </w:r>
    </w:p>
    <w:p>
      <w:pPr>
        <w:pStyle w:val="Normal"/>
        <w:jc w:val="right"/>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xml:space="preserve">........................... dnia .............................. 2026 r. </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jc w:val="both"/>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i/>
          <w:i/>
          <w:sz w:val="22"/>
          <w:szCs w:val="22"/>
          <w:lang w:val="cs-CZ"/>
        </w:rPr>
      </w:pPr>
      <w:r>
        <w:rPr>
          <w:rFonts w:cs="Calibri"/>
          <w:i/>
          <w:sz w:val="22"/>
          <w:szCs w:val="22"/>
          <w:lang w:val="cs-CZ"/>
        </w:rPr>
        <w:t>* oświadczenie składają wyłącznie Wykonawcy wspólnie ubiegający się o udzielenie zamówienia.</w:t>
      </w:r>
      <w:r>
        <w:br w:type="page"/>
      </w:r>
    </w:p>
    <w:p>
      <w:pPr>
        <w:pStyle w:val="Normal"/>
        <w:jc w:val="right"/>
        <w:rPr>
          <w:rFonts w:ascii="Times New Roman" w:hAnsi="Times New Roman" w:cs="Calibri"/>
          <w:b/>
          <w:b/>
          <w:bCs/>
          <w:sz w:val="22"/>
          <w:szCs w:val="22"/>
        </w:rPr>
      </w:pPr>
      <w:r>
        <w:rPr>
          <w:rFonts w:cs="Calibri"/>
          <w:b/>
          <w:bCs/>
          <w:sz w:val="22"/>
          <w:szCs w:val="22"/>
        </w:rPr>
        <w:t>Załącznik nr 5 do OFERTY</w:t>
      </w:r>
    </w:p>
    <w:p>
      <w:pPr>
        <w:pStyle w:val="Normal"/>
        <w:widowControl/>
        <w:suppressAutoHyphens w:val="false"/>
        <w:rPr>
          <w:rFonts w:ascii="Times New Roman" w:hAnsi="Times New Roman" w:cs="Calibri"/>
          <w:bCs/>
          <w:sz w:val="22"/>
          <w:szCs w:val="22"/>
        </w:rPr>
      </w:pPr>
      <w:r>
        <w:rPr>
          <w:rFonts w:cs="Calibri"/>
          <w:bCs/>
          <w:sz w:val="22"/>
          <w:szCs w:val="22"/>
        </w:rPr>
        <w:t>DPS.ZP.264/TP8/2026</w:t>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ind w:left="0" w:right="6378" w:hanging="0"/>
        <w:jc w:val="center"/>
        <w:rPr>
          <w:rFonts w:ascii="Times New Roman" w:hAnsi="Times New Roman" w:cs="Calibri"/>
          <w:sz w:val="22"/>
          <w:szCs w:val="22"/>
        </w:rPr>
      </w:pPr>
      <w:r>
        <w:rPr>
          <w:rFonts w:cs="Calibri"/>
          <w:sz w:val="22"/>
          <w:szCs w:val="22"/>
        </w:rPr>
        <w:t>................................................</w:t>
      </w:r>
    </w:p>
    <w:p>
      <w:pPr>
        <w:pStyle w:val="Normal"/>
        <w:ind w:left="0" w:right="6378" w:hanging="0"/>
        <w:jc w:val="center"/>
        <w:rPr>
          <w:rFonts w:ascii="Times New Roman" w:hAnsi="Times New Roman" w:cs="Calibri"/>
          <w:sz w:val="22"/>
          <w:szCs w:val="22"/>
        </w:rPr>
      </w:pPr>
      <w:r>
        <w:rPr>
          <w:rFonts w:cs="Calibri"/>
          <w:sz w:val="22"/>
          <w:szCs w:val="22"/>
        </w:rPr>
        <w:t>(pieczęć Wykonawcy)</w:t>
      </w:r>
    </w:p>
    <w:p>
      <w:pPr>
        <w:pStyle w:val="CM36"/>
        <w:spacing w:before="0" w:after="0"/>
        <w:rPr>
          <w:rFonts w:ascii="Times New Roman" w:hAnsi="Times New Roman" w:cs="Calibri"/>
          <w:sz w:val="22"/>
          <w:szCs w:val="22"/>
        </w:rPr>
      </w:pPr>
      <w:r>
        <w:rPr>
          <w:rFonts w:cs="Calibri"/>
          <w:sz w:val="22"/>
          <w:szCs w:val="22"/>
        </w:rPr>
      </w:r>
    </w:p>
    <w:p>
      <w:pPr>
        <w:pStyle w:val="Normal"/>
        <w:jc w:val="center"/>
        <w:rPr>
          <w:rFonts w:ascii="Times New Roman" w:hAnsi="Times New Roman" w:cs="Calibri"/>
          <w:b/>
          <w:b/>
          <w:sz w:val="22"/>
          <w:szCs w:val="22"/>
          <w:u w:val="single"/>
          <w:lang w:eastAsia="zh-CN"/>
        </w:rPr>
      </w:pPr>
      <w:r>
        <w:rPr>
          <w:rFonts w:cs="Calibri"/>
          <w:b/>
          <w:sz w:val="22"/>
          <w:szCs w:val="22"/>
          <w:u w:val="single"/>
          <w:lang w:eastAsia="zh-CN"/>
        </w:rPr>
        <w:t>Oświadczenie Wykonawcy</w:t>
      </w:r>
    </w:p>
    <w:p>
      <w:pPr>
        <w:pStyle w:val="Normal"/>
        <w:rPr>
          <w:rFonts w:ascii="Times New Roman" w:hAnsi="Times New Roman" w:cs="Calibri"/>
          <w:sz w:val="22"/>
          <w:szCs w:val="22"/>
          <w:lang w:eastAsia="zh-CN"/>
        </w:rPr>
      </w:pPr>
      <w:r>
        <w:rPr>
          <w:rFonts w:cs="Calibri"/>
          <w:sz w:val="22"/>
          <w:szCs w:val="22"/>
          <w:lang w:eastAsia="zh-CN"/>
        </w:rPr>
      </w:r>
    </w:p>
    <w:p>
      <w:pPr>
        <w:pStyle w:val="Normal"/>
        <w:jc w:val="both"/>
        <w:rPr>
          <w:rFonts w:ascii="Times New Roman" w:hAnsi="Times New Roman"/>
          <w:sz w:val="22"/>
          <w:szCs w:val="22"/>
        </w:rPr>
      </w:pPr>
      <w:r>
        <w:rPr>
          <w:rFonts w:cs="Calibri"/>
          <w:sz w:val="22"/>
          <w:szCs w:val="22"/>
        </w:rPr>
        <w:t xml:space="preserve">Przystępując do postępowania </w:t>
      </w:r>
      <w:r>
        <w:rPr>
          <w:rFonts w:eastAsia="Times New Roman" w:cs="Calibri"/>
          <w:sz w:val="22"/>
          <w:szCs w:val="22"/>
          <w:lang w:eastAsia="zh-CN"/>
        </w:rPr>
        <w:t xml:space="preserve">o udzielenie zamówienia publicznego w trybie podstawowym </w:t>
        <w:br/>
        <w:t>na</w:t>
      </w:r>
      <w:r>
        <w:rPr>
          <w:rFonts w:eastAsia="Times New Roman" w:cs="Calibri"/>
          <w:b/>
          <w:sz w:val="22"/>
          <w:szCs w:val="22"/>
          <w:lang w:eastAsia="zh-CN"/>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cs="Calibri"/>
          <w:b/>
          <w:i/>
          <w:sz w:val="22"/>
          <w:szCs w:val="22"/>
        </w:rPr>
        <w:t xml:space="preserve">, </w:t>
      </w:r>
      <w:r>
        <w:rPr>
          <w:rFonts w:eastAsia="Times New Roman" w:cs="Calibri"/>
          <w:bCs/>
          <w:sz w:val="22"/>
          <w:szCs w:val="22"/>
          <w:lang w:eastAsia="zh-CN"/>
        </w:rPr>
        <w:t xml:space="preserve">prowadzonym przez Powiat Pułtuski, jednostka organizacyjna: Dom Pomocy Społecznej w Obrytem </w:t>
      </w:r>
      <w:r>
        <w:rPr>
          <w:rFonts w:cs="Calibri"/>
          <w:bCs/>
          <w:sz w:val="22"/>
          <w:szCs w:val="22"/>
        </w:rPr>
        <w:t>n</w:t>
      </w:r>
      <w:r>
        <w:rPr>
          <w:rFonts w:eastAsia="Times New Roman" w:cs="Calibri"/>
          <w:bCs/>
          <w:sz w:val="22"/>
          <w:szCs w:val="22"/>
          <w:lang w:eastAsia="pl-PL"/>
        </w:rPr>
        <w:t xml:space="preserve">iniejszym potwierdzam </w:t>
      </w:r>
      <w:r>
        <w:rPr>
          <w:rFonts w:eastAsia="Times New Roman" w:cs="Calibri"/>
          <w:bCs/>
          <w:sz w:val="22"/>
          <w:szCs w:val="22"/>
          <w:u w:val="single"/>
          <w:lang w:eastAsia="pl-PL"/>
        </w:rPr>
        <w:t xml:space="preserve">aktualność </w:t>
      </w:r>
      <w:r>
        <w:rPr>
          <w:rFonts w:eastAsia="Times New Roman" w:cs="Calibri"/>
          <w:bCs/>
          <w:sz w:val="22"/>
          <w:szCs w:val="22"/>
          <w:lang w:eastAsia="pl-PL"/>
        </w:rPr>
        <w:t>informacji zawartych w oświadczeniu, o którym mowa w § 20 SWZ w zakresie podstaw wykluczenia z postępowania wskazanych przez Zamawiającego.</w:t>
      </w:r>
    </w:p>
    <w:p>
      <w:pPr>
        <w:pStyle w:val="Normal"/>
        <w:rPr>
          <w:rFonts w:ascii="Times New Roman" w:hAnsi="Times New Roman" w:cs="Calibri"/>
          <w:sz w:val="22"/>
          <w:szCs w:val="22"/>
        </w:rPr>
      </w:pPr>
      <w:r>
        <w:rPr>
          <w:rFonts w:cs="Calibri"/>
          <w:sz w:val="22"/>
          <w:szCs w:val="22"/>
        </w:rPr>
      </w:r>
    </w:p>
    <w:p>
      <w:pPr>
        <w:pStyle w:val="Normal"/>
        <w:jc w:val="right"/>
        <w:rPr>
          <w:rFonts w:ascii="Times New Roman" w:hAnsi="Times New Roman" w:cs="Calibri"/>
          <w:sz w:val="22"/>
          <w:szCs w:val="22"/>
        </w:rPr>
      </w:pPr>
      <w:r>
        <w:rPr>
          <w:rFonts w:cs="Calibri"/>
          <w:sz w:val="22"/>
          <w:szCs w:val="22"/>
        </w:rPr>
      </w:r>
    </w:p>
    <w:p>
      <w:pPr>
        <w:pStyle w:val="Normal"/>
        <w:jc w:val="right"/>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xml:space="preserve">........................... dnia ..................2026 r. </w:t>
      </w:r>
    </w:p>
    <w:p>
      <w:pPr>
        <w:pStyle w:val="Normal"/>
        <w:jc w:val="both"/>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rPr>
          <w:rFonts w:ascii="Times New Roman" w:hAnsi="Times New Roman" w:cs="Calibri"/>
          <w:sz w:val="22"/>
          <w:szCs w:val="22"/>
        </w:rPr>
      </w:pPr>
      <w:r>
        <w:rPr>
          <w:rFonts w:cs="Calibri"/>
          <w:sz w:val="22"/>
          <w:szCs w:val="22"/>
        </w:rPr>
      </w:r>
      <w:r>
        <w:br w:type="page"/>
      </w:r>
    </w:p>
    <w:p>
      <w:pPr>
        <w:pStyle w:val="Normal"/>
        <w:jc w:val="right"/>
        <w:rPr>
          <w:rFonts w:ascii="Times New Roman" w:hAnsi="Times New Roman" w:cs="Calibri"/>
          <w:b/>
          <w:b/>
          <w:bCs/>
          <w:sz w:val="22"/>
          <w:szCs w:val="22"/>
        </w:rPr>
      </w:pPr>
      <w:r>
        <w:rPr>
          <w:rFonts w:cs="Calibri"/>
          <w:b/>
          <w:bCs/>
          <w:sz w:val="22"/>
          <w:szCs w:val="22"/>
        </w:rPr>
        <w:t>Załącznik nr 6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DPS.ZP.264/TP8/2026</w:t>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ind w:left="0" w:right="6378" w:hanging="0"/>
        <w:jc w:val="center"/>
        <w:rPr>
          <w:rFonts w:ascii="Times New Roman" w:hAnsi="Times New Roman" w:cs="Calibri"/>
          <w:sz w:val="22"/>
          <w:szCs w:val="22"/>
        </w:rPr>
      </w:pPr>
      <w:r>
        <w:rPr>
          <w:rFonts w:cs="Calibri"/>
          <w:sz w:val="22"/>
          <w:szCs w:val="22"/>
        </w:rPr>
        <w:t>................................................</w:t>
      </w:r>
    </w:p>
    <w:p>
      <w:pPr>
        <w:pStyle w:val="Normal"/>
        <w:ind w:left="0" w:right="6378" w:hanging="0"/>
        <w:jc w:val="center"/>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center"/>
        <w:rPr>
          <w:rFonts w:ascii="Times New Roman" w:hAnsi="Times New Roman" w:cs="Calibri"/>
          <w:b/>
          <w:b/>
          <w:sz w:val="22"/>
          <w:szCs w:val="22"/>
          <w:lang w:eastAsia="zh-CN"/>
        </w:rPr>
      </w:pPr>
      <w:r>
        <w:rPr>
          <w:rFonts w:cs="Calibri"/>
          <w:b/>
          <w:sz w:val="22"/>
          <w:szCs w:val="22"/>
          <w:lang w:eastAsia="zh-CN"/>
        </w:rPr>
        <w:t>Oświadczenie Wykonawcy</w:t>
      </w:r>
    </w:p>
    <w:p>
      <w:pPr>
        <w:pStyle w:val="Normal"/>
        <w:jc w:val="center"/>
        <w:rPr/>
      </w:pPr>
      <w:r>
        <w:rPr>
          <w:rFonts w:cs="Calibri"/>
          <w:b/>
          <w:sz w:val="22"/>
          <w:szCs w:val="22"/>
        </w:rPr>
        <w:t xml:space="preserve">w zakresie </w:t>
      </w:r>
      <w:r>
        <w:fldChar w:fldCharType="begin"/>
      </w:r>
      <w:r>
        <w:rPr>
          <w:rStyle w:val="Czeinternetowe"/>
          <w:sz w:val="22"/>
          <w:b/>
          <w:szCs w:val="22"/>
          <w:rFonts w:cs="Calibri"/>
        </w:rPr>
        <w:instrText> HYPERLINK "https://sip.lex.pl/" \l "/document/18903829?unitId=art(108)ust(1)pkt(5)&amp;cm=DOCUMENT"</w:instrText>
      </w:r>
      <w:r>
        <w:rPr>
          <w:rStyle w:val="Czeinternetowe"/>
          <w:sz w:val="22"/>
          <w:b/>
          <w:szCs w:val="22"/>
          <w:rFonts w:cs="Calibri"/>
        </w:rPr>
        <w:fldChar w:fldCharType="separate"/>
      </w:r>
      <w:r>
        <w:rPr>
          <w:rStyle w:val="Czeinternetowe"/>
          <w:rFonts w:cs="Calibri"/>
          <w:b/>
          <w:color w:val="auto"/>
          <w:sz w:val="22"/>
          <w:szCs w:val="22"/>
        </w:rPr>
        <w:t>art. 108 ust. 1 pkt 5</w:t>
      </w:r>
      <w:r>
        <w:rPr>
          <w:rStyle w:val="Czeinternetowe"/>
          <w:sz w:val="22"/>
          <w:b/>
          <w:szCs w:val="22"/>
          <w:rFonts w:cs="Calibri"/>
        </w:rPr>
        <w:fldChar w:fldCharType="end"/>
      </w:r>
      <w:r>
        <w:rPr>
          <w:rFonts w:cs="Calibri"/>
          <w:b/>
          <w:sz w:val="22"/>
          <w:szCs w:val="22"/>
        </w:rPr>
        <w:t xml:space="preserve"> ustawy PZP</w:t>
      </w:r>
    </w:p>
    <w:p>
      <w:pPr>
        <w:pStyle w:val="Normal"/>
        <w:jc w:val="center"/>
        <w:rPr>
          <w:rFonts w:ascii="Times New Roman" w:hAnsi="Times New Roman" w:cs="Calibri"/>
          <w:b/>
          <w:b/>
          <w:sz w:val="22"/>
          <w:szCs w:val="22"/>
          <w:lang w:eastAsia="zh-CN"/>
        </w:rPr>
      </w:pPr>
      <w:r>
        <w:rPr>
          <w:rFonts w:cs="Calibri"/>
          <w:b/>
          <w:sz w:val="22"/>
          <w:szCs w:val="22"/>
          <w:lang w:eastAsia="zh-CN"/>
        </w:rPr>
      </w:r>
    </w:p>
    <w:p>
      <w:pPr>
        <w:pStyle w:val="Normal"/>
        <w:jc w:val="both"/>
        <w:rPr/>
      </w:pPr>
      <w:r>
        <w:rPr>
          <w:rFonts w:cs="Calibri"/>
          <w:sz w:val="22"/>
          <w:szCs w:val="22"/>
        </w:rPr>
        <w:t xml:space="preserve">Przystępując do postępowania </w:t>
      </w:r>
      <w:r>
        <w:rPr>
          <w:rFonts w:eastAsia="Times New Roman" w:cs="Calibri"/>
          <w:sz w:val="22"/>
          <w:szCs w:val="22"/>
          <w:lang w:eastAsia="zh-CN"/>
        </w:rPr>
        <w:t xml:space="preserve">o udzielenie zamówienia publicznego w trybie podstawowym </w:t>
        <w:br/>
        <w:t>na</w:t>
      </w:r>
      <w:r>
        <w:rPr>
          <w:rFonts w:eastAsia="Times New Roman" w:cs="Calibri"/>
          <w:b/>
          <w:sz w:val="22"/>
          <w:szCs w:val="22"/>
          <w:lang w:eastAsia="zh-CN"/>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eastAsia="Times New Roman" w:cs="Calibri"/>
          <w:bCs/>
          <w:sz w:val="22"/>
          <w:szCs w:val="22"/>
          <w:lang w:eastAsia="zh-CN"/>
        </w:rPr>
        <w:t>,</w:t>
      </w:r>
      <w:r>
        <w:rPr>
          <w:rFonts w:eastAsia="Times New Roman" w:cs="Calibri"/>
          <w:b/>
          <w:sz w:val="22"/>
          <w:szCs w:val="22"/>
          <w:lang w:eastAsia="zh-CN"/>
        </w:rPr>
        <w:t xml:space="preserve"> </w:t>
      </w:r>
      <w:r>
        <w:rPr>
          <w:rFonts w:eastAsia="Times New Roman" w:cs="Calibri"/>
          <w:bCs/>
          <w:sz w:val="22"/>
          <w:szCs w:val="22"/>
          <w:lang w:eastAsia="zh-CN"/>
        </w:rPr>
        <w:t xml:space="preserve">prowadzonym przez Powiat Pułtuski, jednostka organizacyjna: Dom Pomocy Społecznej w Obrytem </w:t>
      </w:r>
      <w:r>
        <w:rPr>
          <w:rFonts w:cs="Calibri"/>
          <w:bCs/>
          <w:sz w:val="22"/>
          <w:szCs w:val="22"/>
        </w:rPr>
        <w:t xml:space="preserve">oświadczam, że nie należę </w:t>
      </w:r>
      <w:r>
        <w:rPr>
          <w:rFonts w:cs="Calibri"/>
          <w:sz w:val="22"/>
          <w:szCs w:val="22"/>
        </w:rPr>
        <w:t xml:space="preserve">do tej samej grupy kapitałowej w rozumieniu </w:t>
      </w:r>
      <w:r>
        <w:fldChar w:fldCharType="begin"/>
      </w:r>
      <w:r>
        <w:rPr>
          <w:rStyle w:val="Czeinternetowe"/>
          <w:sz w:val="22"/>
          <w:szCs w:val="22"/>
          <w:rFonts w:cs="Calibri"/>
        </w:rPr>
        <w:instrText> HYPERLINK "https://sip.lex.pl/" \l "/document/17337528?cm=DOCUMENT"</w:instrText>
      </w:r>
      <w:r>
        <w:rPr>
          <w:rStyle w:val="Czeinternetowe"/>
          <w:sz w:val="22"/>
          <w:szCs w:val="22"/>
          <w:rFonts w:cs="Calibri"/>
        </w:rPr>
        <w:fldChar w:fldCharType="separate"/>
      </w:r>
      <w:r>
        <w:rPr>
          <w:rStyle w:val="Czeinternetowe"/>
          <w:rFonts w:cs="Calibri"/>
          <w:color w:val="auto"/>
          <w:sz w:val="22"/>
          <w:szCs w:val="22"/>
        </w:rPr>
        <w:t>ustawy</w:t>
      </w:r>
      <w:r>
        <w:rPr>
          <w:rStyle w:val="Czeinternetowe"/>
          <w:sz w:val="22"/>
          <w:szCs w:val="22"/>
          <w:rFonts w:cs="Calibri"/>
        </w:rPr>
        <w:fldChar w:fldCharType="end"/>
      </w:r>
      <w:r>
        <w:rPr>
          <w:rFonts w:cs="Calibri"/>
          <w:sz w:val="22"/>
          <w:szCs w:val="22"/>
        </w:rPr>
        <w:t xml:space="preserve"> z dnia 16 lutego 2007 r. o ochronie konkurencji i konsumentów, z innym Wykonawcą, który złożył odrębną ofertę.</w:t>
      </w:r>
    </w:p>
    <w:p>
      <w:pPr>
        <w:pStyle w:val="Normal"/>
        <w:jc w:val="both"/>
        <w:rPr>
          <w:rFonts w:ascii="Times New Roman" w:hAnsi="Times New Roman" w:cs="Calibri"/>
          <w:sz w:val="22"/>
          <w:szCs w:val="22"/>
        </w:rPr>
      </w:pPr>
      <w:r>
        <w:rPr>
          <w:rFonts w:cs="Calibri"/>
          <w:sz w:val="22"/>
          <w:szCs w:val="22"/>
        </w:rPr>
      </w:r>
    </w:p>
    <w:p>
      <w:pPr>
        <w:pStyle w:val="Normal"/>
        <w:jc w:val="right"/>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dnia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jc w:val="both"/>
        <w:rPr>
          <w:rFonts w:ascii="Times New Roman" w:hAnsi="Times New Roman" w:cs="Calibri"/>
          <w:sz w:val="22"/>
          <w:szCs w:val="22"/>
        </w:rPr>
      </w:pPr>
      <w:r>
        <w:rPr>
          <w:rFonts w:cs="Calibri"/>
          <w:sz w:val="22"/>
          <w:szCs w:val="22"/>
        </w:rPr>
      </w:r>
    </w:p>
    <w:p>
      <w:pPr>
        <w:pStyle w:val="Normal"/>
        <w:rPr>
          <w:rFonts w:ascii="Times New Roman" w:hAnsi="Times New Roman" w:cs="Calibri"/>
          <w:b/>
          <w:b/>
          <w:sz w:val="22"/>
          <w:szCs w:val="22"/>
          <w:lang w:eastAsia="zh-CN"/>
        </w:rPr>
      </w:pPr>
      <w:r>
        <w:rPr>
          <w:rFonts w:cs="Calibri"/>
          <w:b/>
          <w:sz w:val="22"/>
          <w:szCs w:val="22"/>
          <w:lang w:eastAsia="zh-CN"/>
        </w:rPr>
      </w:r>
    </w:p>
    <w:p>
      <w:pPr>
        <w:pStyle w:val="Normal"/>
        <w:jc w:val="both"/>
        <w:rPr>
          <w:rFonts w:ascii="Times New Roman" w:hAnsi="Times New Roman"/>
          <w:sz w:val="22"/>
          <w:szCs w:val="22"/>
        </w:rPr>
      </w:pPr>
      <w:r>
        <w:rPr>
          <w:rFonts w:cs="Calibri"/>
          <w:sz w:val="22"/>
          <w:szCs w:val="22"/>
        </w:rPr>
        <w:t xml:space="preserve">Przystępując do postępowania </w:t>
      </w:r>
      <w:r>
        <w:rPr>
          <w:rFonts w:eastAsia="Times New Roman" w:cs="Calibri"/>
          <w:sz w:val="22"/>
          <w:szCs w:val="22"/>
          <w:lang w:eastAsia="zh-CN"/>
        </w:rPr>
        <w:t xml:space="preserve">o udzielenie zamówienia publicznego w trybie podstawowym </w:t>
        <w:br/>
        <w:t>na</w:t>
      </w:r>
      <w:r>
        <w:rPr>
          <w:rFonts w:eastAsia="Times New Roman" w:cs="Calibri"/>
          <w:b/>
          <w:sz w:val="22"/>
          <w:szCs w:val="22"/>
          <w:lang w:eastAsia="zh-CN"/>
        </w:rPr>
        <w:t xml:space="preserve"> </w:t>
      </w:r>
      <w:r>
        <w:rPr>
          <w:rFonts w:eastAsia="Times New Roman" w:cs="Calibri"/>
          <w:b/>
          <w:bCs/>
          <w:iCs/>
          <w:sz w:val="22"/>
          <w:szCs w:val="22"/>
          <w:lang w:eastAsia="zh-CN"/>
        </w:rPr>
        <w:t>„Dostawę fabrycznie nowego stacjonarnego agregatu prądotwórczego na potrzeby zasilania awaryjnego Domu Pomocy Społecznej w Obrytem”</w:t>
      </w:r>
      <w:r>
        <w:rPr>
          <w:rFonts w:eastAsia="Times New Roman" w:cs="Calibri"/>
          <w:b/>
          <w:bCs/>
          <w:sz w:val="22"/>
          <w:szCs w:val="22"/>
          <w:lang w:eastAsia="zh-CN"/>
        </w:rPr>
        <w:t>,</w:t>
      </w:r>
      <w:r>
        <w:rPr>
          <w:rFonts w:eastAsia="Times New Roman" w:cs="Calibri"/>
          <w:b/>
          <w:sz w:val="22"/>
          <w:szCs w:val="22"/>
          <w:lang w:eastAsia="zh-CN"/>
        </w:rPr>
        <w:t xml:space="preserve"> </w:t>
      </w:r>
      <w:r>
        <w:rPr>
          <w:rFonts w:eastAsia="Times New Roman" w:cs="Calibri"/>
          <w:b w:val="false"/>
          <w:bCs w:val="false"/>
          <w:sz w:val="22"/>
          <w:szCs w:val="22"/>
          <w:lang w:eastAsia="zh-CN"/>
        </w:rPr>
        <w:t>prowadzonym przez Powiat Pułtuski, jednostka organizacyjna: Dom Pomocy Społecznej w Obrytem</w:t>
      </w:r>
      <w:r>
        <w:rPr>
          <w:rFonts w:eastAsia="Times New Roman" w:cs="Calibri"/>
          <w:bCs/>
          <w:sz w:val="22"/>
          <w:szCs w:val="22"/>
          <w:lang w:eastAsia="zh-CN"/>
        </w:rPr>
        <w:t xml:space="preserve"> </w:t>
      </w:r>
      <w:r>
        <w:rPr>
          <w:rFonts w:cs="Calibri"/>
          <w:bCs/>
          <w:sz w:val="22"/>
          <w:szCs w:val="22"/>
        </w:rPr>
        <w:t xml:space="preserve">oświadczam, że </w:t>
      </w:r>
      <w:r>
        <w:rPr>
          <w:rFonts w:cs="Calibri"/>
          <w:sz w:val="22"/>
          <w:szCs w:val="22"/>
        </w:rPr>
        <w:t>przynależę do tej samej grupy kapitałowej z innym Wykonawcą, który złożył odrębną ofertę.</w:t>
      </w:r>
    </w:p>
    <w:p>
      <w:pPr>
        <w:pStyle w:val="Normal"/>
        <w:jc w:val="both"/>
        <w:rPr>
          <w:rFonts w:ascii="Times New Roman" w:hAnsi="Times New Roman" w:cs="Calibri"/>
          <w:sz w:val="22"/>
          <w:szCs w:val="22"/>
        </w:rPr>
      </w:pPr>
      <w:r>
        <w:rPr>
          <w:rFonts w:cs="Calibri"/>
          <w:sz w:val="22"/>
          <w:szCs w:val="22"/>
        </w:rPr>
        <w:t xml:space="preserve">W załączeniu przedkładam dokument / informacje potwierdzające przygotowanie oferty, niezależnie od innego Wykonawcy należącego do tej samej grupy kapitałowej. </w:t>
      </w:r>
    </w:p>
    <w:p>
      <w:pPr>
        <w:pStyle w:val="Normal"/>
        <w:jc w:val="both"/>
        <w:rPr>
          <w:rFonts w:ascii="Times New Roman" w:hAnsi="Times New Roman" w:cs="Calibri"/>
          <w:sz w:val="22"/>
          <w:szCs w:val="22"/>
        </w:rPr>
      </w:pPr>
      <w:r>
        <w:rPr>
          <w:rFonts w:cs="Calibri"/>
          <w:sz w:val="22"/>
          <w:szCs w:val="22"/>
        </w:rPr>
      </w:r>
    </w:p>
    <w:p>
      <w:pPr>
        <w:pStyle w:val="Normal"/>
        <w:jc w:val="right"/>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t>........................... dnia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r>
        <w:br w:type="page"/>
      </w:r>
    </w:p>
    <w:p>
      <w:pPr>
        <w:pStyle w:val="Normal"/>
        <w:jc w:val="right"/>
        <w:rPr>
          <w:rFonts w:ascii="Times New Roman" w:hAnsi="Times New Roman" w:cs="Calibri"/>
          <w:b/>
          <w:b/>
          <w:bCs/>
          <w:sz w:val="22"/>
          <w:szCs w:val="22"/>
        </w:rPr>
      </w:pPr>
      <w:r>
        <w:rPr>
          <w:rFonts w:cs="Calibri"/>
          <w:b/>
          <w:bCs/>
          <w:sz w:val="22"/>
          <w:szCs w:val="22"/>
        </w:rPr>
        <w:t>Załącznik nr 7 do OFERTY</w:t>
      </w:r>
    </w:p>
    <w:p>
      <w:pPr>
        <w:pStyle w:val="Normal"/>
        <w:widowControl/>
        <w:suppressAutoHyphens w:val="false"/>
        <w:rPr>
          <w:rFonts w:ascii="Times New Roman" w:hAnsi="Times New Roman" w:eastAsia="Times New Roman" w:cs="Calibri"/>
          <w:bCs/>
          <w:sz w:val="22"/>
          <w:szCs w:val="22"/>
        </w:rPr>
      </w:pPr>
      <w:r>
        <w:rPr>
          <w:rFonts w:eastAsia="Times New Roman" w:cs="Calibri"/>
          <w:bCs/>
          <w:sz w:val="22"/>
          <w:szCs w:val="22"/>
        </w:rPr>
        <w:t>DPS.ZP.264/TP8/2026</w:t>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rPr>
          <w:rFonts w:ascii="Times New Roman" w:hAnsi="Times New Roman" w:cs="Calibri"/>
          <w:b/>
          <w:b/>
          <w:bCs/>
          <w:sz w:val="22"/>
          <w:szCs w:val="22"/>
        </w:rPr>
      </w:pPr>
      <w:r>
        <w:rPr>
          <w:rFonts w:cs="Calibri"/>
          <w:b/>
          <w:bCs/>
          <w:sz w:val="22"/>
          <w:szCs w:val="22"/>
        </w:rPr>
      </w:r>
    </w:p>
    <w:p>
      <w:pPr>
        <w:pStyle w:val="Normal"/>
        <w:ind w:left="0" w:right="6378" w:hanging="0"/>
        <w:jc w:val="center"/>
        <w:rPr>
          <w:rFonts w:ascii="Times New Roman" w:hAnsi="Times New Roman" w:cs="Calibri"/>
          <w:sz w:val="22"/>
          <w:szCs w:val="22"/>
        </w:rPr>
      </w:pPr>
      <w:r>
        <w:rPr>
          <w:rFonts w:cs="Calibri"/>
          <w:sz w:val="22"/>
          <w:szCs w:val="22"/>
        </w:rPr>
        <w:t>................................................</w:t>
      </w:r>
    </w:p>
    <w:p>
      <w:pPr>
        <w:pStyle w:val="Normal"/>
        <w:ind w:left="0" w:right="6378" w:hanging="0"/>
        <w:jc w:val="center"/>
        <w:rPr>
          <w:rFonts w:ascii="Times New Roman" w:hAnsi="Times New Roman" w:cs="Calibri"/>
          <w:sz w:val="22"/>
          <w:szCs w:val="22"/>
        </w:rPr>
      </w:pPr>
      <w:r>
        <w:rPr>
          <w:rFonts w:cs="Calibri"/>
          <w:sz w:val="22"/>
          <w:szCs w:val="22"/>
        </w:rPr>
        <w:t>(pieczęć Wykonawcy)</w:t>
      </w:r>
    </w:p>
    <w:p>
      <w:pPr>
        <w:pStyle w:val="Normal"/>
        <w:jc w:val="both"/>
        <w:rPr>
          <w:rFonts w:ascii="Times New Roman" w:hAnsi="Times New Roman" w:cs="Calibri"/>
          <w:b/>
          <w:b/>
          <w:bCs/>
          <w:sz w:val="22"/>
          <w:szCs w:val="22"/>
        </w:rPr>
      </w:pPr>
      <w:r>
        <w:rPr>
          <w:rFonts w:cs="Calibri"/>
          <w:b/>
          <w:bCs/>
          <w:sz w:val="22"/>
          <w:szCs w:val="22"/>
        </w:rPr>
      </w:r>
    </w:p>
    <w:p>
      <w:pPr>
        <w:pStyle w:val="Normal"/>
        <w:jc w:val="center"/>
        <w:rPr>
          <w:rFonts w:ascii="Times New Roman" w:hAnsi="Times New Roman"/>
          <w:sz w:val="22"/>
          <w:szCs w:val="22"/>
        </w:rPr>
      </w:pPr>
      <w:r>
        <w:rPr>
          <w:rFonts w:cs="Calibri"/>
          <w:b/>
          <w:sz w:val="22"/>
          <w:szCs w:val="22"/>
          <w:lang w:eastAsia="zh-CN"/>
        </w:rPr>
        <w:t>Oświadczenie n</w:t>
      </w:r>
      <w:r>
        <w:rPr>
          <w:rFonts w:cs="Calibri"/>
          <w:b/>
          <w:sz w:val="22"/>
          <w:szCs w:val="22"/>
        </w:rPr>
        <w:t xml:space="preserve">a temat wykształcenia i kwalifikacji zawodowych </w:t>
        <w:br/>
        <w:t>Wykonawcy lub kadry kierowniczej Wykonawcy</w:t>
      </w:r>
    </w:p>
    <w:p>
      <w:pPr>
        <w:pStyle w:val="Normal"/>
        <w:jc w:val="center"/>
        <w:rPr>
          <w:rFonts w:ascii="Times New Roman" w:hAnsi="Times New Roman" w:cs="Calibri"/>
          <w:b/>
          <w:b/>
          <w:sz w:val="22"/>
          <w:szCs w:val="22"/>
          <w:lang w:eastAsia="zh-CN"/>
        </w:rPr>
      </w:pPr>
      <w:r>
        <w:rPr>
          <w:rFonts w:cs="Calibri"/>
          <w:b/>
          <w:sz w:val="22"/>
          <w:szCs w:val="22"/>
          <w:lang w:eastAsia="zh-CN"/>
        </w:rPr>
      </w:r>
    </w:p>
    <w:p>
      <w:pPr>
        <w:pStyle w:val="Normal"/>
        <w:spacing w:lineRule="auto" w:line="360"/>
        <w:jc w:val="both"/>
        <w:rPr>
          <w:rFonts w:ascii="Times New Roman" w:hAnsi="Times New Roman"/>
          <w:sz w:val="22"/>
          <w:szCs w:val="22"/>
        </w:rPr>
      </w:pPr>
      <w:r>
        <w:rPr>
          <w:rFonts w:eastAsia="Times New Roman" w:cs="Calibri"/>
          <w:sz w:val="22"/>
          <w:szCs w:val="22"/>
          <w:lang w:eastAsia="zh-CN"/>
        </w:rPr>
        <w:t xml:space="preserve">Oświadczam, że spełniam warunki udziału w postępowaniu o udzielenie zamówienia publicznego w trybie podstawowym na </w:t>
      </w:r>
      <w:r>
        <w:rPr>
          <w:rFonts w:eastAsia="Times New Roman" w:cs="Calibri"/>
          <w:b/>
          <w:bCs/>
          <w:iCs/>
          <w:sz w:val="22"/>
          <w:szCs w:val="22"/>
          <w:lang w:eastAsia="zh-CN"/>
        </w:rPr>
        <w:t>„Dostawę fabrycznie nowego stacjonarnego agregatu prądotwórczego na potrzeby zasilania awaryjnego Domu Pomocy Społecznej w Obrytem”</w:t>
      </w:r>
      <w:r>
        <w:rPr>
          <w:rFonts w:eastAsia="Times New Roman" w:cs="Calibri"/>
          <w:bCs/>
          <w:sz w:val="22"/>
          <w:szCs w:val="22"/>
          <w:lang w:eastAsia="zh-CN"/>
        </w:rPr>
        <w:t>,</w:t>
      </w:r>
      <w:r>
        <w:rPr>
          <w:rFonts w:eastAsia="Times New Roman" w:cs="Calibri"/>
          <w:b/>
          <w:sz w:val="22"/>
          <w:szCs w:val="22"/>
          <w:lang w:eastAsia="zh-CN"/>
        </w:rPr>
        <w:t xml:space="preserve"> </w:t>
      </w:r>
      <w:r>
        <w:rPr>
          <w:rFonts w:eastAsia="Times New Roman" w:cs="Calibri"/>
          <w:bCs/>
          <w:sz w:val="22"/>
          <w:szCs w:val="22"/>
          <w:lang w:eastAsia="zh-CN"/>
        </w:rPr>
        <w:t>prowadzonym przez Powiat Pułtuski, jednostka organizacyjna: Dom Pomocy Społecznej w Obrytem</w:t>
      </w:r>
      <w:r>
        <w:rPr>
          <w:rFonts w:eastAsia="Times New Roman" w:cs="Calibri"/>
          <w:sz w:val="22"/>
          <w:szCs w:val="22"/>
          <w:lang w:eastAsia="zh-CN"/>
        </w:rPr>
        <w:t>, tj. do realizacji niniejszego zamówienia skierujemy kierownika robót elektrycznych w osobie p. ……………………………………………………………….……………………, posiadającą/-ego uprawnienia budowalne do kierowania robotami budowlanymi w specjalności instalacyjnej w zakresie sieci, instalacji i urządzeń elektrycznych i elektroenergetycznych Nr ………………………… z dnia ………………………… wydane przez …………………………………………………………………………………………………………… wraz z zaświadczeniem o przynależności do właściwej izby samorządu zawodowego Nr ………………………… ważnym od ………………………… do ………………………… oraz minimum ……-letnie (przed upływem terminu składania ofert) doświadczenie zawodowe.</w:t>
      </w:r>
    </w:p>
    <w:p>
      <w:pPr>
        <w:pStyle w:val="Normal"/>
        <w:jc w:val="both"/>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spacing w:lineRule="auto" w:line="360"/>
        <w:rPr>
          <w:rFonts w:ascii="Times New Roman" w:hAnsi="Times New Roman" w:cs="Calibri"/>
          <w:sz w:val="22"/>
          <w:szCs w:val="22"/>
        </w:rPr>
      </w:pPr>
      <w:r>
        <w:rPr>
          <w:rFonts w:cs="Calibri"/>
          <w:sz w:val="22"/>
          <w:szCs w:val="22"/>
        </w:rPr>
        <w:t>........................... dnia ……..................... 2026 r.</w:t>
      </w:r>
    </w:p>
    <w:p>
      <w:pPr>
        <w:pStyle w:val="Normal"/>
        <w:rPr>
          <w:rFonts w:ascii="Times New Roman" w:hAnsi="Times New Roman" w:cs="Calibri"/>
          <w:sz w:val="22"/>
          <w:szCs w:val="22"/>
        </w:rPr>
      </w:pPr>
      <w:r>
        <w:rPr>
          <w:rFonts w:cs="Calibri"/>
          <w:sz w:val="22"/>
          <w:szCs w:val="22"/>
        </w:rPr>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xml:space="preserve">Dokument składany w postaci elektronicznej opatrzonej kwalifikowanym podpisem elektronicznym </w:t>
      </w:r>
    </w:p>
    <w:p>
      <w:pPr>
        <w:pStyle w:val="Normal"/>
        <w:ind w:left="3261" w:right="0" w:hanging="0"/>
        <w:jc w:val="center"/>
        <w:rPr>
          <w:rFonts w:ascii="Times New Roman" w:hAnsi="Times New Roman"/>
          <w:sz w:val="22"/>
          <w:szCs w:val="22"/>
        </w:rPr>
      </w:pPr>
      <w:r>
        <w:rPr>
          <w:rFonts w:eastAsia="Times New Roman" w:cs="Calibri"/>
          <w:bCs/>
          <w:i/>
          <w:sz w:val="22"/>
          <w:szCs w:val="22"/>
          <w:lang w:eastAsia="pl-PL"/>
        </w:rPr>
        <w:t>lub w postaci elektronicznej, opatrzonej podpisem zaufanym lub podpisem osobistym</w:t>
      </w:r>
      <w:r>
        <w:rPr>
          <w:rFonts w:eastAsia="Times New Roman" w:cs="Calibri"/>
          <w:i/>
          <w:sz w:val="22"/>
          <w:szCs w:val="22"/>
          <w:lang w:eastAsia="pl-PL"/>
        </w:rPr>
        <w:t xml:space="preserve"> </w:t>
      </w:r>
    </w:p>
    <w:p>
      <w:pPr>
        <w:pStyle w:val="Normal"/>
        <w:ind w:left="3261" w:right="0" w:hanging="0"/>
        <w:jc w:val="center"/>
        <w:rPr>
          <w:rFonts w:ascii="Times New Roman" w:hAnsi="Times New Roman" w:eastAsia="Times New Roman" w:cs="Calibri"/>
          <w:i/>
          <w:i/>
          <w:sz w:val="22"/>
          <w:szCs w:val="22"/>
          <w:lang w:eastAsia="pl-PL"/>
        </w:rPr>
      </w:pPr>
      <w:r>
        <w:rPr>
          <w:rFonts w:eastAsia="Times New Roman" w:cs="Calibri"/>
          <w:i/>
          <w:sz w:val="22"/>
          <w:szCs w:val="22"/>
          <w:lang w:eastAsia="pl-PL"/>
        </w:rPr>
        <w:t>- podpis  osoby upoważnionej  do reprezentacji Wykonawcy</w:t>
      </w:r>
    </w:p>
    <w:p>
      <w:pPr>
        <w:pStyle w:val="Normal"/>
        <w:jc w:val="both"/>
        <w:rPr>
          <w:rFonts w:ascii="Times New Roman" w:hAnsi="Times New Roman" w:cs="Calibri"/>
          <w:sz w:val="22"/>
          <w:szCs w:val="22"/>
        </w:rPr>
      </w:pPr>
      <w:r>
        <w:rPr>
          <w:rFonts w:cs="Calibri"/>
          <w:sz w:val="22"/>
          <w:szCs w:val="22"/>
        </w:rPr>
      </w:r>
      <w:r>
        <w:br w:type="page"/>
      </w:r>
    </w:p>
    <w:p>
      <w:pPr>
        <w:pStyle w:val="Normal"/>
        <w:jc w:val="right"/>
        <w:rPr>
          <w:rFonts w:ascii="Times New Roman" w:hAnsi="Times New Roman" w:eastAsia="Times New Roman" w:cs="Calibri"/>
          <w:b/>
          <w:b/>
          <w:sz w:val="22"/>
          <w:szCs w:val="22"/>
          <w:lang w:eastAsia="pl-PL"/>
        </w:rPr>
      </w:pPr>
      <w:r>
        <w:rPr>
          <w:rFonts w:eastAsia="Times New Roman" w:cs="Calibri"/>
          <w:b/>
          <w:sz w:val="22"/>
          <w:szCs w:val="22"/>
          <w:lang w:eastAsia="pl-PL"/>
        </w:rPr>
        <w:t>Załącznik Nr 2 do SWZ</w:t>
      </w:r>
    </w:p>
    <w:p>
      <w:pPr>
        <w:pStyle w:val="Normal"/>
        <w:rPr>
          <w:rFonts w:ascii="Times New Roman" w:hAnsi="Times New Roman" w:cs="Calibri"/>
          <w:sz w:val="22"/>
          <w:szCs w:val="22"/>
        </w:rPr>
      </w:pPr>
      <w:r>
        <w:rPr>
          <w:rFonts w:cs="Calibri"/>
          <w:sz w:val="22"/>
          <w:szCs w:val="22"/>
        </w:rPr>
        <w:t>DPS.ZP.264/TP8/2026</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keepNext w:val="true"/>
        <w:widowControl/>
        <w:numPr>
          <w:ilvl w:val="0"/>
          <w:numId w:val="0"/>
        </w:numPr>
        <w:suppressAutoHyphens w:val="false"/>
        <w:jc w:val="center"/>
        <w:outlineLvl w:val="0"/>
        <w:rPr>
          <w:rFonts w:ascii="Times New Roman" w:hAnsi="Times New Roman" w:eastAsia="Times New Roman" w:cs="Calibri"/>
          <w:b/>
          <w:b/>
          <w:sz w:val="22"/>
          <w:szCs w:val="22"/>
          <w:lang w:eastAsia="pl-PL"/>
        </w:rPr>
      </w:pPr>
      <w:r>
        <w:rPr>
          <w:rFonts w:eastAsia="Times New Roman" w:cs="Calibri"/>
          <w:b/>
          <w:sz w:val="22"/>
          <w:szCs w:val="22"/>
          <w:lang w:eastAsia="pl-PL"/>
        </w:rPr>
        <w:t>UMOWA Nr …… / 2026</w:t>
      </w:r>
    </w:p>
    <w:p>
      <w:pPr>
        <w:pStyle w:val="Normal"/>
        <w:widowControl/>
        <w:tabs>
          <w:tab w:val="clear" w:pos="708"/>
          <w:tab w:val="left" w:pos="6970" w:leader="none"/>
        </w:tabs>
        <w:suppressAutoHyphens w:val="false"/>
        <w:spacing w:before="120" w:after="0"/>
        <w:rPr>
          <w:rFonts w:ascii="Times New Roman" w:hAnsi="Times New Roman" w:eastAsia="Calibri" w:cs="Calibri"/>
          <w:sz w:val="22"/>
          <w:szCs w:val="22"/>
          <w:lang w:eastAsia="en-US"/>
        </w:rPr>
      </w:pPr>
      <w:r>
        <w:rPr>
          <w:rFonts w:eastAsia="Calibri" w:cs="Calibri"/>
          <w:sz w:val="22"/>
          <w:szCs w:val="22"/>
          <w:lang w:eastAsia="en-US"/>
        </w:rPr>
        <w:t>zawarta pomiędzy: (zapis dla umowy podpisanej w wersji elektronicznej)</w:t>
      </w:r>
    </w:p>
    <w:p>
      <w:pPr>
        <w:pStyle w:val="Normal"/>
        <w:widowControl/>
        <w:suppressAutoHyphens w:val="false"/>
        <w:spacing w:before="120" w:after="0"/>
        <w:rPr>
          <w:rFonts w:ascii="Times New Roman" w:hAnsi="Times New Roman" w:eastAsia="Calibri" w:cs="Calibri"/>
          <w:sz w:val="22"/>
          <w:szCs w:val="22"/>
          <w:lang w:eastAsia="en-US"/>
        </w:rPr>
      </w:pPr>
      <w:r>
        <w:rPr>
          <w:rFonts w:eastAsia="Calibri" w:cs="Calibri"/>
          <w:sz w:val="22"/>
          <w:szCs w:val="22"/>
          <w:lang w:eastAsia="en-US"/>
        </w:rPr>
        <w:t>zawarta w dniu ….…..2026 r. w Pułtusku pomiędzy: (zapis dla umowy podpisanej w wersji papierowej)</w:t>
      </w:r>
    </w:p>
    <w:p>
      <w:pPr>
        <w:pStyle w:val="Normal"/>
        <w:widowControl/>
        <w:suppressAutoHyphens w:val="false"/>
        <w:spacing w:before="120" w:after="0"/>
        <w:jc w:val="both"/>
        <w:rPr>
          <w:rFonts w:ascii="Times New Roman" w:hAnsi="Times New Roman"/>
          <w:sz w:val="22"/>
          <w:szCs w:val="22"/>
        </w:rPr>
      </w:pPr>
      <w:r>
        <w:rPr>
          <w:rFonts w:eastAsia="Calibri" w:cs="Calibri"/>
          <w:b/>
          <w:bCs/>
          <w:sz w:val="22"/>
          <w:szCs w:val="22"/>
          <w:lang w:eastAsia="en-US"/>
        </w:rPr>
        <w:t>Powiatem Pułtuskim</w:t>
      </w:r>
      <w:r>
        <w:rPr>
          <w:rFonts w:eastAsia="Calibri" w:cs="Calibri"/>
          <w:sz w:val="22"/>
          <w:szCs w:val="22"/>
          <w:lang w:eastAsia="en-US"/>
        </w:rPr>
        <w:t xml:space="preserve"> z siedzibą: ul. Marii Skłodowskiej-Curie 11, 06-100 Pułtusk, NIP: 568-16-18-062, REGON:</w:t>
      </w:r>
      <w:r>
        <w:rPr>
          <w:rFonts w:eastAsia="Calibri"/>
          <w:sz w:val="22"/>
          <w:szCs w:val="22"/>
          <w:lang w:eastAsia="en-US"/>
        </w:rPr>
        <w:t xml:space="preserve"> </w:t>
      </w:r>
      <w:r>
        <w:rPr>
          <w:rFonts w:eastAsia="Calibri" w:cs="Calibri"/>
          <w:sz w:val="22"/>
          <w:szCs w:val="22"/>
          <w:lang w:eastAsia="en-US"/>
        </w:rPr>
        <w:t>130377729</w:t>
      </w:r>
      <w:bookmarkStart w:id="3" w:name="_Hlk169781954"/>
      <w:bookmarkEnd w:id="3"/>
      <w:r>
        <w:rPr>
          <w:rFonts w:eastAsia="Calibri" w:cs="Calibri"/>
          <w:sz w:val="22"/>
          <w:szCs w:val="22"/>
          <w:lang w:eastAsia="en-US"/>
        </w:rPr>
        <w:t xml:space="preserve"> w imieniu którego działa jednostka organizacyjna – Dom Pomocy Społecznej w Obrytem z siedzibą w: 07-215 Obryte 188, NIP: 762-11-32-724, REGON:000308927, reprezentowany przez Pana Dariusza Smyka – Dyrektora (na podstawie Upoważnienia nr 6/2024 Zarządu Powiatu w Pułtusku z dnia 2 maja 2024 roku),</w:t>
      </w:r>
    </w:p>
    <w:p>
      <w:pPr>
        <w:pStyle w:val="Normal"/>
        <w:widowControl/>
        <w:suppressAutoHyphens w:val="false"/>
        <w:rPr>
          <w:rFonts w:ascii="Times New Roman" w:hAnsi="Times New Roman"/>
          <w:sz w:val="22"/>
          <w:szCs w:val="22"/>
        </w:rPr>
      </w:pPr>
      <w:r>
        <w:rPr>
          <w:rFonts w:eastAsia="Calibri" w:cs="Calibri"/>
          <w:sz w:val="22"/>
          <w:szCs w:val="22"/>
          <w:lang w:eastAsia="en-US"/>
        </w:rPr>
        <w:t xml:space="preserve">zwanym w dalszej części treści umowy </w:t>
      </w:r>
      <w:r>
        <w:rPr>
          <w:rFonts w:eastAsia="Calibri" w:cs="Calibri"/>
          <w:b/>
          <w:bCs/>
          <w:i/>
          <w:iCs/>
          <w:sz w:val="22"/>
          <w:szCs w:val="22"/>
          <w:lang w:eastAsia="en-US"/>
        </w:rPr>
        <w:t>„Zamawiającym”</w:t>
      </w:r>
    </w:p>
    <w:p>
      <w:pPr>
        <w:pStyle w:val="Normal"/>
        <w:widowControl/>
        <w:suppressAutoHyphens w:val="false"/>
        <w:spacing w:before="120" w:after="0"/>
        <w:rPr>
          <w:rFonts w:ascii="Times New Roman" w:hAnsi="Times New Roman" w:eastAsia="Calibri" w:cs="Calibri"/>
          <w:sz w:val="22"/>
          <w:szCs w:val="22"/>
          <w:lang w:eastAsia="en-US"/>
        </w:rPr>
      </w:pPr>
      <w:r>
        <w:rPr>
          <w:rFonts w:eastAsia="Calibri" w:cs="Calibri"/>
          <w:sz w:val="22"/>
          <w:szCs w:val="22"/>
          <w:lang w:eastAsia="en-US"/>
        </w:rPr>
        <w:t>a</w:t>
      </w:r>
    </w:p>
    <w:p>
      <w:pPr>
        <w:pStyle w:val="Normal"/>
        <w:widowControl/>
        <w:suppressAutoHyphens w:val="false"/>
        <w:spacing w:before="120" w:after="0"/>
        <w:rPr>
          <w:rFonts w:ascii="Times New Roman" w:hAnsi="Times New Roman"/>
          <w:sz w:val="22"/>
          <w:szCs w:val="22"/>
        </w:rPr>
      </w:pPr>
      <w:bookmarkStart w:id="4" w:name="_Hlk529439673"/>
      <w:r>
        <w:rPr>
          <w:rFonts w:eastAsia="Calibri" w:cs="Calibri"/>
          <w:bCs/>
          <w:sz w:val="22"/>
          <w:szCs w:val="22"/>
          <w:lang w:eastAsia="en-US"/>
        </w:rPr>
        <w:t>………………………………………………………………………………………………………………………………………</w:t>
      </w:r>
      <w:r>
        <w:rPr>
          <w:rFonts w:eastAsia="Calibri" w:cs="Calibri"/>
          <w:bCs/>
          <w:sz w:val="22"/>
          <w:szCs w:val="22"/>
          <w:lang w:eastAsia="en-US"/>
        </w:rPr>
        <w:t>..……</w:t>
      </w:r>
      <w:r>
        <w:rPr>
          <w:rFonts w:eastAsia="Calibri" w:cs="Calibri"/>
          <w:sz w:val="22"/>
          <w:szCs w:val="22"/>
          <w:lang w:eastAsia="en-US"/>
        </w:rPr>
        <w:br/>
        <w:t>…………………………………………………………………………………………………………………………………………….……</w:t>
      </w:r>
      <w:bookmarkEnd w:id="4"/>
    </w:p>
    <w:p>
      <w:pPr>
        <w:pStyle w:val="Normal"/>
        <w:widowControl/>
        <w:suppressAutoHyphens w:val="false"/>
        <w:rPr>
          <w:rFonts w:ascii="Times New Roman" w:hAnsi="Times New Roman" w:eastAsia="Calibri" w:cs="Calibri"/>
          <w:sz w:val="22"/>
          <w:szCs w:val="22"/>
          <w:lang w:eastAsia="en-US"/>
        </w:rPr>
      </w:pPr>
      <w:r>
        <w:rPr>
          <w:rFonts w:eastAsia="Calibri" w:cs="Calibri"/>
          <w:sz w:val="22"/>
          <w:szCs w:val="22"/>
          <w:lang w:eastAsia="en-US"/>
        </w:rPr>
        <w:t>……………………………………………………………………………………………………………………………………………………</w:t>
      </w:r>
    </w:p>
    <w:p>
      <w:pPr>
        <w:pStyle w:val="Normal"/>
        <w:widowControl/>
        <w:suppressAutoHyphens w:val="false"/>
        <w:rPr>
          <w:rFonts w:ascii="Times New Roman" w:hAnsi="Times New Roman" w:eastAsia="Calibri" w:cs="Calibri"/>
          <w:sz w:val="22"/>
          <w:szCs w:val="22"/>
          <w:lang w:eastAsia="en-US"/>
        </w:rPr>
      </w:pPr>
      <w:r>
        <w:rPr>
          <w:rFonts w:eastAsia="Calibri" w:cs="Calibri"/>
          <w:sz w:val="22"/>
          <w:szCs w:val="22"/>
          <w:lang w:eastAsia="en-US"/>
        </w:rPr>
        <w:t>……………………………………………………………………………………………………………………………………………………</w:t>
      </w:r>
    </w:p>
    <w:p>
      <w:pPr>
        <w:pStyle w:val="Normal"/>
        <w:widowControl/>
        <w:suppressAutoHyphens w:val="false"/>
        <w:rPr>
          <w:rFonts w:ascii="Times New Roman" w:hAnsi="Times New Roman" w:eastAsia="Calibri" w:cs="Calibri"/>
          <w:sz w:val="22"/>
          <w:szCs w:val="22"/>
          <w:lang w:eastAsia="en-US"/>
        </w:rPr>
      </w:pPr>
      <w:r>
        <w:rPr>
          <w:rFonts w:eastAsia="Calibri" w:cs="Calibri"/>
          <w:sz w:val="22"/>
          <w:szCs w:val="22"/>
          <w:lang w:eastAsia="en-US"/>
        </w:rPr>
        <w:t>zwaną/-ym w dalszej części treści umowy „Wykonawcą”,</w:t>
      </w:r>
    </w:p>
    <w:p>
      <w:pPr>
        <w:pStyle w:val="Normal"/>
        <w:widowControl/>
        <w:suppressAutoHyphens w:val="false"/>
        <w:spacing w:before="120" w:after="0"/>
        <w:rPr>
          <w:rFonts w:ascii="Times New Roman" w:hAnsi="Times New Roman" w:eastAsia="Calibri" w:cs="Calibri"/>
          <w:sz w:val="22"/>
          <w:szCs w:val="22"/>
          <w:lang w:eastAsia="en-US"/>
        </w:rPr>
      </w:pPr>
      <w:r>
        <w:rPr>
          <w:rFonts w:eastAsia="Calibri" w:cs="Calibri"/>
          <w:sz w:val="22"/>
          <w:szCs w:val="22"/>
          <w:lang w:eastAsia="en-US"/>
        </w:rPr>
        <w:t>zwane zaś dalej łącznie „Stronami”, a osobno „Stroną”,</w:t>
      </w:r>
    </w:p>
    <w:p>
      <w:pPr>
        <w:pStyle w:val="Normal"/>
        <w:widowControl/>
        <w:suppressAutoHyphens w:val="false"/>
        <w:spacing w:before="120" w:after="0"/>
        <w:jc w:val="both"/>
        <w:rPr>
          <w:rFonts w:ascii="Times New Roman" w:hAnsi="Times New Roman" w:eastAsia="Calibri" w:cs="Calibri"/>
          <w:bCs/>
          <w:sz w:val="22"/>
          <w:szCs w:val="22"/>
          <w:lang w:eastAsia="en-US"/>
        </w:rPr>
      </w:pPr>
      <w:r>
        <w:rPr>
          <w:rFonts w:eastAsia="Calibri" w:cs="Calibri"/>
          <w:bCs/>
          <w:sz w:val="22"/>
          <w:szCs w:val="22"/>
          <w:lang w:eastAsia="en-US"/>
        </w:rPr>
        <w:t>w wyniku przeprowadzonego postępowania o udzielenie zamówienia publicznego w trybie podstawowym bez możliwości prowadzenia negocjacji na podstawie art. 275 pkt 1 ustawy z dnia 11 września 2019 r. Prawo zamówień publicznych (Dz. U. z 2026 r. poz. 793), o następującej treści:</w:t>
      </w:r>
    </w:p>
    <w:p>
      <w:pPr>
        <w:pStyle w:val="Normal"/>
        <w:widowControl/>
        <w:suppressAutoHyphens w:val="false"/>
        <w:jc w:val="center"/>
        <w:rPr>
          <w:rFonts w:ascii="Times New Roman" w:hAnsi="Times New Roman" w:eastAsia="Calibri" w:cs="Calibri"/>
          <w:b/>
          <w:b/>
          <w:sz w:val="22"/>
          <w:szCs w:val="22"/>
          <w:lang w:eastAsia="en-US"/>
        </w:rPr>
      </w:pPr>
      <w:r>
        <w:rPr>
          <w:rFonts w:eastAsia="Calibri" w:cs="Calibri"/>
          <w:b/>
          <w:sz w:val="22"/>
          <w:szCs w:val="22"/>
          <w:lang w:eastAsia="en-US"/>
        </w:rPr>
        <w:t>§ 1.</w:t>
      </w:r>
    </w:p>
    <w:p>
      <w:pPr>
        <w:pStyle w:val="Normal"/>
        <w:widowControl/>
        <w:suppressAutoHyphens w:val="false"/>
        <w:spacing w:before="120" w:after="0"/>
        <w:jc w:val="center"/>
        <w:rPr>
          <w:rFonts w:ascii="Times New Roman" w:hAnsi="Times New Roman" w:eastAsia="Calibri" w:cs="Calibri"/>
          <w:b/>
          <w:b/>
          <w:sz w:val="22"/>
          <w:szCs w:val="22"/>
          <w:lang w:eastAsia="en-US"/>
        </w:rPr>
      </w:pPr>
      <w:r>
        <w:rPr>
          <w:rFonts w:eastAsia="Calibri" w:cs="Calibri"/>
          <w:b/>
          <w:sz w:val="22"/>
          <w:szCs w:val="22"/>
          <w:lang w:eastAsia="en-US"/>
        </w:rPr>
        <w:t>Przedmiot umowy</w:t>
      </w:r>
      <w:bookmarkStart w:id="5" w:name="_Hlk529439841"/>
      <w:bookmarkEnd w:id="5"/>
    </w:p>
    <w:p>
      <w:pPr>
        <w:pStyle w:val="Normal"/>
        <w:widowControl/>
        <w:numPr>
          <w:ilvl w:val="0"/>
          <w:numId w:val="19"/>
        </w:numPr>
        <w:tabs>
          <w:tab w:val="clear" w:pos="708"/>
          <w:tab w:val="left" w:pos="426" w:leader="none"/>
        </w:tabs>
        <w:suppressAutoHyphens w:val="false"/>
        <w:spacing w:before="120" w:after="0"/>
        <w:ind w:left="357" w:right="0" w:hanging="357"/>
        <w:jc w:val="both"/>
        <w:rPr/>
      </w:pPr>
      <w:r>
        <w:rPr>
          <w:rFonts w:eastAsia="Times New Roman" w:cs="Calibri"/>
          <w:sz w:val="22"/>
          <w:szCs w:val="22"/>
          <w:lang w:eastAsia="pl-PL"/>
        </w:rPr>
        <w:t xml:space="preserve">Przedmiotem zamówienia jest realizacja zadania inwestycyjnego pn. </w:t>
      </w:r>
      <w:r>
        <w:rPr>
          <w:rFonts w:eastAsia="Times New Roman" w:cs="Calibri"/>
          <w:b/>
          <w:bCs/>
          <w:sz w:val="22"/>
          <w:szCs w:val="22"/>
          <w:lang w:eastAsia="pl-PL"/>
        </w:rPr>
        <w:t>„Doposażenie w stacjonarny agregat prądotwórczy o mocy min. 250 kVA wraz z instalacją podłączeniową na potrzeby Domu Pomocy Społecznej w Obrytem”</w:t>
      </w:r>
      <w:r>
        <w:rPr>
          <w:rFonts w:eastAsia="Times New Roman" w:cs="Calibri"/>
          <w:b/>
          <w:bCs/>
          <w:lang w:eastAsia="pl-PL"/>
        </w:rPr>
        <w:t xml:space="preserve"> </w:t>
      </w:r>
      <w:r>
        <w:rPr>
          <w:rFonts w:eastAsia="Times New Roman" w:cs="Calibri"/>
          <w:sz w:val="22"/>
          <w:szCs w:val="22"/>
          <w:lang w:eastAsia="pl-PL"/>
        </w:rPr>
        <w:t xml:space="preserve">, w ramach którego zostanie zrealizowana </w:t>
      </w:r>
      <w:r>
        <w:rPr>
          <w:rFonts w:cs="Calibri"/>
          <w:bCs/>
          <w:iCs/>
          <w:sz w:val="22"/>
          <w:szCs w:val="22"/>
        </w:rPr>
        <w:t xml:space="preserve">dostawa, rozładunek, montaż i pierwsze uruchomienie fabrycznie nowego stacjonarnego agregatu prądotwórczego zabudowanego z automatycznym i manualnym rozruchem o mocy znamionowej min. 250 kVA/ 160kW i podłączeniem do wewnętrznej sieci elektrycznej oraz wykonaniem płyty fundamentowej i montażem ogrodzenia z zadaszeniem agregatu zgodnie z dokumentacją techniczną na potrzeby zasilania </w:t>
      </w:r>
      <w:r>
        <w:rPr>
          <w:rFonts w:cs="Calibri"/>
          <w:iCs/>
          <w:sz w:val="22"/>
          <w:szCs w:val="22"/>
        </w:rPr>
        <w:t>awaryjnego Domu Pomocy Społecznej w Obrytem</w:t>
      </w:r>
      <w:r>
        <w:rPr>
          <w:rFonts w:eastAsia="Times New Roman" w:cs="Calibri"/>
          <w:sz w:val="22"/>
          <w:szCs w:val="22"/>
          <w:lang w:eastAsia="pl-PL"/>
        </w:rPr>
        <w:t>, na warunkach określonych w specyfikacji warunków zmówienia, ofercie Wykonawcy z dnia ……, projektem technicznym, przedmiarze robót i specyfikacji technicznej wykonania i odbioru robót elektrycznych.</w:t>
      </w:r>
    </w:p>
    <w:p>
      <w:pPr>
        <w:pStyle w:val="Normal"/>
        <w:widowControl/>
        <w:numPr>
          <w:ilvl w:val="0"/>
          <w:numId w:val="19"/>
        </w:numPr>
        <w:tabs>
          <w:tab w:val="clear" w:pos="708"/>
          <w:tab w:val="left" w:pos="426" w:leader="none"/>
        </w:tabs>
        <w:suppressAutoHyphens w:val="false"/>
        <w:spacing w:before="120" w:after="0"/>
        <w:ind w:left="357" w:right="0" w:hanging="357"/>
        <w:jc w:val="both"/>
        <w:rPr>
          <w:rFonts w:ascii="Times New Roman" w:hAnsi="Times New Roman" w:eastAsia="Times New Roman" w:cs="Calibri"/>
          <w:sz w:val="22"/>
          <w:szCs w:val="22"/>
          <w:lang w:eastAsia="pl-PL"/>
        </w:rPr>
      </w:pPr>
      <w:r>
        <w:rPr>
          <w:rFonts w:eastAsia="Times New Roman" w:cs="Calibri"/>
          <w:sz w:val="22"/>
          <w:szCs w:val="22"/>
          <w:lang w:eastAsia="pl-PL"/>
        </w:rPr>
        <w:t>Wykonawca zobowiązuje się do:</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sz w:val="22"/>
          <w:szCs w:val="22"/>
        </w:rPr>
      </w:pPr>
      <w:r>
        <w:rPr>
          <w:rFonts w:cs="Calibri"/>
          <w:sz w:val="22"/>
          <w:szCs w:val="22"/>
        </w:rPr>
        <w:t>dostawy, rozładunku i pierwszego uruchomienia fabrycznie nowego agregatu prądotwórczego zabudowanego z automatycznym i manualnym rozruchem o mocy znamionowej min. 250 kVA/160 KW;</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wykonania płyty fundamentowej oraz ogrodzenia z zadaszeniem agregatu zgodnie z dokumentacją techniczną;</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dostarczeniem agregatu z kompletem płynów i zatankowanym „do pełna”;</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podłączeniem agregatu do istniejącej instalacji poprzez automatykę SZR wraz z opracowaniem dokumentacji powykonawczej;</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przeprowadzenie testów dynamicznych, w tym testu pełnego zaniku zasilania sieciowego dla budynku oraz testu ciągłego obciążenia (min. 2 godziny);</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przeprowadzenie szkolenia pracowników w miejscu montażu agregatu (1h) w zakresie obsługi agregatu wraz z podzespołami potwierdzonego protokołem;</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cs="Calibri"/>
          <w:sz w:val="22"/>
          <w:szCs w:val="22"/>
        </w:rPr>
      </w:pPr>
      <w:r>
        <w:rPr>
          <w:rFonts w:cs="Calibri"/>
          <w:sz w:val="22"/>
          <w:szCs w:val="22"/>
        </w:rPr>
        <w:t>przekazanie kompletnej dokumentacji powykonawczej, instrukcji w jęz. polskim, atestów na użyte materiały, schematów oraz protokołów pomiarów elektrycznych (izolacja, uziemienie, pętla zwarcia);</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sz w:val="22"/>
          <w:szCs w:val="22"/>
        </w:rPr>
      </w:pPr>
      <w:r>
        <w:rPr>
          <w:rFonts w:cs="Calibri"/>
          <w:sz w:val="22"/>
          <w:szCs w:val="22"/>
        </w:rPr>
        <w:t>pierwsze uruchomienie agregatu nastąpi w punkcie ich przyłączenia w Obrytem pod adresem: Obryte 188, 07-215 Obryte;</w:t>
      </w:r>
    </w:p>
    <w:p>
      <w:pPr>
        <w:pStyle w:val="ListParagraph"/>
        <w:widowControl/>
        <w:numPr>
          <w:ilvl w:val="0"/>
          <w:numId w:val="23"/>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dostarczenia agregatu, o którym mowa w ust. 1 pkt 1: </w:t>
      </w:r>
    </w:p>
    <w:p>
      <w:pPr>
        <w:pStyle w:val="ListParagraph"/>
        <w:widowControl/>
        <w:numPr>
          <w:ilvl w:val="0"/>
          <w:numId w:val="42"/>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fabrycznie nowego, nieużywanego, pełnowartościowego, który nie służył do celów demonstracyjnych, ani nie był wykorzystywany wcześniej przez innego użytkownika, wolnego od wad fizycznych i prawnych, w tym obciążeń prawnych osób trzecich, niebędącego przedmiotem jakiegokolwiek postępowania lub zabezpieczenia,</w:t>
      </w:r>
    </w:p>
    <w:p>
      <w:pPr>
        <w:pStyle w:val="ListParagraph"/>
        <w:widowControl/>
        <w:numPr>
          <w:ilvl w:val="0"/>
          <w:numId w:val="42"/>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spełniającego wszelkie wymogi określone w obowiązujących przepisach prawa i normach mających zastosowanie do Przedmiotu umowy oraz normy i wymagania techniczno- eksploatacyjne obowiązujące na terenie Unii Europejskiej, </w:t>
      </w:r>
    </w:p>
    <w:p>
      <w:pPr>
        <w:pStyle w:val="ListParagraph"/>
        <w:widowControl/>
        <w:numPr>
          <w:ilvl w:val="0"/>
          <w:numId w:val="42"/>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kompletnego i gotowego do pracy – użycia, zgodnie ze swym przeznaczeniem, bez konieczności dodatkowego dokonywania jakichkolwiek zakupów i inwestycji ze strony Zamawiającego,</w:t>
      </w:r>
    </w:p>
    <w:p>
      <w:pPr>
        <w:pStyle w:val="ListParagraph"/>
        <w:widowControl/>
        <w:numPr>
          <w:ilvl w:val="0"/>
          <w:numId w:val="42"/>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zgodnego z oferowanymi przez Wykonawcę „parametrami technicznymi”, wynikającymi z oferty Wykonawcy oraz OPZ. </w:t>
      </w:r>
    </w:p>
    <w:p>
      <w:pPr>
        <w:pStyle w:val="Normal"/>
        <w:widowControl/>
        <w:numPr>
          <w:ilvl w:val="0"/>
          <w:numId w:val="19"/>
        </w:numPr>
        <w:tabs>
          <w:tab w:val="clear" w:pos="708"/>
          <w:tab w:val="left" w:pos="426" w:leader="none"/>
        </w:tabs>
        <w:suppressAutoHyphens w:val="false"/>
        <w:spacing w:before="120" w:after="0"/>
        <w:ind w:left="357" w:right="0" w:hanging="357"/>
        <w:jc w:val="both"/>
        <w:rPr>
          <w:rFonts w:ascii="Times New Roman" w:hAnsi="Times New Roman" w:eastAsia="Times New Roman" w:cs="Calibri"/>
          <w:sz w:val="22"/>
          <w:szCs w:val="22"/>
          <w:lang w:eastAsia="pl-PL"/>
        </w:rPr>
      </w:pPr>
      <w:r>
        <w:rPr>
          <w:rFonts w:eastAsia="Times New Roman" w:cs="Calibri"/>
          <w:sz w:val="22"/>
          <w:szCs w:val="22"/>
          <w:lang w:eastAsia="pl-PL"/>
        </w:rPr>
        <w:t>Wydanie przedmiotu Umowy nastąpi na podstawie podpisanego przez obie strony protokołu, o którym mowa w § 8 ust. 6. Z chwilą wydania Przedmiotu umowy nastąpi skutek w postaci przeniesienia na Zamawiającego własności Przedmiotu umowy.</w:t>
      </w:r>
    </w:p>
    <w:p>
      <w:pPr>
        <w:pStyle w:val="Normal"/>
        <w:widowControl/>
        <w:numPr>
          <w:ilvl w:val="0"/>
          <w:numId w:val="19"/>
        </w:numPr>
        <w:tabs>
          <w:tab w:val="clear" w:pos="708"/>
          <w:tab w:val="left" w:pos="426" w:leader="none"/>
        </w:tabs>
        <w:suppressAutoHyphens w:val="false"/>
        <w:spacing w:before="120" w:after="0"/>
        <w:ind w:left="357" w:right="0" w:hanging="357"/>
        <w:jc w:val="both"/>
        <w:rPr>
          <w:rFonts w:ascii="Times New Roman" w:hAnsi="Times New Roman" w:eastAsia="Times New Roman" w:cs="Calibri"/>
          <w:sz w:val="22"/>
          <w:szCs w:val="22"/>
          <w:lang w:eastAsia="pl-PL"/>
        </w:rPr>
      </w:pPr>
      <w:r>
        <w:rPr>
          <w:rFonts w:eastAsia="Times New Roman" w:cs="Calibri"/>
          <w:sz w:val="22"/>
          <w:szCs w:val="22"/>
          <w:lang w:eastAsia="pl-PL"/>
        </w:rPr>
        <w:t>Obowiązki Zamawiającego:</w:t>
      </w:r>
    </w:p>
    <w:p>
      <w:pPr>
        <w:pStyle w:val="ListParagraph"/>
        <w:widowControl/>
        <w:numPr>
          <w:ilvl w:val="0"/>
          <w:numId w:val="28"/>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terminowe realizowanie przez Zamawiającego zadań, za które jest odpowiedzialny, </w:t>
      </w:r>
    </w:p>
    <w:p>
      <w:pPr>
        <w:pStyle w:val="ListParagraph"/>
        <w:widowControl/>
        <w:numPr>
          <w:ilvl w:val="0"/>
          <w:numId w:val="28"/>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niezwłoczne informowanie Wykonawcy o wszelkich okolicznościach, które w ocenie Zamawiającego mogą mieć wpływ na realizację Umowy,</w:t>
      </w:r>
    </w:p>
    <w:p>
      <w:pPr>
        <w:pStyle w:val="ListParagraph"/>
        <w:widowControl/>
        <w:numPr>
          <w:ilvl w:val="0"/>
          <w:numId w:val="28"/>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terminową zapłatę umówionego wynagrodzenia,</w:t>
      </w:r>
    </w:p>
    <w:p>
      <w:pPr>
        <w:pStyle w:val="ListParagraph"/>
        <w:widowControl/>
        <w:numPr>
          <w:ilvl w:val="0"/>
          <w:numId w:val="28"/>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odbioru zamówienia zgodnego z opisem przedmiotu zamówienia. </w:t>
      </w:r>
    </w:p>
    <w:p>
      <w:pPr>
        <w:pStyle w:val="Normal"/>
        <w:widowControl/>
        <w:numPr>
          <w:ilvl w:val="0"/>
          <w:numId w:val="19"/>
        </w:numPr>
        <w:tabs>
          <w:tab w:val="clear" w:pos="708"/>
          <w:tab w:val="left" w:pos="426" w:leader="none"/>
        </w:tabs>
        <w:suppressAutoHyphens w:val="false"/>
        <w:spacing w:before="120" w:after="0"/>
        <w:ind w:left="357" w:right="0" w:hanging="357"/>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Obowiązki Wykonawcy: </w:t>
      </w:r>
    </w:p>
    <w:p>
      <w:pPr>
        <w:pStyle w:val="ListParagraph"/>
        <w:widowControl/>
        <w:numPr>
          <w:ilvl w:val="0"/>
          <w:numId w:val="29"/>
        </w:numPr>
        <w:tabs>
          <w:tab w:val="clear" w:pos="708"/>
          <w:tab w:val="left" w:pos="426" w:leader="none"/>
        </w:tabs>
        <w:suppressAutoHyphens w:val="false"/>
        <w:spacing w:before="120" w:after="0"/>
        <w:contextualSpacing/>
        <w:jc w:val="both"/>
        <w:rPr>
          <w:rFonts w:ascii="Times New Roman" w:hAnsi="Times New Roman"/>
          <w:sz w:val="22"/>
          <w:szCs w:val="22"/>
        </w:rPr>
      </w:pPr>
      <w:r>
        <w:rPr>
          <w:rFonts w:eastAsia="Times New Roman" w:cs="Calibri"/>
          <w:sz w:val="22"/>
          <w:szCs w:val="22"/>
          <w:lang w:eastAsia="pl-PL"/>
        </w:rPr>
        <w:t xml:space="preserve">dostarczenie we wskazane przez Zamawiającego miejsce na terenie Domu Pomocy Społecznej w Obrytem na własny koszt i ryzyko Przedmiotu umowy, w terminie określonym w § 2 ust. 1, </w:t>
      </w:r>
    </w:p>
    <w:p>
      <w:pPr>
        <w:pStyle w:val="ListParagraph"/>
        <w:widowControl/>
        <w:numPr>
          <w:ilvl w:val="0"/>
          <w:numId w:val="29"/>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dostarczenie Zamawiającemu wraz z Przedmiotem umowy dokumentów w języku polskim, w szczególności: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instrukcji obsługi poszczególnych elementów oferowanej konfiguracji Przedmiotu umowy, katalogu części,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dokumentacji techniczno - rozruchowej agregatu,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atestów materiałowych, certyfikatów, deklaracji zgodności / deklaracji właściwości użytkowych (jeśli dotyczą),</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dokumentu dopuszczenia do obrotu na obszarze Unii Europejskiej,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harmonogramu obsługi konserwacyjnej i serwisowej oraz wykazu punktów serwisowych,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dokumentu potwierdzającego przeprowadzenie szkolenia, </w:t>
      </w:r>
    </w:p>
    <w:p>
      <w:pPr>
        <w:pStyle w:val="ListParagraph"/>
        <w:widowControl/>
        <w:numPr>
          <w:ilvl w:val="2"/>
          <w:numId w:val="6"/>
        </w:numPr>
        <w:tabs>
          <w:tab w:val="clear" w:pos="708"/>
          <w:tab w:val="left" w:pos="426" w:leader="none"/>
        </w:tabs>
        <w:suppressAutoHyphens w:val="false"/>
        <w:spacing w:before="120" w:after="0"/>
        <w:ind w:left="993" w:right="0" w:hanging="28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szczegółowego zestawienia warunków gwarancyjnych. </w:t>
      </w:r>
    </w:p>
    <w:p>
      <w:pPr>
        <w:pStyle w:val="ListParagraph"/>
        <w:widowControl/>
        <w:numPr>
          <w:ilvl w:val="0"/>
          <w:numId w:val="29"/>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wykonanie przedmiotu Umowy ze starannością przyjętą w obrocie profesjonalnym oraz aktualną wiedzą i kwalifikacjami,</w:t>
      </w:r>
    </w:p>
    <w:p>
      <w:pPr>
        <w:pStyle w:val="ListParagraph"/>
        <w:widowControl/>
        <w:numPr>
          <w:ilvl w:val="0"/>
          <w:numId w:val="29"/>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wyznaczenia personelu o liczebności i kompetencjach zapewniających terminową i zgodną z wymaganiami jakościowymi realizację dostawy w umownym terminie,</w:t>
      </w:r>
    </w:p>
    <w:p>
      <w:pPr>
        <w:pStyle w:val="ListParagraph"/>
        <w:widowControl/>
        <w:numPr>
          <w:ilvl w:val="0"/>
          <w:numId w:val="29"/>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niezwłoczne informowanie Zamawiającego o wszelkich okolicznościach, które w ocenie Wykonawcy mogą mieć wpływ na realizację Umowy.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2.</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Termin realizacji umowy</w:t>
      </w:r>
    </w:p>
    <w:p>
      <w:pPr>
        <w:pStyle w:val="ListParagraph"/>
        <w:numPr>
          <w:ilvl w:val="2"/>
          <w:numId w:val="41"/>
        </w:numPr>
        <w:tabs>
          <w:tab w:val="clear" w:pos="708"/>
        </w:tabs>
        <w:spacing w:before="60" w:after="0"/>
        <w:ind w:left="425" w:right="0" w:hanging="425"/>
        <w:contextualSpacing/>
        <w:rPr>
          <w:rFonts w:ascii="Times New Roman" w:hAnsi="Times New Roman" w:cs="Calibri"/>
          <w:bCs/>
          <w:sz w:val="22"/>
          <w:szCs w:val="22"/>
        </w:rPr>
      </w:pPr>
      <w:r>
        <w:rPr>
          <w:rFonts w:cs="Calibri"/>
          <w:bCs/>
          <w:sz w:val="22"/>
          <w:szCs w:val="22"/>
        </w:rPr>
        <w:t>Wykonawca zobowiązuje się rozpocząć prace nie później niż 3 dni od daty przekazania terenu, na którym będzie prowadzona inwestycja.</w:t>
      </w:r>
    </w:p>
    <w:p>
      <w:pPr>
        <w:pStyle w:val="ListParagraph"/>
        <w:numPr>
          <w:ilvl w:val="2"/>
          <w:numId w:val="41"/>
        </w:numPr>
        <w:tabs>
          <w:tab w:val="clear" w:pos="708"/>
        </w:tabs>
        <w:spacing w:before="60" w:after="0"/>
        <w:ind w:left="425" w:right="0" w:hanging="425"/>
        <w:contextualSpacing/>
        <w:rPr/>
      </w:pPr>
      <w:r>
        <w:rPr>
          <w:rFonts w:eastAsia="Times New Roman" w:cs="Calibri"/>
          <w:sz w:val="22"/>
          <w:szCs w:val="22"/>
          <w:lang w:eastAsia="pl-PL"/>
        </w:rPr>
        <w:t xml:space="preserve">Wykonawca zobowiązany jest do wykonania przedmiotu zamówienia w terminie do </w:t>
      </w:r>
      <w:r>
        <w:rPr>
          <w:rFonts w:eastAsia="Times New Roman" w:cs="Calibri"/>
          <w:sz w:val="22"/>
          <w:szCs w:val="22"/>
          <w:lang w:eastAsia="pl-PL"/>
        </w:rPr>
        <w:t>30</w:t>
      </w:r>
      <w:r>
        <w:rPr>
          <w:rFonts w:eastAsia="Times New Roman" w:cs="Calibri"/>
          <w:b/>
          <w:bCs/>
          <w:sz w:val="22"/>
          <w:szCs w:val="22"/>
          <w:lang w:eastAsia="pl-PL"/>
        </w:rPr>
        <w:t> dni</w:t>
      </w:r>
      <w:r>
        <w:rPr>
          <w:rFonts w:eastAsia="Times New Roman" w:cs="Calibri"/>
          <w:sz w:val="22"/>
          <w:szCs w:val="22"/>
          <w:lang w:eastAsia="pl-PL"/>
        </w:rPr>
        <w:t xml:space="preserve"> od daty podpisania niniejszej umowy, </w:t>
      </w:r>
      <w:r>
        <w:rPr>
          <w:rFonts w:cs="Calibri"/>
          <w:sz w:val="22"/>
          <w:szCs w:val="22"/>
        </w:rPr>
        <w:t xml:space="preserve">jednak nie później niż do dnia </w:t>
      </w:r>
      <w:r>
        <w:rPr>
          <w:rFonts w:cs="Calibri"/>
          <w:b/>
          <w:bCs/>
          <w:sz w:val="22"/>
          <w:szCs w:val="22"/>
        </w:rPr>
        <w:t>1</w:t>
      </w:r>
      <w:r>
        <w:rPr>
          <w:rFonts w:cs="Calibri"/>
          <w:b/>
          <w:bCs/>
          <w:sz w:val="22"/>
          <w:szCs w:val="22"/>
        </w:rPr>
        <w:t>7</w:t>
      </w:r>
      <w:r>
        <w:rPr>
          <w:rFonts w:cs="Calibri"/>
          <w:b/>
          <w:bCs/>
          <w:sz w:val="22"/>
          <w:szCs w:val="22"/>
        </w:rPr>
        <w:t>.12.2026 r</w:t>
      </w:r>
      <w:r>
        <w:rPr>
          <w:rFonts w:cs="Calibri"/>
          <w:sz w:val="22"/>
          <w:szCs w:val="22"/>
        </w:rPr>
        <w:t>.</w:t>
      </w:r>
      <w:r>
        <w:rPr>
          <w:rFonts w:eastAsia="Times New Roman" w:cs="Calibri"/>
          <w:sz w:val="22"/>
          <w:szCs w:val="22"/>
          <w:lang w:eastAsia="pl-PL"/>
        </w:rPr>
        <w:t xml:space="preserve"> </w:t>
      </w:r>
    </w:p>
    <w:p>
      <w:pPr>
        <w:pStyle w:val="ListParagraph"/>
        <w:numPr>
          <w:ilvl w:val="2"/>
          <w:numId w:val="41"/>
        </w:numPr>
        <w:tabs>
          <w:tab w:val="clear" w:pos="708"/>
        </w:tabs>
        <w:spacing w:before="6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 dzień wykonania wszystkich czynności przewidzianych niniejszą umową uznaje się datę podpisania protokołu, o którym mowa w § 8 ust. 6.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3.</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Wynagrodzenie Wykonawcy i sposób rozliczenia</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Za wykonanie przedmiotu zamówienia objętego niniejszą umową ustala się wynagrodzenie ryczałtowe brutto w wysokości …………………………zł (słownie: ……………….…………………), w tym podatek VAT ….. % w kwocie ………………... Zamówienie podlega publikacji w CRU.</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Cena przedmiotu umowy określona w ust. 1 jest ceną ryczałtową i nie ulegnie zmianie przez cały okres realizacji Przedmiotu umowy.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Wynagrodzenie Wykonawcy, o którym mowa w ust. 1 obejmuje wszelkie koszty związane z należytą realizacją Przedmiotu umowy, w tym w szczególności cenę dostawy, ubezpieczenia na czas transportu, rękojmi, gwarancji i serwisu gwarancyjnego na zasadach określonych w § 5 niniejszej umowy, przeglądów technicznych Przedmiotu umowy w okresie gwarancji. Niedoszacowanie, pominięcie lub brak rozpoznania zakresu Przedmiotu umowy nie może być podstawą do żądania zmiany wynagrodzenia ryczałtowego określonego w ust. 1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sz w:val="22"/>
          <w:szCs w:val="22"/>
        </w:rPr>
      </w:pPr>
      <w:r>
        <w:rPr>
          <w:rFonts w:eastAsia="Times New Roman" w:cs="Calibri"/>
          <w:sz w:val="22"/>
          <w:szCs w:val="22"/>
          <w:lang w:eastAsia="pl-PL"/>
        </w:rPr>
        <w:t xml:space="preserve">Zapłata wynagrodzenia nastąpi w terminie do 30 dni od daty dostarczenia Zamawiającemu przez Wykonawcę prawidłowo wystawionej faktury/rachunku oraz po odbiorze Przedmiotu umowy, potwierdzonym protokołem, o którym mowa w § 8 ust. 6, </w:t>
      </w:r>
      <w:r>
        <w:rPr>
          <w:rFonts w:cs="Calibri"/>
          <w:sz w:val="22"/>
          <w:szCs w:val="22"/>
        </w:rPr>
        <w:t>zgodnie z następującymi danymi:</w:t>
      </w:r>
    </w:p>
    <w:p>
      <w:pPr>
        <w:pStyle w:val="Normal"/>
        <w:widowControl/>
        <w:tabs>
          <w:tab w:val="clear" w:pos="708"/>
          <w:tab w:val="left" w:pos="426" w:leader="none"/>
        </w:tabs>
        <w:suppressAutoHyphens w:val="false"/>
        <w:spacing w:before="60" w:after="0"/>
        <w:ind w:left="425" w:right="0" w:hanging="0"/>
        <w:jc w:val="both"/>
        <w:rPr>
          <w:rFonts w:ascii="Times New Roman" w:hAnsi="Times New Roman"/>
          <w:sz w:val="22"/>
          <w:szCs w:val="22"/>
        </w:rPr>
      </w:pPr>
      <w:r>
        <w:rPr>
          <w:rFonts w:cs="Calibri"/>
          <w:sz w:val="22"/>
          <w:szCs w:val="22"/>
          <w:u w:val="single"/>
        </w:rPr>
        <w:t>Nabywca:</w:t>
      </w:r>
      <w:r>
        <w:rPr>
          <w:rFonts w:cs="Calibri"/>
          <w:sz w:val="22"/>
          <w:szCs w:val="22"/>
        </w:rPr>
        <w:t xml:space="preserve"> Powiat Pułtuski, ul. Marii Skłodowskiej-Curie 11, 06-100 Pułtusk, NIP 568 16 18 062,</w:t>
      </w:r>
    </w:p>
    <w:p>
      <w:pPr>
        <w:pStyle w:val="Normal"/>
        <w:widowControl/>
        <w:tabs>
          <w:tab w:val="clear" w:pos="708"/>
          <w:tab w:val="left" w:pos="426" w:leader="none"/>
        </w:tabs>
        <w:suppressAutoHyphens w:val="false"/>
        <w:spacing w:before="60" w:after="0"/>
        <w:ind w:left="425" w:right="0" w:hanging="0"/>
        <w:jc w:val="both"/>
        <w:rPr>
          <w:rFonts w:ascii="Times New Roman" w:hAnsi="Times New Roman"/>
          <w:sz w:val="22"/>
          <w:szCs w:val="22"/>
        </w:rPr>
      </w:pPr>
      <w:r>
        <w:rPr>
          <w:rFonts w:cs="Calibri"/>
          <w:sz w:val="22"/>
          <w:szCs w:val="22"/>
          <w:u w:val="single"/>
        </w:rPr>
        <w:t>Odbiorca:</w:t>
      </w:r>
      <w:r>
        <w:rPr>
          <w:rFonts w:cs="Calibri"/>
          <w:sz w:val="22"/>
          <w:szCs w:val="22"/>
        </w:rPr>
        <w:t xml:space="preserve"> Dom Pomocy Społecznej w Obrytem, Obryte 188, 07-215 Obryte, NIP: 762-11-32-724.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wstrzyma, do czasu ustania przyczyny, płatności faktury, w przypadku niewywiązywania się Wykonawcy z któregokolwiek z zobowiązań wynikających z niniejszej umowy oraz obowiązujących przepisów prawa. W takim przypadku, Wykonawcy nie przysługują odsetki za opóźnienie od wstrzymanej płatności.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 dzień zapłaty uważa się dzień obciążenia rachunku bankowego Zamawiającego.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W przypadku, gdy Wykonawca będzie wystawiał fakturę w Krajowym Systemie e-Faktur (KSeF) fakturę należy wystawić na rzecz:</w:t>
      </w:r>
    </w:p>
    <w:p>
      <w:pPr>
        <w:pStyle w:val="ListParagraph"/>
        <w:spacing w:before="60" w:after="0"/>
        <w:ind w:left="425" w:right="0" w:hanging="0"/>
        <w:contextualSpacing/>
        <w:jc w:val="both"/>
        <w:rPr>
          <w:rFonts w:ascii="Times New Roman" w:hAnsi="Times New Roman" w:cs="Calibri"/>
          <w:sz w:val="22"/>
          <w:szCs w:val="22"/>
        </w:rPr>
      </w:pPr>
      <w:r>
        <w:rPr>
          <w:rFonts w:cs="Calibri"/>
          <w:sz w:val="22"/>
          <w:szCs w:val="22"/>
        </w:rPr>
        <w:t xml:space="preserve">Nabywca (podmiot2): </w:t>
        <w:tab/>
        <w:tab/>
        <w:tab/>
        <w:t>Powiat Pułtuski</w:t>
      </w:r>
    </w:p>
    <w:p>
      <w:pPr>
        <w:pStyle w:val="ListParagraph"/>
        <w:ind w:left="425" w:right="0" w:hanging="0"/>
        <w:jc w:val="both"/>
        <w:rPr>
          <w:rFonts w:ascii="Times New Roman" w:hAnsi="Times New Roman" w:cs="Calibri"/>
          <w:sz w:val="22"/>
          <w:szCs w:val="22"/>
        </w:rPr>
      </w:pPr>
      <w:r>
        <w:rPr>
          <w:rFonts w:cs="Calibri"/>
          <w:sz w:val="22"/>
          <w:szCs w:val="22"/>
        </w:rPr>
        <w:tab/>
        <w:tab/>
        <w:tab/>
        <w:tab/>
        <w:tab/>
        <w:tab/>
        <w:t>ul. Marii Skłodowskiej-Curie 11</w:t>
      </w:r>
    </w:p>
    <w:p>
      <w:pPr>
        <w:pStyle w:val="ListParagraph"/>
        <w:ind w:left="425" w:right="0" w:hanging="0"/>
        <w:jc w:val="both"/>
        <w:rPr>
          <w:rFonts w:ascii="Times New Roman" w:hAnsi="Times New Roman" w:cs="Calibri"/>
          <w:sz w:val="22"/>
          <w:szCs w:val="22"/>
        </w:rPr>
      </w:pPr>
      <w:r>
        <w:rPr>
          <w:rFonts w:cs="Calibri"/>
          <w:sz w:val="22"/>
          <w:szCs w:val="22"/>
        </w:rPr>
        <w:tab/>
        <w:tab/>
        <w:tab/>
        <w:tab/>
        <w:tab/>
        <w:tab/>
        <w:t>06-100 Pułtusk</w:t>
      </w:r>
    </w:p>
    <w:p>
      <w:pPr>
        <w:pStyle w:val="ListParagraph"/>
        <w:ind w:left="3965" w:right="0" w:firstLine="283"/>
        <w:jc w:val="both"/>
        <w:rPr>
          <w:rFonts w:ascii="Times New Roman" w:hAnsi="Times New Roman" w:cs="Calibri"/>
          <w:sz w:val="22"/>
          <w:szCs w:val="22"/>
        </w:rPr>
      </w:pPr>
      <w:r>
        <w:rPr>
          <w:rFonts w:cs="Calibri"/>
          <w:sz w:val="22"/>
          <w:szCs w:val="22"/>
        </w:rPr>
        <w:t>NIP: 568 16 18 062</w:t>
      </w:r>
    </w:p>
    <w:p>
      <w:pPr>
        <w:pStyle w:val="ListParagraph"/>
        <w:spacing w:before="60" w:after="0"/>
        <w:ind w:left="425" w:right="0" w:hanging="0"/>
        <w:contextualSpacing/>
        <w:jc w:val="both"/>
        <w:rPr>
          <w:rFonts w:ascii="Times New Roman" w:hAnsi="Times New Roman"/>
          <w:sz w:val="22"/>
          <w:szCs w:val="22"/>
        </w:rPr>
      </w:pPr>
      <w:r>
        <w:rPr>
          <w:rFonts w:cs="Calibri"/>
          <w:sz w:val="22"/>
          <w:szCs w:val="22"/>
        </w:rPr>
        <w:t xml:space="preserve">Odbiorca (podmiot inny/podmiot3): </w:t>
        <w:tab/>
        <w:t>Dom Pomocy Społecznej w Obrytem</w:t>
      </w:r>
    </w:p>
    <w:p>
      <w:pPr>
        <w:pStyle w:val="ListParagraph"/>
        <w:ind w:left="425" w:right="0" w:hanging="0"/>
        <w:jc w:val="both"/>
        <w:rPr>
          <w:rFonts w:ascii="Times New Roman" w:hAnsi="Times New Roman"/>
          <w:sz w:val="22"/>
          <w:szCs w:val="22"/>
        </w:rPr>
      </w:pPr>
      <w:r>
        <w:rPr>
          <w:rFonts w:cs="Calibri"/>
          <w:sz w:val="22"/>
          <w:szCs w:val="22"/>
        </w:rPr>
        <w:tab/>
        <w:tab/>
        <w:tab/>
        <w:tab/>
        <w:tab/>
        <w:tab/>
        <w:t>Obryte 188</w:t>
      </w:r>
    </w:p>
    <w:p>
      <w:pPr>
        <w:pStyle w:val="ListParagraph"/>
        <w:ind w:left="425" w:right="0" w:hanging="0"/>
        <w:jc w:val="both"/>
        <w:rPr>
          <w:rFonts w:ascii="Times New Roman" w:hAnsi="Times New Roman"/>
          <w:sz w:val="22"/>
          <w:szCs w:val="22"/>
        </w:rPr>
      </w:pPr>
      <w:r>
        <w:rPr>
          <w:rFonts w:cs="Calibri"/>
          <w:sz w:val="22"/>
          <w:szCs w:val="22"/>
        </w:rPr>
        <w:tab/>
        <w:tab/>
        <w:tab/>
        <w:tab/>
        <w:tab/>
        <w:tab/>
        <w:t>07-215 Obryte</w:t>
      </w:r>
    </w:p>
    <w:p>
      <w:pPr>
        <w:pStyle w:val="ListParagraph"/>
        <w:ind w:left="425" w:right="0" w:hanging="0"/>
        <w:jc w:val="both"/>
        <w:rPr>
          <w:rFonts w:ascii="Times New Roman" w:hAnsi="Times New Roman"/>
          <w:sz w:val="22"/>
          <w:szCs w:val="22"/>
        </w:rPr>
      </w:pPr>
      <w:r>
        <w:rPr>
          <w:rFonts w:cs="Calibri"/>
          <w:sz w:val="22"/>
          <w:szCs w:val="22"/>
        </w:rPr>
        <w:tab/>
        <w:tab/>
        <w:tab/>
        <w:tab/>
        <w:tab/>
        <w:tab/>
        <w:t>NIP: 762 11 32 724</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sz w:val="22"/>
          <w:szCs w:val="22"/>
        </w:rPr>
      </w:pPr>
      <w:r>
        <w:rPr>
          <w:rFonts w:cs="Calibri"/>
          <w:sz w:val="22"/>
          <w:szCs w:val="22"/>
        </w:rPr>
        <w:t>W przypadku, o którym mowa w ust. 7 faktury będą wystawiane i odbierane za pośrednictwem Krajowego Systemu e-Faktur (KSeF), zgodnie z obowiązującymi przepisami prawa. Co do terminu płatności ust. 4 stosuje się odpowiednio. Za dzień doręczenia faktury uznaje się dzień przydzielenia jej numeru w KSeF, z zastrzeżeniem ust. 9.</w:t>
      </w:r>
    </w:p>
    <w:p>
      <w:pPr>
        <w:pStyle w:val="Normal"/>
        <w:widowControl/>
        <w:numPr>
          <w:ilvl w:val="0"/>
          <w:numId w:val="24"/>
        </w:numPr>
        <w:tabs>
          <w:tab w:val="clear" w:pos="708"/>
          <w:tab w:val="left" w:pos="426" w:leader="none"/>
        </w:tabs>
        <w:suppressAutoHyphens w:val="false"/>
        <w:spacing w:before="120" w:after="0"/>
        <w:jc w:val="both"/>
        <w:rPr/>
      </w:pPr>
      <w:r>
        <w:rPr>
          <w:rFonts w:cs="Calibri"/>
          <w:sz w:val="22"/>
          <w:szCs w:val="22"/>
        </w:rPr>
        <w:t xml:space="preserve">W przypadku awarii KSeF, faktury będą tymczasowo przesyłane w formie elektronicznej w formacie pliku PDF za pośrednictwem poczty elektronicznej na adres e-mail: </w:t>
      </w:r>
      <w:hyperlink r:id="rId26">
        <w:r>
          <w:rPr>
            <w:rStyle w:val="Czeinternetowe"/>
            <w:rFonts w:cs="Calibri"/>
            <w:sz w:val="22"/>
            <w:szCs w:val="22"/>
          </w:rPr>
          <w:t>sekretariat</w:t>
        </w:r>
      </w:hyperlink>
      <w:hyperlink r:id="rId27">
        <w:r>
          <w:rPr>
            <w:rStyle w:val="Czeinternetowe"/>
            <w:rFonts w:cs="Calibri"/>
            <w:sz w:val="22"/>
            <w:szCs w:val="22"/>
          </w:rPr>
          <w:t>@</w:t>
        </w:r>
      </w:hyperlink>
      <w:hyperlink r:id="rId28">
        <w:r>
          <w:rPr>
            <w:rStyle w:val="Czeinternetowe"/>
            <w:rFonts w:cs="Calibri"/>
            <w:sz w:val="22"/>
            <w:szCs w:val="22"/>
          </w:rPr>
          <w:t>dpsobryte</w:t>
        </w:r>
      </w:hyperlink>
      <w:hyperlink r:id="rId29">
        <w:r>
          <w:rPr>
            <w:rStyle w:val="Czeinternetowe"/>
            <w:rFonts w:cs="Calibri"/>
            <w:sz w:val="22"/>
            <w:szCs w:val="22"/>
          </w:rPr>
          <w:t>.p</w:t>
        </w:r>
      </w:hyperlink>
      <w:hyperlink r:id="rId30">
        <w:r>
          <w:rPr>
            <w:rStyle w:val="Czeinternetowe"/>
            <w:rFonts w:cs="Calibri"/>
            <w:sz w:val="22"/>
            <w:szCs w:val="22"/>
          </w:rPr>
          <w:t>l</w:t>
        </w:r>
      </w:hyperlink>
      <w:r>
        <w:rPr>
          <w:rFonts w:cs="Calibri"/>
          <w:sz w:val="22"/>
          <w:szCs w:val="22"/>
        </w:rPr>
        <w:t xml:space="preserve"> . </w:t>
      </w:r>
    </w:p>
    <w:p>
      <w:pPr>
        <w:pStyle w:val="Normal"/>
        <w:widowControl/>
        <w:numPr>
          <w:ilvl w:val="0"/>
          <w:numId w:val="24"/>
        </w:numPr>
        <w:tabs>
          <w:tab w:val="clear" w:pos="708"/>
          <w:tab w:val="left" w:pos="426" w:leader="none"/>
        </w:tabs>
        <w:suppressAutoHyphens w:val="false"/>
        <w:spacing w:before="120" w:after="0"/>
        <w:jc w:val="both"/>
        <w:rPr/>
      </w:pPr>
      <w:r>
        <w:rPr>
          <w:rFonts w:cs="Calibri"/>
          <w:sz w:val="22"/>
          <w:szCs w:val="22"/>
        </w:rPr>
        <w:t xml:space="preserve">Za dzień doręczenia faktury wystawionej w czasie trwania awarii KSeF uznaje się dzień wpływu wiadomości zawierającej fakturę w formacie pliku PDF na adres e-mail: </w:t>
      </w:r>
      <w:hyperlink r:id="rId31">
        <w:r>
          <w:rPr>
            <w:rStyle w:val="Czeinternetowe"/>
            <w:rFonts w:cs="Calibri"/>
            <w:sz w:val="22"/>
            <w:szCs w:val="22"/>
          </w:rPr>
          <w:t>sekretariat</w:t>
        </w:r>
      </w:hyperlink>
      <w:hyperlink r:id="rId32">
        <w:r>
          <w:rPr>
            <w:rStyle w:val="Czeinternetowe"/>
            <w:rFonts w:cs="Calibri"/>
            <w:sz w:val="22"/>
            <w:szCs w:val="22"/>
          </w:rPr>
          <w:t>@</w:t>
        </w:r>
      </w:hyperlink>
      <w:hyperlink r:id="rId33">
        <w:r>
          <w:rPr>
            <w:rStyle w:val="Czeinternetowe"/>
            <w:rFonts w:cs="Calibri"/>
            <w:sz w:val="22"/>
            <w:szCs w:val="22"/>
          </w:rPr>
          <w:t>dpsobryte</w:t>
        </w:r>
      </w:hyperlink>
      <w:hyperlink r:id="rId34">
        <w:r>
          <w:rPr>
            <w:rStyle w:val="Czeinternetowe"/>
            <w:rFonts w:cs="Calibri"/>
            <w:sz w:val="22"/>
            <w:szCs w:val="22"/>
          </w:rPr>
          <w:t>.p</w:t>
        </w:r>
      </w:hyperlink>
      <w:hyperlink r:id="rId35">
        <w:r>
          <w:rPr>
            <w:rStyle w:val="Czeinternetowe"/>
            <w:rFonts w:cs="Calibri"/>
            <w:sz w:val="22"/>
            <w:szCs w:val="22"/>
          </w:rPr>
          <w:t>l</w:t>
        </w:r>
      </w:hyperlink>
      <w:r>
        <w:rPr>
          <w:rFonts w:cs="Calibri"/>
          <w:sz w:val="22"/>
          <w:szCs w:val="22"/>
        </w:rPr>
        <w:t>, albo dzień przydzielenia jej numeru w KSeF, w zależności, które z tych zdarzeń nastąpiło wcześniej. Doręczenie w KSeF faktury wystawionej w czasie trwania awarii nie skutkuje rozpoczęciem biegu terminu płatności.</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W przypadku niedostępności KSeF po stronie Wykonawcy za dzień doręczenia faktury uznaje się dzień przydzielenia jej numeru w KSeF. Przez tryb niedostępności KSeF należy rozumieć niedostępność, o której stanowi przepis art. 106ne ust. 4 ustawy z dnia 11 marca 2004 r. o podatku od towarów i usług, a także tryb offline24, o którym stanowią przepisy art. 106nda ust. 1 i 2 ustawy z dnia 11 marca 2004 r. o podatku od towarów i usług.</w:t>
      </w:r>
    </w:p>
    <w:p>
      <w:pPr>
        <w:pStyle w:val="Normal"/>
        <w:widowControl/>
        <w:numPr>
          <w:ilvl w:val="0"/>
          <w:numId w:val="24"/>
        </w:numPr>
        <w:tabs>
          <w:tab w:val="clear" w:pos="708"/>
          <w:tab w:val="left" w:pos="426" w:leader="none"/>
        </w:tabs>
        <w:suppressAutoHyphens w:val="false"/>
        <w:spacing w:before="120" w:after="0"/>
        <w:jc w:val="both"/>
        <w:rPr/>
      </w:pPr>
      <w:r>
        <w:rPr>
          <w:rFonts w:cs="Calibri"/>
          <w:sz w:val="22"/>
          <w:szCs w:val="22"/>
        </w:rPr>
        <w:t xml:space="preserve">W przypadku faktury wystawionej w czasie trwania awarii KSeF zapłata wynagrodzenia nastąpi na podstawie prawidłowo wystawionej faktury w terminie 30 dni liczonym od pierwszego dnia roboczego po dniu potwierdzenia otrzymania wiadomości zawierającej fakturę w formacie pliku PDF na adres e-mail: </w:t>
      </w:r>
      <w:hyperlink r:id="rId36">
        <w:r>
          <w:rPr>
            <w:rStyle w:val="Czeinternetowe"/>
            <w:rFonts w:cs="Calibri"/>
            <w:sz w:val="22"/>
            <w:szCs w:val="22"/>
          </w:rPr>
          <w:t>sekretariat@dpsobryte.pl</w:t>
        </w:r>
      </w:hyperlink>
      <w:r>
        <w:rPr>
          <w:rFonts w:cs="Calibri"/>
          <w:sz w:val="22"/>
          <w:szCs w:val="22"/>
        </w:rPr>
        <w:t>, na rachunek bankowy Wykonawcy wskazany w fakturze.</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eastAsia="Calibri" w:cs="Calibri"/>
          <w:sz w:val="22"/>
          <w:szCs w:val="22"/>
          <w:highlight w:val="white"/>
        </w:rPr>
      </w:pPr>
      <w:r>
        <w:rPr>
          <w:rFonts w:eastAsia="Calibri" w:cs="Calibri"/>
          <w:sz w:val="22"/>
          <w:szCs w:val="22"/>
          <w:highlight w:val="white"/>
        </w:rPr>
        <w:t>Zamawiający zastrzega że, płatność nastąpi na podstawie prawidłowo wystawionej faktury. Za prawidłowo wystawioną uznaje się fakturę:</w:t>
      </w:r>
    </w:p>
    <w:p>
      <w:pPr>
        <w:pStyle w:val="Normal"/>
        <w:numPr>
          <w:ilvl w:val="0"/>
          <w:numId w:val="30"/>
        </w:numPr>
        <w:jc w:val="both"/>
        <w:rPr>
          <w:rFonts w:ascii="Times New Roman" w:hAnsi="Times New Roman" w:eastAsia="Calibri" w:cs="Calibri"/>
          <w:sz w:val="22"/>
          <w:szCs w:val="22"/>
          <w:highlight w:val="white"/>
        </w:rPr>
      </w:pPr>
      <w:r>
        <w:rPr>
          <w:rFonts w:eastAsia="Calibri" w:cs="Calibri"/>
          <w:sz w:val="22"/>
          <w:szCs w:val="22"/>
          <w:highlight w:val="white"/>
        </w:rPr>
        <w:t>wystawioną w KSeF (z wyjątkiem przypadków, kiedy faktura wystawiana jest w czasie awarii KSeF), gdzie w zakresie prawidłowego określenia nabywcy w polu „Podmiot2” w pozycji „JST” wpisano „1”, oraz w polu „Podmiot inny/Podmiot3” wpisano NIP Odbiorcy oraz w polu „Rola” wpisano „8” – JST odbiorca, </w:t>
      </w:r>
    </w:p>
    <w:p>
      <w:pPr>
        <w:pStyle w:val="Normal"/>
        <w:numPr>
          <w:ilvl w:val="0"/>
          <w:numId w:val="30"/>
        </w:numPr>
        <w:jc w:val="both"/>
        <w:rPr>
          <w:rFonts w:ascii="Times New Roman" w:hAnsi="Times New Roman" w:eastAsia="Calibri" w:cs="Calibri"/>
          <w:sz w:val="22"/>
          <w:szCs w:val="22"/>
          <w:highlight w:val="white"/>
        </w:rPr>
      </w:pPr>
      <w:r>
        <w:rPr>
          <w:rFonts w:eastAsia="Calibri" w:cs="Calibri"/>
          <w:sz w:val="22"/>
          <w:szCs w:val="22"/>
          <w:highlight w:val="white"/>
        </w:rPr>
        <w:t>zawierającą w swojej treści nr umowy/ zamówienia, której dotyczy, </w:t>
      </w:r>
    </w:p>
    <w:p>
      <w:pPr>
        <w:pStyle w:val="Normal"/>
        <w:numPr>
          <w:ilvl w:val="0"/>
          <w:numId w:val="30"/>
        </w:numPr>
        <w:jc w:val="both"/>
        <w:rPr>
          <w:rFonts w:ascii="Times New Roman" w:hAnsi="Times New Roman" w:eastAsia="Calibri" w:cs="Calibri"/>
          <w:sz w:val="22"/>
          <w:szCs w:val="22"/>
          <w:highlight w:val="white"/>
        </w:rPr>
      </w:pPr>
      <w:r>
        <w:rPr>
          <w:rFonts w:eastAsia="Calibri" w:cs="Calibri"/>
          <w:sz w:val="22"/>
          <w:szCs w:val="22"/>
          <w:highlight w:val="white"/>
        </w:rPr>
        <w:t>zgodnie z przepisami prawa oraz prawidłową pod względem formalnym i rachunkowym.</w:t>
      </w:r>
    </w:p>
    <w:p>
      <w:pPr>
        <w:pStyle w:val="Normal"/>
        <w:ind w:left="360" w:right="0" w:hanging="0"/>
        <w:jc w:val="both"/>
        <w:rPr>
          <w:rFonts w:ascii="Times New Roman" w:hAnsi="Times New Roman" w:eastAsia="Calibri" w:cs="Calibri"/>
          <w:sz w:val="22"/>
          <w:szCs w:val="22"/>
          <w:highlight w:val="white"/>
        </w:rPr>
      </w:pPr>
      <w:r>
        <w:rPr>
          <w:rFonts w:eastAsia="Calibri" w:cs="Calibri"/>
          <w:sz w:val="22"/>
          <w:szCs w:val="22"/>
          <w:highlight w:val="white"/>
        </w:rPr>
        <w:t>W przypadku wystawienia faktury w sposób niezgodny z powyższym, Zamawiający zastrzega sobie prawo wstrzymania zapłaty do czasu otrzymania prawidłowo wystawionej faktury. Po otrzymaniu prawidłowo wystawionej faktury termin płatności będzie liczony zgodnie z ust. 12.</w:t>
      </w:r>
    </w:p>
    <w:p>
      <w:pPr>
        <w:pStyle w:val="Normal"/>
        <w:widowControl/>
        <w:numPr>
          <w:ilvl w:val="0"/>
          <w:numId w:val="24"/>
        </w:numPr>
        <w:tabs>
          <w:tab w:val="clear" w:pos="708"/>
          <w:tab w:val="left" w:pos="426" w:leader="none"/>
        </w:tabs>
        <w:suppressAutoHyphens w:val="false"/>
        <w:spacing w:before="120" w:after="0"/>
        <w:jc w:val="both"/>
        <w:rPr/>
      </w:pPr>
      <w:r>
        <w:rPr>
          <w:rFonts w:cs="Calibri"/>
          <w:sz w:val="22"/>
          <w:szCs w:val="22"/>
        </w:rPr>
        <w:t>Załączniki, które nie mogą zgodnie z obowiązującymi przepisami stanowić załącznika do faktury wystawionej w KSeF, należy przesłać</w:t>
      </w:r>
      <w:r>
        <w:rPr>
          <w:rFonts w:cs="Calibri"/>
          <w:bCs/>
          <w:iCs/>
          <w:sz w:val="22"/>
          <w:szCs w:val="22"/>
        </w:rPr>
        <w:t xml:space="preserve"> w formie elektronicznej w formacie pliku PDF za pośrednictwem poczty elektronicznej na adres e-mail:</w:t>
      </w:r>
      <w:r>
        <w:rPr>
          <w:rFonts w:cs="Calibri"/>
          <w:sz w:val="22"/>
          <w:szCs w:val="22"/>
        </w:rPr>
        <w:t xml:space="preserve"> </w:t>
      </w:r>
      <w:hyperlink r:id="rId37">
        <w:r>
          <w:rPr>
            <w:rStyle w:val="Czeinternetowe"/>
            <w:rFonts w:cs="Calibri"/>
            <w:bCs/>
            <w:iCs/>
            <w:sz w:val="22"/>
            <w:szCs w:val="22"/>
          </w:rPr>
          <w:t>sekretariat</w:t>
        </w:r>
      </w:hyperlink>
      <w:hyperlink r:id="rId38">
        <w:r>
          <w:rPr>
            <w:rStyle w:val="Czeinternetowe"/>
            <w:rFonts w:cs="Calibri"/>
            <w:bCs/>
            <w:iCs/>
            <w:sz w:val="22"/>
            <w:szCs w:val="22"/>
          </w:rPr>
          <w:t>@</w:t>
        </w:r>
      </w:hyperlink>
      <w:hyperlink r:id="rId39">
        <w:r>
          <w:rPr>
            <w:rStyle w:val="Czeinternetowe"/>
            <w:rFonts w:cs="Calibri"/>
            <w:bCs/>
            <w:iCs/>
            <w:sz w:val="22"/>
            <w:szCs w:val="22"/>
          </w:rPr>
          <w:t>dpsobryte</w:t>
        </w:r>
      </w:hyperlink>
      <w:hyperlink r:id="rId40">
        <w:r>
          <w:rPr>
            <w:rStyle w:val="Czeinternetowe"/>
            <w:rFonts w:cs="Calibri"/>
            <w:bCs/>
            <w:iCs/>
            <w:sz w:val="22"/>
            <w:szCs w:val="22"/>
          </w:rPr>
          <w:t>.p</w:t>
        </w:r>
      </w:hyperlink>
      <w:hyperlink r:id="rId41">
        <w:r>
          <w:rPr>
            <w:rStyle w:val="Czeinternetowe"/>
            <w:rFonts w:cs="Calibri"/>
            <w:bCs/>
            <w:iCs/>
            <w:sz w:val="22"/>
            <w:szCs w:val="22"/>
          </w:rPr>
          <w:t>l</w:t>
        </w:r>
      </w:hyperlink>
      <w:r>
        <w:rPr>
          <w:rFonts w:cs="Calibri"/>
          <w:bCs/>
          <w:iCs/>
          <w:sz w:val="22"/>
          <w:szCs w:val="22"/>
        </w:rPr>
        <w:t xml:space="preserve">, w terminie do 3 dni roboczych od daty otrzymania faktury, o którym mowa w ust. 8 lub ust. 10 lub ust. 11. </w:t>
      </w:r>
    </w:p>
    <w:p>
      <w:pPr>
        <w:pStyle w:val="Normal"/>
        <w:widowControl/>
        <w:numPr>
          <w:ilvl w:val="0"/>
          <w:numId w:val="24"/>
        </w:numPr>
        <w:tabs>
          <w:tab w:val="clear" w:pos="708"/>
          <w:tab w:val="left" w:pos="426" w:leader="none"/>
        </w:tabs>
        <w:suppressAutoHyphens w:val="false"/>
        <w:spacing w:before="120" w:after="0"/>
        <w:jc w:val="both"/>
        <w:rPr/>
      </w:pPr>
      <w:r>
        <w:rPr>
          <w:rFonts w:cs="Calibri"/>
          <w:bCs/>
          <w:iCs/>
          <w:sz w:val="22"/>
          <w:szCs w:val="22"/>
        </w:rPr>
        <w:t xml:space="preserve">Wykonawca może również wystawić fakturę w formie elektronicznej i przedłożyć ją Zamawiającemu przez Platformę Elektronicznego Fakturowania (PEF) znajdującą się na stronie </w:t>
      </w:r>
      <w:hyperlink r:id="rId42">
        <w:r>
          <w:rPr>
            <w:rStyle w:val="Czeinternetowe"/>
            <w:rFonts w:cs="Calibri"/>
            <w:iCs/>
            <w:sz w:val="22"/>
            <w:szCs w:val="22"/>
          </w:rPr>
          <w:t>https://efaktura.gov.pl/</w:t>
        </w:r>
      </w:hyperlink>
      <w:r>
        <w:rPr>
          <w:rFonts w:cs="Calibri"/>
          <w:bCs/>
          <w:iCs/>
          <w:sz w:val="22"/>
          <w:szCs w:val="22"/>
        </w:rPr>
        <w:t>, poprzez Konto Podmiotu (Wykonawcy). Taka faktura elektroniczna uważana jest za fakturę ustrukturyzowaną po przydzieleniu jej numeru identyfikującego w KSeF. Z momentem przydzielenia fakturze elektronicznej numeru identyfikującego w KSeF faktura uważana jest za odebraną, wcześniejsze pobranie faktury elektronicznej z PEF nie skutkuje rozpoczęciem biegu terminu płatności należności w tytułu świadczenia nią dokumentowanego.” Pozostałe postanowienia umowne dot. faktur ustrukturyzowanych, w tym dotyczące prawidłowo wystawionej faktury, awarii i niedostępności KSeF, rozpoczęcia biegu terminu płatności stosuje się do faktur elektronicznych, o których mowa w ustawie o elektronicznym fakturowaniu, którym przydziela się numer KSeF.”.</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W przypadku otrzymania błędnie wystawionej faktury VAT Zamawiający poinformuje o tym Wykonawcę, a Wykonawca zobowiązany będzie do skorygowania faktury VAT, zgodnie z obowiązującymi przepisami. Do czasu doręczenia Zamawiającemu prawidłowo skorygowanej faktury VAT termin płatność faktury, o którym mowa w ust. 4 nie biegnie.</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 xml:space="preserve">Wykonawca gwarantuje stałą i niezmienną cenę dostawy przez cały okres trwania umowy.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 xml:space="preserve">Wynagrodzenie Wykonawcy, o którym mowa w ust. 1, obejmuje wszystkie koszty związane z realizacją przedmiotu umowy oraz wszelkie inne koszty Wykonawcy, opłaty i podatki, w tym podatek od towarów i usług (VAT). Wykonawca oświadcza, że zrzeka się wszelkich roszczeń względem Zamawiającego związanych z ewentualnym dochodzeniem waloryzacji wynagrodzenia zawartego w umowie. Ponadto oświadcza, że podana cena ofertowa / wynagrodzenie umowne obejmuje obowiązującą w 2026 roku wysokość minimalnego wynagrodzenia za pracę lub minimalnej stawki godzinowej, ustalonych na podstawie ustawy z dnia 10 października 2002 r. o minimalnym wynagrodzeniu za pracę i w przypadku ich zmiany nie będzie występował o zmianę wynagrodzenia umownego. </w:t>
      </w:r>
    </w:p>
    <w:p>
      <w:pPr>
        <w:pStyle w:val="Normal"/>
        <w:widowControl/>
        <w:numPr>
          <w:ilvl w:val="0"/>
          <w:numId w:val="24"/>
        </w:numPr>
        <w:tabs>
          <w:tab w:val="clear" w:pos="708"/>
          <w:tab w:val="left" w:pos="426" w:leader="none"/>
        </w:tabs>
        <w:suppressAutoHyphens w:val="false"/>
        <w:spacing w:before="120" w:after="0"/>
        <w:jc w:val="both"/>
        <w:rPr>
          <w:rFonts w:ascii="Times New Roman" w:hAnsi="Times New Roman" w:cs="Calibri"/>
          <w:sz w:val="22"/>
          <w:szCs w:val="22"/>
        </w:rPr>
      </w:pPr>
      <w:r>
        <w:rPr>
          <w:rFonts w:cs="Calibri"/>
          <w:sz w:val="22"/>
          <w:szCs w:val="22"/>
        </w:rPr>
        <w:t>W przypadku konieczności podjęcia dodatkowych działań, nie wskazanych bezpośrednio w umowie, niezbędnych do prawidłowej realizacji przedmiotu umowy, Wykonawca nie będzie z tego tytułu żądał od Zamawiającego dodatkowego wynagrodzenia</w:t>
      </w:r>
    </w:p>
    <w:p>
      <w:pPr>
        <w:pStyle w:val="Normal"/>
        <w:widowControl/>
        <w:tabs>
          <w:tab w:val="clear" w:pos="708"/>
          <w:tab w:val="left" w:pos="426" w:leader="none"/>
        </w:tabs>
        <w:suppressAutoHyphens w:val="false"/>
        <w:spacing w:before="120" w:after="0"/>
        <w:ind w:left="426" w:right="0" w:hanging="426"/>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4.</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Podwykonawstwo</w:t>
      </w:r>
    </w:p>
    <w:p>
      <w:pPr>
        <w:pStyle w:val="Normal"/>
        <w:widowControl/>
        <w:tabs>
          <w:tab w:val="clear" w:pos="708"/>
          <w:tab w:val="left" w:pos="426" w:leader="none"/>
        </w:tabs>
        <w:suppressAutoHyphens w:val="false"/>
        <w:spacing w:before="120" w:after="0"/>
        <w:jc w:val="both"/>
        <w:rPr>
          <w:rFonts w:ascii="Times New Roman" w:hAnsi="Times New Roman" w:eastAsia="Times New Roman" w:cs="Calibri"/>
          <w:i/>
          <w:i/>
          <w:iCs/>
          <w:sz w:val="22"/>
          <w:szCs w:val="22"/>
          <w:lang w:eastAsia="pl-PL"/>
        </w:rPr>
      </w:pPr>
      <w:r>
        <w:rPr>
          <w:rFonts w:eastAsia="Times New Roman" w:cs="Calibri"/>
          <w:i/>
          <w:iCs/>
          <w:sz w:val="22"/>
          <w:szCs w:val="22"/>
          <w:lang w:eastAsia="pl-PL"/>
        </w:rPr>
        <w:t xml:space="preserve">(*w przypadku braku udziału podwykonawców § 4 ust. 2-26 zostanie usunięty)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Strony umowy ustalają, że Przedmiot Umowy zostanie wykonany przez Wykonawcę osobiście bądź z udziałem podwykonawców.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oświadcza, że zamierza powierzyć realizację następującej części Umowy następującemu podwykonawcy: </w:t>
      </w:r>
    </w:p>
    <w:p>
      <w:pPr>
        <w:pStyle w:val="Normal"/>
        <w:widowControl/>
        <w:tabs>
          <w:tab w:val="clear" w:pos="708"/>
          <w:tab w:val="left" w:pos="426" w:leader="none"/>
        </w:tabs>
        <w:suppressAutoHyphens w:val="false"/>
        <w:ind w:left="425"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Nazwa podwykonawcy: ……. </w:t>
      </w:r>
    </w:p>
    <w:p>
      <w:pPr>
        <w:pStyle w:val="Normal"/>
        <w:widowControl/>
        <w:tabs>
          <w:tab w:val="clear" w:pos="708"/>
          <w:tab w:val="left" w:pos="426" w:leader="none"/>
        </w:tabs>
        <w:suppressAutoHyphens w:val="false"/>
        <w:ind w:left="425"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Zakres i opis powierzonej części Umowy ……………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jest zobowiązany do zawiadomienia na piśmie Zamawiającego o wszelkich zmianach danych, o których mowa w ust. 2 w trakcie realizacji Przedmiotu Umowy i przekazania informacji na temat nowych podwykonawców, którym w późniejszym okresie zamierza powierzyć wykonanie części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Jeżeli zmiana albo rezygnacja z podwykonawcy dotyczy podmiotu, na którego zasoby Wykonawca powoływał się na zasadach określonych w art. 118 ustawy Pzp, w celu wykazania spełnienia warunków udziału w postępowaniu, Wykonawca jest zobowiązany wykazać Zamawiającemu, że: </w:t>
      </w:r>
    </w:p>
    <w:p>
      <w:pPr>
        <w:pStyle w:val="ListParagraph"/>
        <w:widowControl/>
        <w:numPr>
          <w:ilvl w:val="0"/>
          <w:numId w:val="31"/>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proponowany inny podwykonawca lub Wykonawca samodzielnie spełnia je w stopniu nie mniejszym niż podwykonawca, na którego zasoby Wykonawca powoływał się w trakcie postępowania o udzielenie zamówienia oraz </w:t>
      </w:r>
    </w:p>
    <w:p>
      <w:pPr>
        <w:pStyle w:val="ListParagraph"/>
        <w:widowControl/>
        <w:numPr>
          <w:ilvl w:val="0"/>
          <w:numId w:val="31"/>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brak jest podstaw do wykluczenia proponowanego podwykonawcy.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Przepisu ust. 4 nie stosuje się wobec podwykonawców niebędących podmiotami, na których zasoby Wykonawca powoływał się na zasadach określonych w art. 118 ustawy Pzp oraz do dalszych podwykonawców.</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zastrzega sobie prawo weryfikacji podstawy wykluczenia podwykonawcy niebędącego podmiotem trzecim, na zasadach określonych w art. 462 ust. 5 ustawy Pzp.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Postanowienia dotyczące podwykonawcy odnoszą się wprost również do dalszego podwykonawcy oraz umów zawieranych między podwykonawcą i dalszym podwykonawcą lub między dalszymi podwykonawcami.</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jest odpowiedzialny za działania lub zaniechania podwykonawcy, jego przedstawicieli lub pracowników, jak za własne działania lub zaniechania. Wykonawca jest zobowiązany do sprawowania na bieżąco nadzoru nad wykonaniem Przedmiotu Umowy przez podwykonawcę i do ich koordynacji.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celu powierzenia wykonania części Umowy podwykonawcy, Wykonawca zawiera Umowę o podwykonawstwo w rozumieniu art. 7 pkt 27 ustawy Pzp.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Każdy projekt umowy i umowa o podwykonawstwo musi zawierać postanowienia niesprzeczne z postanowieniami niniejszej Umowy oraz będzie zawierać w szczególności: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określenie Stron, z tym zastrzeżeniem, że w przypadku, gdy zamówienie publiczne zostało udzielone Wykonawcom, którzy wspólnie ubiegali się o jego udzielenie (konsorcjum) i wspólnie występują w niniejszej Umowie jako Wykonawca, umowa o podwykonawstwo powinna być zawarta ze wszystkimi członkami konsorcjum, a nie tylko z jednym lub niektórymi z nich,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zakres prac przewidzianych do wykonania,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termin realizacji prac, który będzie zgodny z terminem wykonania niniejszej Umowy,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terminy i zasady dokonywania odbioru Przedmiotu Umowy,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wynagrodzenie i zasady płatności za wykonanie Przedmiotu Umowy, z zastrzeżeniem, że nie będzie ono wyższe od wynagrodzenia za wykonanie tego samego zakresu Przedmiotu Umowy należnego Wykonawcy od Zamawiającego (wynikającego z kosztorysu ofertowego),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postanowienia wymagane przepisami Pzp i dokumentami zamówienia, jeżeli mają zastosowanie, </w:t>
      </w:r>
    </w:p>
    <w:p>
      <w:pPr>
        <w:pStyle w:val="ListParagraph"/>
        <w:widowControl/>
        <w:numPr>
          <w:ilvl w:val="0"/>
          <w:numId w:val="32"/>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wymaganą treść postanowień projektu umowy i umowy o podwykonawstwo zawieranej z dalszym podwykonawcą, przy czym nie może ona być mniej korzystna dla dalszego podwykonawcy niż postanowienia niniejszej Umowy.</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Sądem właściwym do rozstrzygania sporów na tle realizacji niniejszej Umowy będzie sąd powszechny miejscowo właściwy według miejsca wykonania Przedmiotu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podwykonawca lub dalszy podwykonawca zamierzający zawrzeć umowę o podwykonawstwo, której przedmiotem jest wykonanie Przedmiotu Umowy, jest zobowiązany do przedłożenia Zamawiającemu projektu umowy o podwykonawstwo, przy czym podwykonawca lub dalszy podwykonawca do projektu umowy dołączy zgodę Wykonawcy na zawarcie umowy o podwykonawstwo o treści zgodnej z przedłożonym projektem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w terminie 10 dni od otrzymania od Wykonawcy projektu umowy o podwykonawstwo, może wnieść do niej pisemne zastrzeżenia. Jeżeli tego nie uczyni, oznaczać to będzie akceptację projektu umowy przez Zamawiającego.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przypadku zgłoszenia przez Zamawiającego zastrzeżeń do projektu umowy o podwykonawstwo, Wykonawca, podwykonawca lub dalszy podwykonawca ma obowiązek przedłożyć zmieniony projekt umowy o podwykonawstwo, uwzględniający w całości zastrzeżenia Zamawiającego. W takim przypadku termin do zgłoszenia zastrzeżeń przez Zamawiającego, o którym mowa w ust. 13 Umowy, rozpoczyna bieg na nowo.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podwykonawca lub dalszy podwykonawca jest zobowiązany przedłożyć Zamawiającemu, poświadczoną przez przedkładającego za zgodność z oryginałem, kopię zawartej umowy o podwykonawstwo o treści zgodnej z zaakceptowanym uprzednio przez Zamawiającego projektem, w terminie do 7 dni od daty jej zawarcia.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w terminie do 10 dni od doręczenia mu kopii umowy o podwykonawstwo może zgłosić sprzeciw do treści tej umowy. Jeżeli tego nie uczyni, oznaczać to będzie akceptację umowy o podwykonawstwo.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jest uprawniony do zgłaszania pisemnych zastrzeżeń do projektu umowy o podwykonawstwo lub sprzeciwu do umowy o podwykonawstwo, w szczególności, gdy: </w:t>
      </w:r>
    </w:p>
    <w:p>
      <w:pPr>
        <w:pStyle w:val="ListParagraph"/>
        <w:widowControl/>
        <w:numPr>
          <w:ilvl w:val="0"/>
          <w:numId w:val="33"/>
        </w:numPr>
        <w:tabs>
          <w:tab w:val="clear" w:pos="708"/>
          <w:tab w:val="left" w:pos="426" w:leader="none"/>
        </w:tabs>
        <w:suppressAutoHyphens w:val="false"/>
        <w:spacing w:before="120" w:after="0"/>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 będzie spełniała wymagań określonych w dokumentach zamówienia, </w:t>
      </w:r>
    </w:p>
    <w:p>
      <w:pPr>
        <w:pStyle w:val="ListParagraph"/>
        <w:widowControl/>
        <w:numPr>
          <w:ilvl w:val="0"/>
          <w:numId w:val="33"/>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będzie przewidywała termin zapłaty wynagrodzenia dłuższy niż 30 dni od dnia doręczenia Wykonawcy, podwykonawcy lub dalszemu podwykonawcy faktury lub rachunku, potwierdzających wykonanie zleconego świadczenia, </w:t>
      </w:r>
    </w:p>
    <w:p>
      <w:pPr>
        <w:pStyle w:val="ListParagraph"/>
        <w:widowControl/>
        <w:numPr>
          <w:ilvl w:val="0"/>
          <w:numId w:val="33"/>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będzie zawierała zapisy uzależniające dokonanie zapłaty na rzecz podwykonawcy od odbioru Przedmiotu Umowy przez Zamawiającego lub od zapłaty należności Wykonawcy przez Zamawiającego, </w:t>
      </w:r>
    </w:p>
    <w:p>
      <w:pPr>
        <w:pStyle w:val="ListParagraph"/>
        <w:widowControl/>
        <w:numPr>
          <w:ilvl w:val="0"/>
          <w:numId w:val="33"/>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nie będzie zawierała uregulowań dotyczących zawierania umów na wykonanie Przedmiotu Umowy z dalszymi podwykonawcami w szczególności zapisów warunkujących podpisanie tych umów od zgody Wykonawcy i od akceptacji Zamawiającego, </w:t>
      </w:r>
    </w:p>
    <w:p>
      <w:pPr>
        <w:pStyle w:val="ListParagraph"/>
        <w:widowControl/>
        <w:numPr>
          <w:ilvl w:val="0"/>
          <w:numId w:val="33"/>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będzie zawierać postanowienia, które w ocenie Zamawiającego będą mogły utrudniać lub uniemożliwiać prawidłową lub terminową realizację niniejszej Umowy, zgodnie z jej treścią, </w:t>
      </w:r>
    </w:p>
    <w:p>
      <w:pPr>
        <w:pStyle w:val="ListParagraph"/>
        <w:widowControl/>
        <w:numPr>
          <w:ilvl w:val="0"/>
          <w:numId w:val="33"/>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będzie zawierała postanowienia niezgodne z art. 463 ustawy Pzp tj. postanowienia kształtujące prawa i obowiązki podwykonawcy, w zakresie kar umownych oraz postanowień dotyczących warunków wypłaty wynagrodzenia, w sposób dla niego mniej korzystny niż prawa i obowiązki Wykonawcy, ukształtowane postanowieniami niniejszej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Uregulowania niniejszego paragrafu obowiązują także przy zmianach projektów umów o podwykonawstwo jak i zmianach umów o podwykonawstwo.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Strony Umowy stwierdzają, iż w przypadku zgłoszenia sprzeciwu lub zastrzeżeń przez Zamawiającego, wyłączona jest odpowiedzialność solidarna Zamawiającego z Wykonawcą za zapłatę wymaganego wynagrodzenia, przysługującego podwykonawcy lub dalszemu podwykonawcy za wykonanie czynności przewidzianych niniejszą Umową.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podwykonawca lub dalszy podwykonawca zamówienia przedkłada Zamawiającemu poświadczoną za zgodność z oryginałem kopię zawartej umowy o podwykonawstwo, której przedmiotem są dostawy lub usługi, w terminie 7 dni od dnia jej zawarcia, z wyłączeniem umów o podwykonawstwo o wartości mniejszej niż 10 000,00 zł.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przypadku, o którym mowa w ust. 20 Umowy, jeżeli termin zapłaty wynagrodzenia jest dłuższy niż 30 dni, Zamawiający poinformuje o tym Wykonawcę i wezwie go do zmiany tej umowy pod rygorem wystąpienia o zapłatę kary umownej.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Procedurę, o której mowa w ust. 20 i 21 Umowy, stosuje się również do wszystkich zmian umów o podwykonawstwo, które dotyczą wykonania Przedmiotu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powierzając realizację Przedmiotu Umowy jest zobowiązany do dokonania we własnym zakresie zapłaty wymagalnego wynagrodzenia należnego podwykonawcy z zachowaniem terminów płatności określonych w umowie z podwykonawcą.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przypadku uchylenia się od obowiązku zapłaty odpowiednio przez Wykonawcę, podwykonawcę lub dalszego podwykonawcę bezpośredniej zapłaty wymagalnego wynagrodzenia przysługującego podwykonawcy lub dalszemu podwykonawcy, za wykonanie Przedmiotu Umowy, Zamawiający dokona bezpośredniej zapłaty wymagalnego wynagrodzenia przysługującego podwykonawcy, dalszemu podwykonawcy, który zawarł zaakceptowaną przez Zamawiającego umowę o podwykonawstwo Przedmiotu Umowy lub który zawarł przedłożoną Zamawiającemu umowę o podwykonawstwo Przedmiotu Umowy.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Bezpośrednia zapłata obejmuje należne wynagrodzenie, bez odsetek należnych podwykonawcy lub dalszemu podwykonawcy. </w:t>
      </w:r>
    </w:p>
    <w:p>
      <w:pPr>
        <w:pStyle w:val="Normal"/>
        <w:widowControl/>
        <w:numPr>
          <w:ilvl w:val="0"/>
          <w:numId w:val="25"/>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Uregulowania w zakresie rozliczenia wykonania Przedmiotu Umowy do zrealizowania przez podwykonawców nie mogą zawierać zapisów uzależniających regulowanie należności podwykonawców od otrzymania zapłaty należności Wykonawcy od Zamawiającego w szczególności dotyczy to końcowych należności Wykonawcy wynikających z faktur wystawianych na zakończenie wykonania Przedmiotu Umowy.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5.</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Rękojmia, Gwarancja i Serwis</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udziela Zamawiającemu, zgodnie z ofertą, pełnej gwarancji dla agregatu o mocy znamionowej …………………………………. na okres ……………..miesięcy. Okres gwarancji liczony jest od daty spisania protokołu, o którym mowa w § 8 ust. 6. Bieg terminu gwarancji oraz rękojmi rozpoczyna się w dniu następnym po dniu podpisania tego protokołu.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Gwarancji podlegają wszystkie zespoły i podzespoły bez wyłączeń, z wyjątkiem materiałów eksploatacyjnych. Za materiały eksploatacyjne uważa się elementy wymieniane podczas okresowych przeglądów technicznych, takie jak np. oleje i inne płyny eksploatacyjne.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Gwarancja nie obejmuje uszkodzeń powstałych wskutek niewłaściwego użytkowania.</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W okresie gwarancji Wykonawca zobowiązuje się do bezpłatnego usuwania usterek i wad, jakie wystąpią w działaniu Przedmiotu umowy, których przyczyną są w szczególności wady tkwiące w dostarczonym Przedmiocie umowy.</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Uszkodzenia Przedmiotu umowy spowodowane użytkowaniem przez Zamawiającego niezgodnym z instrukcją obsługi, jeśli wystąpią, zostaną potwierdzone protokołem sporządzonym w obecności przedstawiciela Wykonawcy oraz Zamawiającego. W przypadku zaistnienia okoliczności, o których mowa w zdaniu pierwszym koszty części zamiennych oraz ich wymiany, które uległy uszkodzeniu lub zniszczeniu obciążają Zamawiającego.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 każdym wypadku wadliwej pracy Przedmiotu umowy Zamawiający zawiadomi Wykonawcę niezwłocznie za pośrednictwem poczty elektronicznej na adres e-mail ……………… lub bezpośrednio do inżyniera serwisu na adres e-mail ………………. lub telefonicznie na nr tel. …………………….. .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Warunki gwarancji: </w:t>
      </w:r>
    </w:p>
    <w:p>
      <w:pPr>
        <w:pStyle w:val="Tretekstu"/>
        <w:widowControl/>
        <w:numPr>
          <w:ilvl w:val="0"/>
          <w:numId w:val="34"/>
        </w:numPr>
        <w:suppressAutoHyphens w:val="false"/>
        <w:spacing w:before="120" w:after="0"/>
        <w:contextualSpacing/>
        <w:jc w:val="both"/>
        <w:rPr/>
      </w:pPr>
      <w:r>
        <w:rPr>
          <w:rFonts w:cs="Calibri"/>
          <w:sz w:val="22"/>
          <w:szCs w:val="22"/>
        </w:rPr>
        <w:t>Wykonawca zapewni w całym okresie gwarancji pełną, nieodpłatną obsługę serwisową Przedmiotu umowy, zgodną z zaleceniami producenta, obejmującą wymagane przeglądy gwarancyjne, robociznę, części zamienne oraz pozostałe koszty świadczenia usług serwisowych. Koszty obsługi serwisowej w okresie gwarancji są wliczone w wynagrodzenie określone w § 3 ust. 1 umowy. Punkt serwisowy, z którego będzie realizowana obsługa serwisowa Przedmiotu umowy, musi znajdować się w odległości nie większej niż 100 km od siedziby Zamawiającego, liczonej najkrótszą trasą po drogach publicznych.</w:t>
      </w:r>
    </w:p>
    <w:p>
      <w:pPr>
        <w:pStyle w:val="ListParagraph"/>
        <w:widowControl/>
        <w:numPr>
          <w:ilvl w:val="0"/>
          <w:numId w:val="34"/>
        </w:numPr>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okresie gwarancji Zamawiający wszelkie usterki lub wady Przedmiotu umowy będzie zgłaszał za pośrednictwem poczty elektronicznej lub telefonicznie, a Wykonawca zobowiązuje się do: </w:t>
      </w:r>
    </w:p>
    <w:p>
      <w:pPr>
        <w:pStyle w:val="ListParagraph"/>
        <w:widowControl/>
        <w:numPr>
          <w:ilvl w:val="0"/>
          <w:numId w:val="35"/>
        </w:numPr>
        <w:tabs>
          <w:tab w:val="clear" w:pos="708"/>
          <w:tab w:val="left" w:pos="426" w:leader="none"/>
        </w:tabs>
        <w:suppressAutoHyphens w:val="false"/>
        <w:spacing w:before="60" w:after="0"/>
        <w:ind w:left="1134"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przyjazdu i diagnostyki w czasie do 24 godzin od chwili otrzymania zgłoszenia , a w przypadku, gdy termin ten upływa w dzień wolny od pracy dla Zamawiającego – w pierwszy następujący po upływie tego terminu dzień roboczy,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dokonywania wszelkich napraw gwarancyjnych przez serwis gwarancyjny,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ramach serwisu gwarancyjnego Wykonawca zapewni dostęp do dokumentacji technicznej do prawidłowego działania dostarczonego Przedmiotu umowy,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okresie gwarancji, w przypadku dwukrotnej reklamacji tej samej części Przedmiotu umowy, Wykonawca wymieni tę część na fabrycznie nową wolną od wad,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koszty transportu Przedmiotu umowy do serwisu w okresie gwarancji oraz jego zwrot, uruchomienie wraz z demontażem ponosi Wykonawca,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cs="Calibri"/>
          <w:sz w:val="22"/>
          <w:szCs w:val="22"/>
        </w:rPr>
      </w:pPr>
      <w:r>
        <w:rPr>
          <w:rFonts w:cs="Calibri"/>
          <w:sz w:val="22"/>
          <w:szCs w:val="22"/>
        </w:rPr>
        <w:t xml:space="preserve">czas dokonania naprawy, jeżeli części zamienne dostępne są w kraju nie będzie dłuższy niż 5 dni kalendarzowych od dnia zgłoszenia usterki / awarii, </w:t>
      </w:r>
    </w:p>
    <w:p>
      <w:pPr>
        <w:pStyle w:val="ListParagraph"/>
        <w:widowControl/>
        <w:numPr>
          <w:ilvl w:val="0"/>
          <w:numId w:val="35"/>
        </w:numPr>
        <w:suppressAutoHyphens w:val="false"/>
        <w:spacing w:before="60" w:after="0"/>
        <w:ind w:left="1134" w:right="0" w:hanging="425"/>
        <w:contextualSpacing/>
        <w:jc w:val="both"/>
        <w:rPr>
          <w:rFonts w:ascii="Times New Roman" w:hAnsi="Times New Roman" w:cs="Calibri"/>
          <w:sz w:val="22"/>
          <w:szCs w:val="22"/>
        </w:rPr>
      </w:pPr>
      <w:r>
        <w:rPr>
          <w:rFonts w:cs="Calibri"/>
          <w:sz w:val="22"/>
          <w:szCs w:val="22"/>
        </w:rPr>
        <w:t xml:space="preserve">czas dokonania naprawy, jeżeli części zamienne trzeba sprowadzać z zagranicy nie będzie dłuższy niż 14 dni roboczych od dnia zgłoszenia usterki / awarii.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Okres gwarancji ulega przedłużeniu o czas ograniczonej możliwości używania Przedmiotu umowy lub jego części wskutek trwania naprawy lub jego nie działania lub wadliwego działania.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okresie gwarancji, usuwanie wad w całym Przedmiocie umowy, w tym jego naprawa lub wymiana w ramach świadczeń gwarancyjnych, następują bez dodatkowego wynagrodzenia, w ramach wynagrodzenia, o którym mowa w § 3 ust. 1.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Uzupełnienie materiałów eksploatacyjnych, takich jak oleje i płyny, nie powoduje utraty ani ograniczenia uprawnień wynikających z gwarancji.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zobowiązuje się używać Przedmiot umowy zgodnie z przeznaczeniem i zlecać naprawy gwarancyjne tylko i wyłącznie Wykonawcy.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Celem wykonania usług serwisowych personel Wykonawcy, uzyska niczym nieograniczony dostęp do dostarczonego Przedmiotu umowy u Zamawiającego.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przypadku odmowy uznania reklamacji przez Wykonawcę, Zamawiający może złożyć wniosek o przeprowadzenie ekspertyzy przez niezależnego rzeczoznawcę. Jeżeli reklamacja Zamawiającego będzie uzasadniona, koszty związane z przeprowadzeniem ekspertyzy ponosi Wykonawca. W takim przypadku Zamawiający może zlecić naprawę innemu podmiotowi na ryzyko i koszt Wykonawcy, bez utraty prawa do rękojmi i gwarancji.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Szczegółowe warunki gwarancji, serwisu oraz przeglądów gwarancyjnych Przedmiotu umowy zostaną określone w karcie gwarancyjnej, dostarczonej przez Wykonawcę wraz z Przedmiotem umowy z tym zastrzeżeniem, że w przypadku braku postanowień w karcie gwarancyjnej lub kolizji tych postanowień z niniejszą umową, odpowiednio zastosowanie mają postanowienia umowy lub pierwszeństwo mają postanowienia umowy.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zastrzega sobie wykonanie uprawnień z tytułu rękojmi niezależnie od uprawnień wynikających z tytułu gwarancji.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Uprawnienia Zamawiającego wynikające z powyższych ustępów nie wyłączają uprawnień wynikających z przepisów prawa powszechnie obowiązującego, w tym w szczególności z Kodeksu cywilnego. </w:t>
      </w:r>
    </w:p>
    <w:p>
      <w:pPr>
        <w:pStyle w:val="Normal"/>
        <w:widowControl/>
        <w:numPr>
          <w:ilvl w:val="0"/>
          <w:numId w:val="26"/>
        </w:numPr>
        <w:tabs>
          <w:tab w:val="clear" w:pos="708"/>
          <w:tab w:val="left" w:pos="426" w:leader="none"/>
        </w:tabs>
        <w:suppressAutoHyphens w:val="false"/>
        <w:spacing w:before="120" w:after="0"/>
        <w:jc w:val="both"/>
        <w:rPr>
          <w:rFonts w:ascii="Times New Roman" w:hAnsi="Times New Roman" w:eastAsia="Times New Roman" w:cs="Calibri"/>
          <w:sz w:val="22"/>
          <w:szCs w:val="22"/>
          <w:lang w:eastAsia="pl-PL"/>
        </w:rPr>
      </w:pPr>
      <w:r>
        <w:rPr>
          <w:rFonts w:eastAsia="Times New Roman" w:cs="Calibri"/>
          <w:sz w:val="22"/>
          <w:szCs w:val="22"/>
          <w:lang w:eastAsia="pl-PL"/>
        </w:rPr>
        <w:t>Niniejsza umowa stanowi dokument gwarancyjny bez konieczności składania dodatkowych oświadczeń.</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6.</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Przedstawiciele i zasady komunikowania się Stron</w:t>
      </w:r>
    </w:p>
    <w:p>
      <w:pPr>
        <w:pStyle w:val="Normal"/>
        <w:widowControl/>
        <w:numPr>
          <w:ilvl w:val="0"/>
          <w:numId w:val="27"/>
        </w:numPr>
        <w:tabs>
          <w:tab w:val="clear" w:pos="708"/>
          <w:tab w:val="left" w:pos="426" w:leader="none"/>
        </w:tabs>
        <w:suppressAutoHyphens w:val="false"/>
        <w:spacing w:before="120" w:after="0"/>
        <w:ind w:left="426" w:right="0" w:hanging="426"/>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Strony ustalają, że korespondencję w sprawach zapisów umownych będą kierować na poniższe adresy: </w:t>
      </w:r>
    </w:p>
    <w:p>
      <w:pPr>
        <w:pStyle w:val="Normal"/>
        <w:widowControl/>
        <w:tabs>
          <w:tab w:val="clear" w:pos="708"/>
          <w:tab w:val="left" w:pos="426" w:leader="none"/>
        </w:tabs>
        <w:suppressAutoHyphens w:val="false"/>
        <w:spacing w:before="60" w:after="0"/>
        <w:ind w:left="425" w:right="0" w:hanging="0"/>
        <w:jc w:val="both"/>
        <w:rPr>
          <w:rFonts w:ascii="Times New Roman" w:hAnsi="Times New Roman" w:eastAsia="Times New Roman" w:cs="Calibri"/>
          <w:sz w:val="22"/>
          <w:szCs w:val="22"/>
          <w:u w:val="single"/>
          <w:lang w:eastAsia="pl-PL"/>
        </w:rPr>
      </w:pPr>
      <w:r>
        <w:rPr>
          <w:rFonts w:eastAsia="Times New Roman" w:cs="Calibri"/>
          <w:sz w:val="22"/>
          <w:szCs w:val="22"/>
          <w:u w:val="single"/>
          <w:lang w:eastAsia="pl-PL"/>
        </w:rPr>
        <w:t xml:space="preserve">Adres Zamawiającego: </w:t>
      </w:r>
    </w:p>
    <w:p>
      <w:pPr>
        <w:pStyle w:val="Normal"/>
        <w:widowControl/>
        <w:tabs>
          <w:tab w:val="clear" w:pos="708"/>
          <w:tab w:val="left" w:pos="426" w:leader="none"/>
        </w:tabs>
        <w:suppressAutoHyphens w:val="false"/>
        <w:ind w:left="425"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Dom Pomocy Społecznej w Obrytem</w:t>
      </w:r>
    </w:p>
    <w:p>
      <w:pPr>
        <w:pStyle w:val="Normal"/>
        <w:widowControl/>
        <w:tabs>
          <w:tab w:val="clear" w:pos="708"/>
          <w:tab w:val="left" w:pos="426" w:leader="none"/>
        </w:tabs>
        <w:suppressAutoHyphens w:val="false"/>
        <w:ind w:left="425"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Obryte 188</w:t>
      </w:r>
    </w:p>
    <w:p>
      <w:pPr>
        <w:pStyle w:val="Normal"/>
        <w:widowControl/>
        <w:tabs>
          <w:tab w:val="clear" w:pos="708"/>
          <w:tab w:val="left" w:pos="426" w:leader="none"/>
        </w:tabs>
        <w:suppressAutoHyphens w:val="false"/>
        <w:ind w:left="425" w:right="0" w:hanging="0"/>
        <w:jc w:val="both"/>
        <w:rPr>
          <w:rFonts w:ascii="Times New Roman" w:hAnsi="Times New Roman"/>
          <w:sz w:val="22"/>
          <w:szCs w:val="22"/>
        </w:rPr>
      </w:pPr>
      <w:r>
        <w:rPr>
          <w:rFonts w:eastAsia="Times New Roman" w:cs="Calibri"/>
          <w:sz w:val="22"/>
          <w:szCs w:val="22"/>
          <w:lang w:eastAsia="pl-PL"/>
        </w:rPr>
        <w:t>07-215 Obryte</w:t>
      </w:r>
    </w:p>
    <w:p>
      <w:pPr>
        <w:pStyle w:val="Normal"/>
        <w:widowControl/>
        <w:tabs>
          <w:tab w:val="clear" w:pos="708"/>
          <w:tab w:val="left" w:pos="426" w:leader="none"/>
        </w:tabs>
        <w:suppressAutoHyphens w:val="false"/>
        <w:ind w:left="425" w:right="0" w:hanging="0"/>
        <w:jc w:val="both"/>
        <w:rPr>
          <w:rFonts w:ascii="Times New Roman" w:hAnsi="Times New Roman"/>
          <w:sz w:val="22"/>
          <w:szCs w:val="22"/>
        </w:rPr>
      </w:pPr>
      <w:r>
        <w:rPr>
          <w:rFonts w:eastAsia="Times New Roman" w:cs="Calibri"/>
          <w:sz w:val="22"/>
          <w:szCs w:val="22"/>
          <w:lang w:eastAsia="pl-PL"/>
        </w:rPr>
        <w:t>tel. 29 741 10 80</w:t>
      </w:r>
    </w:p>
    <w:p>
      <w:pPr>
        <w:pStyle w:val="Normal"/>
        <w:widowControl/>
        <w:tabs>
          <w:tab w:val="clear" w:pos="708"/>
          <w:tab w:val="left" w:pos="426" w:leader="none"/>
        </w:tabs>
        <w:suppressAutoHyphens w:val="false"/>
        <w:spacing w:before="60" w:after="0"/>
        <w:ind w:left="425" w:right="0" w:hanging="0"/>
        <w:jc w:val="both"/>
        <w:rPr>
          <w:rFonts w:ascii="Times New Roman" w:hAnsi="Times New Roman" w:eastAsia="Times New Roman" w:cs="Calibri"/>
          <w:sz w:val="22"/>
          <w:szCs w:val="22"/>
          <w:u w:val="single"/>
          <w:lang w:eastAsia="pl-PL"/>
        </w:rPr>
      </w:pPr>
      <w:r>
        <w:rPr>
          <w:rFonts w:eastAsia="Times New Roman" w:cs="Calibri"/>
          <w:sz w:val="22"/>
          <w:szCs w:val="22"/>
          <w:u w:val="single"/>
          <w:lang w:eastAsia="pl-PL"/>
        </w:rPr>
        <w:t xml:space="preserve">Adres Wykonawcy: </w:t>
      </w:r>
    </w:p>
    <w:p>
      <w:pPr>
        <w:pStyle w:val="Normal"/>
        <w:widowControl/>
        <w:tabs>
          <w:tab w:val="clear" w:pos="708"/>
          <w:tab w:val="left" w:pos="426" w:leader="none"/>
        </w:tabs>
        <w:suppressAutoHyphens w:val="false"/>
        <w:spacing w:before="120" w:after="0"/>
        <w:ind w:left="426"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w:t>
      </w:r>
      <w:r>
        <w:rPr>
          <w:rFonts w:eastAsia="Times New Roman" w:cs="Calibri"/>
          <w:sz w:val="22"/>
          <w:szCs w:val="22"/>
          <w:lang w:eastAsia="pl-PL"/>
        </w:rPr>
        <w:t xml:space="preserve">. </w:t>
      </w:r>
    </w:p>
    <w:p>
      <w:pPr>
        <w:pStyle w:val="Normal"/>
        <w:widowControl/>
        <w:tabs>
          <w:tab w:val="clear" w:pos="708"/>
          <w:tab w:val="left" w:pos="426" w:leader="none"/>
        </w:tabs>
        <w:suppressAutoHyphens w:val="false"/>
        <w:spacing w:before="120" w:after="0"/>
        <w:ind w:left="426"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w:t>
      </w:r>
      <w:r>
        <w:rPr>
          <w:rFonts w:eastAsia="Times New Roman" w:cs="Calibri"/>
          <w:sz w:val="22"/>
          <w:szCs w:val="22"/>
          <w:lang w:eastAsia="pl-PL"/>
        </w:rPr>
        <w:t xml:space="preserve">. </w:t>
      </w:r>
    </w:p>
    <w:p>
      <w:pPr>
        <w:pStyle w:val="Normal"/>
        <w:widowControl/>
        <w:numPr>
          <w:ilvl w:val="0"/>
          <w:numId w:val="27"/>
        </w:numPr>
        <w:tabs>
          <w:tab w:val="clear" w:pos="708"/>
          <w:tab w:val="left" w:pos="426" w:leader="none"/>
        </w:tabs>
        <w:suppressAutoHyphens w:val="false"/>
        <w:spacing w:before="120" w:after="0"/>
        <w:ind w:left="426" w:right="0" w:hanging="426"/>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wyznacza swoich przedstawicieli odpowiedzialnych za realizację obowiązków Wykonawcy wynikających z niniejszej umowy w osobach: </w:t>
      </w:r>
    </w:p>
    <w:p>
      <w:pPr>
        <w:pStyle w:val="Normal"/>
        <w:widowControl/>
        <w:tabs>
          <w:tab w:val="clear" w:pos="708"/>
          <w:tab w:val="left" w:pos="426" w:leader="none"/>
        </w:tabs>
        <w:suppressAutoHyphens w:val="false"/>
        <w:spacing w:before="120" w:after="0"/>
        <w:ind w:left="426"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 …………………… tel. ……………………… e-mail: ………………………………… </w:t>
      </w:r>
    </w:p>
    <w:p>
      <w:pPr>
        <w:pStyle w:val="Normal"/>
        <w:widowControl/>
        <w:numPr>
          <w:ilvl w:val="0"/>
          <w:numId w:val="27"/>
        </w:numPr>
        <w:tabs>
          <w:tab w:val="clear" w:pos="708"/>
          <w:tab w:val="left" w:pos="426" w:leader="none"/>
        </w:tabs>
        <w:suppressAutoHyphens w:val="false"/>
        <w:spacing w:before="120" w:after="0"/>
        <w:ind w:left="426" w:right="0" w:hanging="426"/>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Zamawiający wyznacza swoich przedstawicieli odpowiedzialnych za realizację obowiązków Zamawiającego wynikających z niniejszej umowy w osobach: </w:t>
      </w:r>
    </w:p>
    <w:p>
      <w:pPr>
        <w:pStyle w:val="Normal"/>
        <w:widowControl/>
        <w:tabs>
          <w:tab w:val="clear" w:pos="708"/>
          <w:tab w:val="left" w:pos="426" w:leader="none"/>
        </w:tabs>
        <w:suppressAutoHyphens w:val="false"/>
        <w:spacing w:before="120" w:after="0"/>
        <w:ind w:left="426"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 …………………… tel. ……………………… e-mail: ………………………………… </w:t>
      </w:r>
    </w:p>
    <w:p>
      <w:pPr>
        <w:pStyle w:val="Normal"/>
        <w:widowControl/>
        <w:tabs>
          <w:tab w:val="clear" w:pos="708"/>
          <w:tab w:val="left" w:pos="426" w:leader="none"/>
        </w:tabs>
        <w:suppressAutoHyphens w:val="false"/>
        <w:spacing w:before="120" w:after="0"/>
        <w:ind w:left="426" w:right="0" w:hanging="0"/>
        <w:jc w:val="both"/>
        <w:rPr>
          <w:rFonts w:ascii="Times New Roman" w:hAnsi="Times New Roman" w:eastAsia="Times New Roman" w:cs="Calibri"/>
          <w:sz w:val="22"/>
          <w:szCs w:val="22"/>
          <w:lang w:eastAsia="pl-PL"/>
        </w:rPr>
      </w:pPr>
      <w:r>
        <w:rPr>
          <w:rFonts w:eastAsia="Times New Roman" w:cs="Calibri"/>
          <w:sz w:val="22"/>
          <w:szCs w:val="22"/>
          <w:lang w:eastAsia="pl-PL"/>
        </w:rPr>
        <w:t>p. …………………… tel. ……………………… e-mail: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7.</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Kary umowne</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Strony postanawiają, że naprawienie szkody wynikłej z niewykonania lub nienależytego wykonania postanowień Umowy nastąpi przez zapłatę określonej sumy – kary umownej. </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zapłaci Zamawiającemu kary umowne: </w:t>
      </w:r>
    </w:p>
    <w:p>
      <w:pPr>
        <w:pStyle w:val="ListParagraph"/>
        <w:widowControl/>
        <w:numPr>
          <w:ilvl w:val="0"/>
          <w:numId w:val="36"/>
        </w:numPr>
        <w:suppressAutoHyphens w:val="false"/>
        <w:spacing w:before="60" w:after="0"/>
        <w:ind w:left="720" w:right="0" w:hanging="29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 rozwiązanie/odstąpienie od umowy z przyczyn leżących po stronie Wykonawcy – w wysokości 10% wartości całkowitego wynagrodzenia umownego brutto, </w:t>
      </w:r>
    </w:p>
    <w:p>
      <w:pPr>
        <w:pStyle w:val="ListParagraph"/>
        <w:widowControl/>
        <w:numPr>
          <w:ilvl w:val="0"/>
          <w:numId w:val="36"/>
        </w:numPr>
        <w:suppressAutoHyphens w:val="false"/>
        <w:spacing w:before="60" w:after="0"/>
        <w:ind w:left="720" w:right="0" w:hanging="29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 zwłokę w wykonaniu lub należytym wykonaniu Przedmiotu umowy – w wysokości 0,5% całkowitego wynagrodzenia umownego brutto, za każdy rozpoczęty dzień zwłoki, </w:t>
      </w:r>
    </w:p>
    <w:p>
      <w:pPr>
        <w:pStyle w:val="ListParagraph"/>
        <w:widowControl/>
        <w:numPr>
          <w:ilvl w:val="0"/>
          <w:numId w:val="36"/>
        </w:numPr>
        <w:suppressAutoHyphens w:val="false"/>
        <w:spacing w:before="60" w:after="0"/>
        <w:ind w:left="720" w:right="0" w:hanging="29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za zwłokę w usunięciu lub należytym usunięciu wad lub usterek stwierdzonych w trakcie odbioru lub w okresie gwarancji– w wysokości 0,2% całkowitego wynagrodzenia umownego brutto, za każdy rozpoczęty dzień zwłoki w stosunku do wyznaczonego terminu. </w:t>
      </w:r>
    </w:p>
    <w:p>
      <w:pPr>
        <w:pStyle w:val="ListParagraph"/>
        <w:widowControl/>
        <w:numPr>
          <w:ilvl w:val="0"/>
          <w:numId w:val="36"/>
        </w:numPr>
        <w:suppressAutoHyphens w:val="false"/>
        <w:spacing w:before="60" w:after="0"/>
        <w:ind w:left="720" w:right="0" w:hanging="295"/>
        <w:contextualSpacing/>
        <w:jc w:val="both"/>
        <w:rPr>
          <w:rFonts w:ascii="Times New Roman" w:hAnsi="Times New Roman"/>
          <w:sz w:val="22"/>
          <w:szCs w:val="22"/>
        </w:rPr>
      </w:pPr>
      <w:r>
        <w:rPr>
          <w:rFonts w:eastAsia="Times New Roman" w:cs="Calibri"/>
          <w:sz w:val="22"/>
          <w:szCs w:val="22"/>
          <w:lang w:eastAsia="pl-PL"/>
        </w:rPr>
        <w:t xml:space="preserve">za każdorazowe nieprzedłożenie Zamawiającemu dokumentów, oświadczeń lub dowodów dot. Podwykonawców, o których mowa w § 4 niniejszej Umowy - w wysokości 2 000,00 zł za każdy stwierdzony przypadek </w:t>
      </w:r>
      <w:r>
        <w:rPr>
          <w:rFonts w:eastAsia="Times New Roman" w:cs="Calibri"/>
          <w:i/>
          <w:iCs/>
          <w:sz w:val="22"/>
          <w:szCs w:val="22"/>
          <w:lang w:eastAsia="pl-PL"/>
        </w:rPr>
        <w:t xml:space="preserve">(w przypadku braku udziału podwykonawców § 7 ust. 2 pkt 4 zostanie usunięty). </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Jeżeli na skutek niewykonania lub nienależytego wykonania umowy powstanie szkoda przewyższająca zastrzeżoną karę umowną, Zamawiającemu oprócz tej kary przysługuje prawo do dochodzenia odszkodowania uzupełniającego. Jeżeli szkoda powstanie z innych przyczyn niż te, ze względu, na które zastrzeżono karę umowną, Zamawiającemu przysługuje prawo do dochodzenia odszkodowania na zasadach ogólnych Kodeksu cywilnego.</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Wykonawca wyraża zgodę na potrącenie należnych Zamawiającemu kar umownych z faktur wystawionych za realizację przedmiotu niniejszej umowy.</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Kary umowne przewidziane w niniejszej umowie na rzecz Zamawiającego stają się wymagalne z chwilą doręczenia Wykonawcy noty obciążeniowej lub wezwania do zapłaty. </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Strony ustalają, że maksymalna wysokość kar umownych nie może przekroczyć 25% łącznego wynagrodzenia umownego brutto określonego w § 3 ust. 1.</w:t>
      </w:r>
    </w:p>
    <w:p>
      <w:pPr>
        <w:pStyle w:val="ListParagraph"/>
        <w:widowControl/>
        <w:numPr>
          <w:ilvl w:val="3"/>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 razie opóźnienia w zapłacie wierzytelności pieniężnych Strony zobowiązują się do zapłaty ustawowych odsetek za opóźnienie.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8.</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Odbiór przedmiotu umowy</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Przedmiotem odbioru jakościowego jest wykonanie dostawy określonej w § 1 niniejszej umowy.</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 gotowości do dokonania przez Zamawiającego odbioru Wykonawca powiadomi Zamawiającego drogą elektroniczną na adresy e-mail osób wskazanych w § 6 ust. 3 umowy, z wyprzedzeniem co najmniej 2 dni roboczych. Wykonawca w zawiadomieniu o gotowości Przedmiotu umowy do odbioru poda co najmniej numer umowy oraz proponowaną datę i godzinę odbioru. </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Odbiór odbędzie się w dzień roboczy w godzinach pomiędzy 9.00 – 15.00. </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najpóźniej w dniu odbioru, przekaże Zamawiającemu dokumenty, o których mowa w § 1 ust. 5 pkt 2) w języku polskim. </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Brak któregokolwiek z dokumentów, o których mowa w § 1 ust. 5 pkt 2) jest równoznaczny z brakiem gotowości Przedmiotu umowy do odbioru i uprawnia Zamawiającego do powstrzymania się z odbiorem. W takim przypadku brak odbioru następuje z przyczyn leżących po stronie Wykonawcy. </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Odbiór Przedmiotu umowy potwierdzony zostanie protokołem odbioru bez uwag, podpisanym przez upoważnionych przedstawicieli Stron. Protokół zostanie sporządzony w 2 egzemplarzach, po jednym dla każdej ze stron. Podpisanie protokołu odbioru nastąpi po: </w:t>
      </w:r>
    </w:p>
    <w:p>
      <w:pPr>
        <w:pStyle w:val="ListParagraph"/>
        <w:widowControl/>
        <w:numPr>
          <w:ilvl w:val="0"/>
          <w:numId w:val="37"/>
        </w:numPr>
        <w:tabs>
          <w:tab w:val="clear" w:pos="708"/>
          <w:tab w:val="left" w:pos="426" w:leader="none"/>
        </w:tabs>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sprawdzeniu kompletności dostawy, </w:t>
      </w:r>
    </w:p>
    <w:p>
      <w:pPr>
        <w:pStyle w:val="ListParagraph"/>
        <w:widowControl/>
        <w:numPr>
          <w:ilvl w:val="0"/>
          <w:numId w:val="37"/>
        </w:numPr>
        <w:tabs>
          <w:tab w:val="clear" w:pos="708"/>
          <w:tab w:val="left" w:pos="426" w:leader="none"/>
        </w:tabs>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uruchomieniu agregatóu, </w:t>
      </w:r>
    </w:p>
    <w:p>
      <w:pPr>
        <w:pStyle w:val="ListParagraph"/>
        <w:widowControl/>
        <w:numPr>
          <w:ilvl w:val="0"/>
          <w:numId w:val="37"/>
        </w:numPr>
        <w:tabs>
          <w:tab w:val="clear" w:pos="708"/>
          <w:tab w:val="left" w:pos="426" w:leader="none"/>
        </w:tabs>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przeprowadzeniu szkolenia, </w:t>
      </w:r>
    </w:p>
    <w:p>
      <w:pPr>
        <w:pStyle w:val="ListParagraph"/>
        <w:widowControl/>
        <w:numPr>
          <w:ilvl w:val="0"/>
          <w:numId w:val="37"/>
        </w:numPr>
        <w:tabs>
          <w:tab w:val="clear" w:pos="708"/>
          <w:tab w:val="left" w:pos="426" w:leader="none"/>
        </w:tabs>
        <w:suppressAutoHyphens w:val="false"/>
        <w:spacing w:before="120" w:after="0"/>
        <w:ind w:left="720" w:right="0" w:hanging="294"/>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przekazaniu całej dokumentacji. </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Jeżeli podczas odbioru zostanie stwierdzona niezgodność Przedmiotu umowy, w szczególności z umową, przepisami prawa, ofertą Wykonawcy lub innymi normami, lub zostanie stwierdzona inna usterka lub wada, Zamawiającemu przysługuje prawo do odstąpienia od dalszych czynności odbioru do czasu usunięcia niezgodności. W takim przypadku brak odbioru następuje z przyczyn leżących po stronie Wykonawcy. Termin ponownego odbioru zostanie uzgodniony przez Strony umowy.</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Wykonawca lub jego przedstawiciele przeprowadzą na własny koszt szkolenie z obsługi przedmiotu umowy przedstawicieli Zamawiającego dla przedmiotu umowy w dniu odbioru przedmiotu umowy. Protokół z przeprowadzonego szkolenia wraz z wykazem osób przeszkolonych, zostanie sporządzony w 2 egzemplarzach, po jednym dla każdej ze stron oraz zostanie podpisany przez przedstawicieli stron. Szkolenie z zakresu obsługi podstawowej Przedmiotu zamówienia odbędzie się w ciągu jednego dnia roboczego w terminie i miejscu odbioru końcowego.</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Odpowiedzialność z tytułu utraty lub uszkodzenia Przedmiotu umowy przechodzi z Wykonawcy na Zamawiającego z chwilą podpisania protokołu odbioru oraz fizycznego wydania Przedmiotu umowy.</w:t>
      </w:r>
    </w:p>
    <w:p>
      <w:pPr>
        <w:pStyle w:val="ListParagraph"/>
        <w:widowControl/>
        <w:numPr>
          <w:ilvl w:val="6"/>
          <w:numId w:val="6"/>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Datą wykonania przedmiotu umowy jest data odbioru przedmiotu zamówienia bez wad. </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 9.</w:t>
      </w:r>
    </w:p>
    <w:p>
      <w:pPr>
        <w:pStyle w:val="Normal"/>
        <w:widowControl/>
        <w:tabs>
          <w:tab w:val="clear" w:pos="708"/>
          <w:tab w:val="left" w:pos="426" w:leader="none"/>
        </w:tabs>
        <w:suppressAutoHyphens w:val="false"/>
        <w:spacing w:before="120" w:after="0"/>
        <w:jc w:val="center"/>
        <w:rPr>
          <w:rFonts w:ascii="Times New Roman" w:hAnsi="Times New Roman" w:eastAsia="Times New Roman" w:cs="Calibri"/>
          <w:b/>
          <w:b/>
          <w:bCs/>
          <w:sz w:val="22"/>
          <w:szCs w:val="22"/>
          <w:lang w:eastAsia="pl-PL"/>
        </w:rPr>
      </w:pPr>
      <w:r>
        <w:rPr>
          <w:rFonts w:eastAsia="Times New Roman" w:cs="Calibri"/>
          <w:b/>
          <w:bCs/>
          <w:sz w:val="22"/>
          <w:szCs w:val="22"/>
          <w:lang w:eastAsia="pl-PL"/>
        </w:rPr>
        <w:t>Odstąpienie od Umowy</w:t>
      </w:r>
    </w:p>
    <w:p>
      <w:pPr>
        <w:pStyle w:val="ListParagraph"/>
        <w:widowControl/>
        <w:numPr>
          <w:ilvl w:val="6"/>
          <w:numId w:val="8"/>
        </w:numPr>
        <w:tabs>
          <w:tab w:val="clear" w:pos="708"/>
          <w:tab w:val="left" w:pos="426" w:leader="none"/>
        </w:tabs>
        <w:suppressAutoHyphens w:val="false"/>
        <w:spacing w:before="120" w:after="0"/>
        <w:ind w:left="425" w:right="0" w:hanging="42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Zamawiającemu przysługuje prawo rozwiązania umowy w trybie natychmiastowym bez wypowiedzenia w przypadku, gdy:</w:t>
      </w:r>
    </w:p>
    <w:p>
      <w:pPr>
        <w:pStyle w:val="ListParagraph"/>
        <w:widowControl/>
        <w:numPr>
          <w:ilvl w:val="0"/>
          <w:numId w:val="38"/>
        </w:numPr>
        <w:suppressAutoHyphens w:val="false"/>
        <w:spacing w:before="60" w:after="0"/>
        <w:ind w:left="720" w:right="0" w:hanging="29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wobec Wykonawcy zostanie wszczęte postępowanie egzekucyjne; </w:t>
      </w:r>
    </w:p>
    <w:p>
      <w:pPr>
        <w:pStyle w:val="ListParagraph"/>
        <w:widowControl/>
        <w:numPr>
          <w:ilvl w:val="0"/>
          <w:numId w:val="38"/>
        </w:numPr>
        <w:suppressAutoHyphens w:val="false"/>
        <w:spacing w:before="60" w:after="0"/>
        <w:ind w:left="720" w:right="0" w:hanging="295"/>
        <w:contextualSpacing/>
        <w:jc w:val="both"/>
        <w:rPr>
          <w:rFonts w:ascii="Times New Roman" w:hAnsi="Times New Roman" w:eastAsia="Times New Roman" w:cs="Calibri"/>
          <w:sz w:val="22"/>
          <w:szCs w:val="22"/>
          <w:lang w:eastAsia="pl-PL"/>
        </w:rPr>
      </w:pPr>
      <w:r>
        <w:rPr>
          <w:rFonts w:eastAsia="Times New Roman" w:cs="Calibri"/>
          <w:sz w:val="22"/>
          <w:szCs w:val="22"/>
          <w:lang w:eastAsia="pl-PL"/>
        </w:rPr>
        <w:t xml:space="preserve">Wykonawca rażąco narusza istotne postanowienia niniejszej umowy i nie zaprzestał naruszeń lub nie usunął ich skutków w terminie wyznaczonym przez Zamawiającego w pisemnym wezwaniu; </w:t>
      </w:r>
    </w:p>
    <w:p>
      <w:pPr>
        <w:pStyle w:val="ListParagraph"/>
        <w:widowControl/>
        <w:numPr>
          <w:ilvl w:val="6"/>
          <w:numId w:val="8"/>
        </w:numPr>
        <w:tabs>
          <w:tab w:val="clear" w:pos="708"/>
          <w:tab w:val="left" w:pos="426" w:leader="none"/>
        </w:tabs>
        <w:suppressAutoHyphens w:val="false"/>
        <w:spacing w:before="120" w:after="0"/>
        <w:ind w:left="425" w:right="0" w:hanging="425"/>
        <w:contextualSpacing/>
        <w:jc w:val="both"/>
        <w:rPr/>
      </w:pPr>
      <w:r>
        <w:rPr>
          <w:rFonts w:eastAsia="Times New Roman" w:cs="Calibri"/>
          <w:sz w:val="22"/>
          <w:szCs w:val="22"/>
          <w:lang w:eastAsia="pl-PL"/>
        </w:rPr>
        <w:t>Odstąpienie od Umowy, powinno nastąpić w formie pisemnej pod rygorem nieważności takiego oświadczenia i powinno zawierać uzasadnienie.</w:t>
      </w:r>
      <w:bookmarkStart w:id="6" w:name="_Hlk44991316"/>
    </w:p>
    <w:p>
      <w:pPr>
        <w:pStyle w:val="Normal"/>
        <w:widowControl/>
        <w:tabs>
          <w:tab w:val="clear" w:pos="708"/>
          <w:tab w:val="left" w:pos="426" w:leader="none"/>
        </w:tabs>
        <w:suppressAutoHyphens w:val="false"/>
        <w:jc w:val="both"/>
        <w:rPr>
          <w:rFonts w:ascii="Times New Roman" w:hAnsi="Times New Roman" w:eastAsia="Times New Roman" w:cs="Calibri"/>
          <w:sz w:val="22"/>
          <w:szCs w:val="22"/>
          <w:lang w:eastAsia="pl-PL"/>
        </w:rPr>
      </w:pPr>
      <w:r>
        <w:rPr>
          <w:rFonts w:eastAsia="Times New Roman" w:cs="Calibri"/>
          <w:sz w:val="22"/>
          <w:szCs w:val="22"/>
          <w:lang w:eastAsia="pl-PL"/>
        </w:rPr>
      </w:r>
    </w:p>
    <w:p>
      <w:pPr>
        <w:pStyle w:val="Normal"/>
        <w:widowControl/>
        <w:suppressAutoHyphens w:val="false"/>
        <w:jc w:val="center"/>
        <w:rPr>
          <w:rFonts w:ascii="Times New Roman" w:hAnsi="Times New Roman" w:eastAsia="Calibri" w:cs="Calibri"/>
          <w:b/>
          <w:b/>
          <w:sz w:val="22"/>
          <w:szCs w:val="22"/>
          <w:lang w:eastAsia="en-US"/>
        </w:rPr>
      </w:pPr>
      <w:r>
        <w:rPr>
          <w:rFonts w:eastAsia="Calibri" w:cs="Calibri"/>
          <w:b/>
          <w:sz w:val="22"/>
          <w:szCs w:val="22"/>
          <w:lang w:eastAsia="en-US"/>
        </w:rPr>
        <w:t>§ 10.</w:t>
      </w:r>
    </w:p>
    <w:p>
      <w:pPr>
        <w:pStyle w:val="Normal"/>
        <w:widowControl/>
        <w:suppressAutoHyphens w:val="false"/>
        <w:spacing w:before="120" w:after="0"/>
        <w:jc w:val="center"/>
        <w:rPr>
          <w:rFonts w:ascii="Times New Roman" w:hAnsi="Times New Roman" w:eastAsia="Calibri" w:cs="Calibri"/>
          <w:b/>
          <w:b/>
          <w:sz w:val="22"/>
          <w:szCs w:val="22"/>
          <w:lang w:eastAsia="en-US"/>
        </w:rPr>
      </w:pPr>
      <w:r>
        <w:rPr>
          <w:rFonts w:eastAsia="Calibri" w:cs="Calibri"/>
          <w:b/>
          <w:sz w:val="22"/>
          <w:szCs w:val="22"/>
          <w:lang w:eastAsia="en-US"/>
        </w:rPr>
        <w:t>RODO</w:t>
      </w:r>
    </w:p>
    <w:p>
      <w:pPr>
        <w:pStyle w:val="Tretekstu"/>
        <w:widowControl/>
        <w:numPr>
          <w:ilvl w:val="0"/>
          <w:numId w:val="22"/>
        </w:numPr>
        <w:spacing w:before="6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Wykonawca oświadcza, że wypełnił obowiązek informacyjny względem osób fizycznych skierowanych do realizacji niniejszego zamówienia oraz względem podwykonawców przewidziany w przepisach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 maja 2016 r., zwane dalej „RODO"), tj. że poinformował osoby skierowane do realizacji niniejszego zamówienia, że ich dane osobowe zostaną udostępnione Zamawiającemu w celu związanym z realizacją niniejszej umowy.</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Zamawiający oświadcza, iż realizuje obowiązki Administratora Danych Osobowych określone w RODO oraz wydanymi na jego podstawie krajowymi przepisami z zakresu ochrony danych osobowych.</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Wykonawca zapewnia przestrzeganie zasad przetwarzania i ochrony danych osobowych zgodnie z przepisami RODO oraz wydanymi na jego podstawie krajowymi przepisami z zakresu ochrony danych osobowych.</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Zamawiający w trybie art. 28 RODO powierza Wykonawcy dane osobowe, tj. dane osób wyznaczonych przez Zamawiającego do realizacji niniejszej umowy wskazanych w niniejszej umowie do przetwarzania, na zasadach i w celu określonym w niniejszej Umowie.</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 xml:space="preserve">Wykonawca będzie przetwarzał powierzone na podstawie umowy następujące rodzaje danych osobowych: dane zwykłe: imiona, nazwiska, nr tel., adresy e-mail dotyczące następujących kategorii osób - pracowników Zamawiającego wyłącznie w/w celu realizacji Umowy. </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Wykonawca zobowiązuje się przy przetwarzaniu danych osobowych podczas realizacji niniejszej Umowy do ich zabezpieczenia poprzez stosowanie odpowiednich środków technicznych i organizacyjnych, zapewniających adekwatny stopień bezpieczeństwa, odpowiadający ryzyku związanemu z przetwarzaniem danych osobowych, o którym mowa w art. 32 RODO oraz wydanych na jego podstawie krajowych przepisów z zakresu ochrony danych osobowych.</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Wykonawca zobowiązuje się dołożyć należytej staranności przy przetwarzaniu powierzonych danych osobowych.</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Wykonawca zobowiązuje się do nadania stosownych upoważnień do przetwarzania danych osobowych wszystkim osobom, które będą przetwarzały powierzone dane w celu realizacji niniejszej Umowy oraz będzie prowadził i aktualizował ich rejestr.</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Wykonawca zobowiązuje się do zachowania w tajemnicy, o której mowa w art. 28 ust. 3 lit. b RODO, danych przetwarzanych w zakresie Umowy, a w szczególności nieudostępniania ich innym podmiotom, także w postaci zagregowanych danych statystycznych, zarówno podczas trwania Umowy, jak i po jej ustaniu.</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Wykonawca może powierzyć dane osobowe do dalszego przetwarzania podwykonawcom jedynie w celu wykonania Umowy oraz po uzyskaniu uprzedniej zgody Zamawiającego, w formie pisemnej pod rygorem nieważności.</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Podwykonawca, o którym mowa w ust. 10, winien spełniać te same wymogi i obowiązki, jakie zostały nałożone na Wykonawcę w niniejszej Umowie, w szczególności w zakresie gwarancji ochrony powierzonych danych osobowych.</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Wykonawca ponosi wobec Zamawiającego pełną odpowiedzialność za niewywiązywanie się przez podwykonawcę ze spoczywających na nim obowiązków ochrony danych.</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Przekazanie powierzonych danych do państwa trzeciego może nastąpić jedynie na pisemne polecenie Zamawiającego, chyba, że obowiązek taki nakłada na Wykonawcę prawo Unii lub prawo państwa członkowskiego, któremu podlega Wykonawca. W takim przypadku przed rozpoczęciem przetwarzania Wykonawca informuje Zamawiającego o tym obowiązku prawnym, o ile prawo to nie zabrania udzielania takiej informacji z uwagi na ważny interes publiczny.</w:t>
      </w:r>
    </w:p>
    <w:p>
      <w:pPr>
        <w:pStyle w:val="Tretekstu"/>
        <w:widowControl/>
        <w:numPr>
          <w:ilvl w:val="0"/>
          <w:numId w:val="22"/>
        </w:numPr>
        <w:spacing w:before="60" w:after="0"/>
        <w:ind w:left="426" w:right="0" w:hanging="426"/>
        <w:jc w:val="both"/>
        <w:rPr>
          <w:rFonts w:ascii="Times New Roman" w:hAnsi="Times New Roman"/>
          <w:sz w:val="22"/>
          <w:szCs w:val="22"/>
        </w:rPr>
      </w:pPr>
      <w:r>
        <w:rPr>
          <w:rFonts w:eastAsia="Calibri" w:cs="Calibri"/>
          <w:sz w:val="22"/>
          <w:szCs w:val="22"/>
        </w:rPr>
        <w:t xml:space="preserve">Wykonawca ponosi odpowiedzialność za przetwarzanie danych osobowych niezgodnie z treścią Umowy, RODO lub </w:t>
      </w:r>
      <w:r>
        <w:rPr>
          <w:rFonts w:cs="Calibri"/>
          <w:sz w:val="22"/>
          <w:szCs w:val="22"/>
        </w:rPr>
        <w:t>wydanymi na jego podstawie krajowymi przepisami z zakresu ochrony danych osobowych</w:t>
      </w:r>
      <w:r>
        <w:rPr>
          <w:rFonts w:eastAsia="Calibri" w:cs="Calibri"/>
          <w:sz w:val="22"/>
          <w:szCs w:val="22"/>
        </w:rPr>
        <w:t xml:space="preserve">, a w szczególności za udostępnienie powierzonych do przetwarzania danych osobowych osobom nieupoważnionym. </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 xml:space="preserve">Zamawiający zobowiązuje Wykonawcę do natychmiastowego, tj. bez zbędnej zwłoki, nie później jednak niż w ciągu 24 godzin, powiadomienia Zamawiającego o próbie lub fakcie naruszenia poufności danych osobowych przetwarzanych w wyniku realizacji Umowy. Zawiadomienie to powinno być dokonane w formie pisemnej lub mailowej. </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 xml:space="preserve">Wykonawca na pisemne żądanie Administratora Danych Osobowych, umożliwi Zamawiającemu przeprowadzenie kontroli procesu przetwarzania i ochrony danych osobowych. Wykonawca zobowiązuje się, pod rygorem niezwłocznego rozwiązania Umowy, do usunięcia uchybień stwierdzonych podczas kontroli w terminie wskazanym przez Zamawiającego. </w:t>
      </w:r>
    </w:p>
    <w:p>
      <w:pPr>
        <w:pStyle w:val="Tretekstu"/>
        <w:widowControl/>
        <w:numPr>
          <w:ilvl w:val="0"/>
          <w:numId w:val="22"/>
        </w:numPr>
        <w:spacing w:before="60" w:after="0"/>
        <w:ind w:left="426" w:right="0" w:hanging="426"/>
        <w:jc w:val="both"/>
        <w:rPr>
          <w:rFonts w:ascii="Times New Roman" w:hAnsi="Times New Roman" w:eastAsia="Calibri" w:cs="Calibri"/>
          <w:sz w:val="22"/>
          <w:szCs w:val="22"/>
        </w:rPr>
      </w:pPr>
      <w:r>
        <w:rPr>
          <w:rFonts w:eastAsia="Calibri" w:cs="Calibri"/>
          <w:sz w:val="22"/>
          <w:szCs w:val="22"/>
        </w:rPr>
        <w:t xml:space="preserve">Wykonawca po zakończeniu Umowy usunie wszelkie dane osobowe uzyskane na podstawie regulacji Umowy oraz wszelkie ich istniejące kopie w ciągu 7 dni. Po wykonaniu zobowiązania, o którym mowa w zdaniu poprzedzającym Wykonawca powiadomi Zamawiającego pisemne o fakcie usunięcia danych.  </w:t>
      </w:r>
    </w:p>
    <w:p>
      <w:pPr>
        <w:pStyle w:val="Tretekstu"/>
        <w:widowControl/>
        <w:numPr>
          <w:ilvl w:val="0"/>
          <w:numId w:val="22"/>
        </w:numPr>
        <w:spacing w:before="60" w:after="0"/>
        <w:ind w:left="426" w:right="0" w:hanging="426"/>
        <w:jc w:val="both"/>
        <w:rPr>
          <w:rFonts w:ascii="Times New Roman" w:hAnsi="Times New Roman" w:cs="Calibri"/>
          <w:sz w:val="22"/>
          <w:szCs w:val="22"/>
        </w:rPr>
      </w:pPr>
      <w:r>
        <w:rPr>
          <w:rFonts w:cs="Calibri"/>
          <w:sz w:val="22"/>
          <w:szCs w:val="22"/>
        </w:rPr>
        <w:t>Zamawiający zastrzega sobie możliwość rozwiązania umowy w przypadku stwierdzenia naruszenia przez Wykonawcę warunków bezpieczeństwa i ochrony danych osobowych.</w:t>
      </w:r>
    </w:p>
    <w:p>
      <w:pPr>
        <w:pStyle w:val="Normal"/>
        <w:widowControl/>
        <w:suppressAutoHyphens w:val="false"/>
        <w:spacing w:before="60" w:after="0"/>
        <w:jc w:val="center"/>
        <w:rPr>
          <w:rFonts w:ascii="Times New Roman" w:hAnsi="Times New Roman" w:eastAsia="Calibri" w:cs="Calibri"/>
          <w:b/>
          <w:b/>
          <w:sz w:val="22"/>
          <w:szCs w:val="22"/>
          <w:lang w:eastAsia="en-US"/>
        </w:rPr>
      </w:pPr>
      <w:bookmarkEnd w:id="6"/>
      <w:r>
        <w:rPr>
          <w:rFonts w:eastAsia="Calibri" w:cs="Calibri"/>
          <w:b/>
          <w:sz w:val="22"/>
          <w:szCs w:val="22"/>
          <w:lang w:eastAsia="en-US"/>
        </w:rPr>
        <w:t>§ 11.</w:t>
      </w:r>
    </w:p>
    <w:p>
      <w:pPr>
        <w:pStyle w:val="Normal"/>
        <w:widowControl/>
        <w:suppressAutoHyphens w:val="false"/>
        <w:spacing w:before="120" w:after="0"/>
        <w:jc w:val="center"/>
        <w:rPr>
          <w:rFonts w:ascii="Times New Roman" w:hAnsi="Times New Roman" w:eastAsia="Calibri" w:cs="Calibri"/>
          <w:b/>
          <w:b/>
          <w:sz w:val="22"/>
          <w:szCs w:val="22"/>
          <w:lang w:eastAsia="en-US"/>
        </w:rPr>
      </w:pPr>
      <w:r>
        <w:rPr>
          <w:rFonts w:eastAsia="Calibri" w:cs="Calibri"/>
          <w:b/>
          <w:sz w:val="22"/>
          <w:szCs w:val="22"/>
          <w:lang w:eastAsia="en-US"/>
        </w:rPr>
        <w:t>Postanowienia końcowe</w:t>
      </w:r>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Wykonawca zobowiązuje się do powiadamiania Zamawiającego w terminie 14 dni o każdej zmianie adresu, nazwy oraz wszelkich zmianach związanych z jego statusem prawnym. Powyższe nie wymaga formy pisemnego aneksu.</w:t>
      </w:r>
    </w:p>
    <w:p>
      <w:pPr>
        <w:pStyle w:val="Normal"/>
        <w:widowControl/>
        <w:numPr>
          <w:ilvl w:val="0"/>
          <w:numId w:val="18"/>
        </w:numPr>
        <w:suppressAutoHyphens w:val="false"/>
        <w:spacing w:before="120" w:after="0"/>
        <w:ind w:left="426" w:right="0" w:hanging="426"/>
        <w:jc w:val="both"/>
        <w:rPr>
          <w:rFonts w:ascii="Times New Roman" w:hAnsi="Times New Roman" w:eastAsia="Times New Roman" w:cs="Calibri"/>
          <w:sz w:val="22"/>
          <w:szCs w:val="22"/>
          <w:lang w:eastAsia="pl-PL"/>
        </w:rPr>
      </w:pPr>
      <w:r>
        <w:rPr>
          <w:rFonts w:eastAsia="Times New Roman" w:cs="Calibri"/>
          <w:sz w:val="22"/>
          <w:szCs w:val="22"/>
          <w:lang w:eastAsia="pl-PL"/>
        </w:rPr>
        <w:t>Zamawiający zastrzega sobie, że pisma kierowane do Wykonawcy na ostatni znany mu adres uważa się za skutecznie doręczone z dniem powtórnego zawiadomienia o możliwości odbioru pisma, albo zwrotu przez pocztę z adnotacją o nieskuteczności doręczenia.</w:t>
      </w:r>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Wykonawca nie może dokonać cesji wierzytelności, przejęcia długu oraz innych praw i obowiązków wynikających z umowy, ani regulować ich w drodze kompensaty bez uprzedniej pisemnej zgody Zamawiającego.</w:t>
      </w:r>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Ewentualne spory wynikające z niniejszej umowy lub mogące powstać na tle realizacji przedmiotu niniejszej umowy, będą rozstrzygane przez sąd powszechny właściwy miejscowo według siedziby Zamawiającego.</w:t>
      </w:r>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W sprawach nieuregulowanych niniejszą umową mają zastosowanie przepisy Kodeksu cywilnego, przepisy ustawy prawo zamówień publicznych oraz inne przepisy powszechnie obowiązujące w danym zakresie.</w:t>
      </w:r>
      <w:bookmarkStart w:id="7" w:name="_Hlk166236510"/>
      <w:bookmarkEnd w:id="7"/>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Wszelkie zmiany niniejszej umowy wymagają formy pisemnego aneksu pod rygorem nieważności, chyba że w umowie wyraźnie zastrzeżono inaczej.</w:t>
      </w:r>
    </w:p>
    <w:p>
      <w:pPr>
        <w:pStyle w:val="Normal"/>
        <w:widowControl/>
        <w:numPr>
          <w:ilvl w:val="0"/>
          <w:numId w:val="18"/>
        </w:numPr>
        <w:suppressAutoHyphens w:val="false"/>
        <w:spacing w:before="120" w:after="0"/>
        <w:ind w:left="426" w:right="0" w:hanging="426"/>
        <w:jc w:val="both"/>
        <w:rPr>
          <w:rFonts w:ascii="Times New Roman" w:hAnsi="Times New Roman" w:eastAsia="Calibri" w:cs="Calibri"/>
          <w:sz w:val="22"/>
          <w:szCs w:val="22"/>
          <w:lang w:eastAsia="en-US"/>
        </w:rPr>
      </w:pPr>
      <w:r>
        <w:rPr>
          <w:rFonts w:eastAsia="Calibri" w:cs="Calibri"/>
          <w:sz w:val="22"/>
          <w:szCs w:val="22"/>
          <w:lang w:eastAsia="en-US"/>
        </w:rPr>
        <w:t xml:space="preserve">Umowę sporządzono w dwóch jednobrzmiących egzemplarzach, każdy na prawach oryginału, </w:t>
        <w:br/>
        <w:t>po jednej dla każdej ze Stron (zapis dla umowy podpisanej w wersji papierowej) lub</w:t>
      </w:r>
    </w:p>
    <w:p>
      <w:pPr>
        <w:pStyle w:val="Normal"/>
        <w:widowControl/>
        <w:suppressAutoHyphens w:val="false"/>
        <w:spacing w:before="120" w:after="0"/>
        <w:ind w:left="426" w:right="0" w:hanging="0"/>
        <w:jc w:val="both"/>
        <w:rPr>
          <w:rFonts w:ascii="Times New Roman" w:hAnsi="Times New Roman" w:eastAsia="Calibri" w:cs="Calibri"/>
          <w:sz w:val="22"/>
          <w:szCs w:val="22"/>
          <w:lang w:eastAsia="en-US"/>
        </w:rPr>
      </w:pPr>
      <w:r>
        <w:rPr>
          <w:rFonts w:eastAsia="Calibri" w:cs="Calibri"/>
          <w:sz w:val="22"/>
          <w:szCs w:val="22"/>
          <w:lang w:eastAsia="en-US"/>
        </w:rPr>
        <w:t>Umowa została zawarta w formie elektronicznej, zgodnie z art. 78¹ § 1 Kodeksu cywilnego, opatrzonej kwalifikowanym podpisem elektronicznym przez przedstawicieli obu Stron. Umowa została zawarta z chwilą złożenia ostatniego z podpisów elektronicznych przez przedstawiciela Strony stosownie do wskazania znacznika czasu ujawnionego w szczegółach dokumentu zawartego w formie elektronicznej (zapis dla umowy podpisanej w wersji elektronicznej).</w:t>
      </w:r>
    </w:p>
    <w:tbl>
      <w:tblPr>
        <w:tblW w:w="10490" w:type="dxa"/>
        <w:jc w:val="left"/>
        <w:tblInd w:w="-714" w:type="dxa"/>
        <w:tblCellMar>
          <w:top w:w="0" w:type="dxa"/>
          <w:left w:w="108" w:type="dxa"/>
          <w:bottom w:w="0" w:type="dxa"/>
          <w:right w:w="108" w:type="dxa"/>
        </w:tblCellMar>
      </w:tblPr>
      <w:tblGrid>
        <w:gridCol w:w="5241"/>
        <w:gridCol w:w="5248"/>
      </w:tblGrid>
      <w:tr>
        <w:trPr>
          <w:trHeight w:val="1572" w:hRule="atLeast"/>
        </w:trPr>
        <w:tc>
          <w:tcPr>
            <w:tcW w:w="5241" w:type="dxa"/>
            <w:tcBorders/>
            <w:shd w:fill="auto" w:val="clear"/>
            <w:vAlign w:val="bottom"/>
          </w:tcPr>
          <w:p>
            <w:pPr>
              <w:pStyle w:val="Normal"/>
              <w:widowControl/>
              <w:jc w:val="center"/>
              <w:rPr>
                <w:rFonts w:ascii="Times New Roman" w:hAnsi="Times New Roman" w:eastAsia="Times New Roman" w:cs="Calibri"/>
                <w:sz w:val="22"/>
                <w:szCs w:val="22"/>
                <w:lang w:eastAsia="pl-PL"/>
              </w:rPr>
            </w:pPr>
            <w:r>
              <w:rPr>
                <w:rFonts w:eastAsia="Times New Roman" w:cs="Calibri"/>
                <w:sz w:val="22"/>
                <w:szCs w:val="22"/>
                <w:lang w:eastAsia="pl-PL"/>
              </w:rPr>
              <w:t>..........................................</w:t>
            </w:r>
          </w:p>
          <w:p>
            <w:pPr>
              <w:pStyle w:val="Normal"/>
              <w:widowControl/>
              <w:jc w:val="center"/>
              <w:rPr>
                <w:rFonts w:ascii="Times New Roman" w:hAnsi="Times New Roman" w:eastAsia="Times New Roman" w:cs="Calibri"/>
                <w:b/>
                <w:b/>
                <w:sz w:val="22"/>
                <w:szCs w:val="22"/>
                <w:lang w:eastAsia="pl-PL"/>
              </w:rPr>
            </w:pPr>
            <w:r>
              <w:rPr>
                <w:rFonts w:eastAsia="Times New Roman" w:cs="Calibri"/>
                <w:b/>
                <w:sz w:val="22"/>
                <w:szCs w:val="22"/>
                <w:lang w:eastAsia="pl-PL"/>
              </w:rPr>
              <w:t>Podpisy w imieniu Zamawiającego</w:t>
            </w:r>
          </w:p>
        </w:tc>
        <w:tc>
          <w:tcPr>
            <w:tcW w:w="5248" w:type="dxa"/>
            <w:tcBorders/>
            <w:shd w:fill="auto" w:val="clear"/>
            <w:vAlign w:val="bottom"/>
          </w:tcPr>
          <w:p>
            <w:pPr>
              <w:pStyle w:val="Normal"/>
              <w:widowControl/>
              <w:jc w:val="center"/>
              <w:rPr>
                <w:rFonts w:ascii="Times New Roman" w:hAnsi="Times New Roman" w:eastAsia="Times New Roman" w:cs="Calibri"/>
                <w:sz w:val="22"/>
                <w:szCs w:val="22"/>
                <w:lang w:eastAsia="pl-PL"/>
              </w:rPr>
            </w:pPr>
            <w:r>
              <w:rPr>
                <w:rFonts w:eastAsia="Times New Roman" w:cs="Calibri"/>
                <w:sz w:val="22"/>
                <w:szCs w:val="22"/>
                <w:lang w:eastAsia="pl-PL"/>
              </w:rPr>
              <w:t>..........................................</w:t>
            </w:r>
          </w:p>
          <w:p>
            <w:pPr>
              <w:pStyle w:val="Normal"/>
              <w:widowControl/>
              <w:jc w:val="center"/>
              <w:rPr>
                <w:rFonts w:ascii="Times New Roman" w:hAnsi="Times New Roman" w:eastAsia="Times New Roman" w:cs="Calibri"/>
                <w:b/>
                <w:b/>
                <w:sz w:val="22"/>
                <w:szCs w:val="22"/>
                <w:lang w:eastAsia="pl-PL"/>
              </w:rPr>
            </w:pPr>
            <w:r>
              <w:rPr>
                <w:rFonts w:eastAsia="Times New Roman" w:cs="Calibri"/>
                <w:b/>
                <w:sz w:val="22"/>
                <w:szCs w:val="22"/>
                <w:lang w:eastAsia="pl-PL"/>
              </w:rPr>
              <w:t>Podpisy w imieniu Wykonawcy</w:t>
            </w:r>
            <w:bookmarkStart w:id="8" w:name="_Hlk169783475"/>
            <w:bookmarkEnd w:id="8"/>
          </w:p>
        </w:tc>
      </w:tr>
    </w:tbl>
    <w:p>
      <w:pPr>
        <w:pStyle w:val="Normal"/>
        <w:widowControl/>
        <w:rPr>
          <w:rFonts w:ascii="Times New Roman" w:hAnsi="Times New Roman" w:eastAsia="Calibri" w:cs="Calibri"/>
          <w:sz w:val="22"/>
          <w:szCs w:val="22"/>
          <w:lang w:eastAsia="en-US"/>
        </w:rPr>
      </w:pPr>
      <w:r>
        <w:rPr>
          <w:rFonts w:eastAsia="Calibri" w:cs="Calibri"/>
          <w:sz w:val="22"/>
          <w:szCs w:val="22"/>
          <w:lang w:eastAsia="en-US"/>
        </w:rPr>
      </w:r>
    </w:p>
    <w:p>
      <w:pPr>
        <w:pStyle w:val="Normal"/>
        <w:widowControl/>
        <w:jc w:val="center"/>
        <w:rPr>
          <w:rFonts w:ascii="Times New Roman" w:hAnsi="Times New Roman" w:eastAsia="Times New Roman" w:cs="Calibri"/>
          <w:b/>
          <w:b/>
          <w:bCs/>
          <w:sz w:val="18"/>
          <w:szCs w:val="18"/>
          <w:lang w:eastAsia="pl-PL"/>
        </w:rPr>
      </w:pPr>
      <w:r>
        <w:rPr>
          <w:rFonts w:eastAsia="Times New Roman" w:cs="Calibri"/>
          <w:b/>
          <w:bCs/>
          <w:sz w:val="18"/>
          <w:szCs w:val="18"/>
          <w:lang w:eastAsia="pl-PL"/>
        </w:rPr>
        <w:t>INFORMACJA O OBOWIĄZYWANIU PROCEDURY ZGŁOSZEŃ WEWNĘTRZNYCH</w:t>
      </w:r>
    </w:p>
    <w:p>
      <w:pPr>
        <w:pStyle w:val="Normal"/>
        <w:widowControl/>
        <w:tabs>
          <w:tab w:val="clear" w:pos="708"/>
          <w:tab w:val="left" w:pos="284"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pacing w:lineRule="auto" w:line="240" w:before="0" w:after="0"/>
        <w:ind w:left="0" w:right="0" w:hanging="0"/>
        <w:jc w:val="both"/>
        <w:rPr/>
      </w:pPr>
      <w:r>
        <w:rPr>
          <w:rStyle w:val="Domylnaczcionkaakapitu"/>
          <w:rFonts w:eastAsia="Calibri" w:cs="Calibri"/>
          <w:b w:val="false"/>
          <w:bCs w:val="false"/>
          <w:i w:val="false"/>
          <w:caps w:val="false"/>
          <w:smallCaps w:val="false"/>
          <w:spacing w:val="0"/>
          <w:sz w:val="18"/>
          <w:szCs w:val="18"/>
          <w:u w:val="single"/>
          <w:lang w:eastAsia="en-US"/>
        </w:rPr>
        <w:t>Informujemy, że na podstawie art. 24 ust. 1 ustawy z dnia 14 czerwca 2024 r. o ochronie  sygnalistów (Dz. U. poz. 928) (Dalej jako: Ustawa) w Domu Pomocy Społecznej w Obrytem obowiązuje Procedura dokonywania zgłoszeń naruszeń prawa i podejmowania działań następczych w Domu Pomocy Społecznej w Obrytem, wprowadzona Zarządzeniem nr 19/2024 Dyrektora Domu Pomocy Społecznej w Obrytem z dnia 24 września 2024 r. W związku z Procedurą, mają Państwo prawo zgłoszenia naruszenia prawa polegającego na działaniu lub zaniechaniu niezgodnym z prawem lub mającym na celu obejście prawa, we wszystkich dziedzinach wskazanych w art. 3 ust. 1 Ustawy.  Informujemy, że Państwa dane osobowe przekazane w związku ze zgłoszeniem sygnalistycznym nie podlegają ujawnieniu nieupoważnionym osobom, chyba że ujawnienie takie następuje za wyraźną zgodą sygnalisty, bądź ich ujawnienie jest koniecznym i proporcjonalnym obowiązkiem wynikającym z przepisów prawa. Procedura dokonywania zgłoszeń naruszeń prawa i podejmowania działań następczych w Domu Pomocy Społecznej w Obrytem wraz z informacją o przetwarzaniu danych  osobowych stanowiącą załącznik do niniejszej Procedury dostępna jest w siedzibie Domu – 07-215 Obryte 188.</w:t>
      </w:r>
    </w:p>
    <w:sectPr>
      <w:headerReference w:type="default" r:id="rId43"/>
      <w:footerReference w:type="default" r:id="rId44"/>
      <w:type w:val="nextPage"/>
      <w:pgSz w:w="11906" w:h="16838"/>
      <w:pgMar w:left="1417" w:right="1417" w:header="708" w:top="1417" w:footer="708"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Tahoma">
    <w:charset w:val="ee"/>
    <w:family w:val="roman"/>
    <w:pitch w:val="variable"/>
  </w:font>
  <w:font w:name="Symbol">
    <w:charset w:val="ee"/>
    <w:family w:val="roman"/>
    <w:pitch w:val="variable"/>
  </w:font>
  <w:font w:name="Wingdings">
    <w:charset w:val="ee"/>
    <w:family w:val="roman"/>
    <w:pitch w:val="variable"/>
  </w:font>
  <w:font w:name="Courier New">
    <w:charset w:val="ee"/>
    <w:family w:val="roman"/>
    <w:pitch w:val="variable"/>
  </w:font>
  <w:font w:name="StarSymbol">
    <w:altName w:val="Arial Unicode MS"/>
    <w:charset w:val="ee"/>
    <w:family w:val="roman"/>
    <w:pitch w:val="variable"/>
  </w:font>
  <w:font w:name="Liberation Sans">
    <w:altName w:val="Arial"/>
    <w:charset w:val="ee"/>
    <w:family w:val="roman"/>
    <w:pitch w:val="variable"/>
  </w:font>
  <w:font w:name="Arial">
    <w:charset w:val="ee"/>
    <w:family w:val="roman"/>
    <w:pitch w:val="variable"/>
  </w:font>
  <w:font w:name="Consolas">
    <w:charset w:val="ee"/>
    <w:family w:val="roman"/>
    <w:pitch w:val="variable"/>
  </w:font>
  <w:font w:name="Times New Roman">
    <w:charset w:val="01"/>
    <w:family w:val="roman"/>
    <w:pitch w:val="variable"/>
  </w:font>
  <w:font w:name="Roboto">
    <w:altName w:val="Helvetica Neue"/>
    <w:charset w:val="ee"/>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rFonts w:ascii="Calibri" w:hAnsi="Calibri" w:cs="Calibri"/>
        <w:sz w:val="17"/>
        <w:szCs w:val="17"/>
      </w:rPr>
    </w:pPr>
    <w:r>
      <mc:AlternateContent>
        <mc:Choice Requires="wps">
          <w:drawing>
            <wp:anchor behindDoc="1" distT="0" distB="0" distL="114300" distR="114300" simplePos="0" locked="0" layoutInCell="1" allowOverlap="1" relativeHeight="99">
              <wp:simplePos x="0" y="0"/>
              <wp:positionH relativeFrom="column">
                <wp:posOffset>14605</wp:posOffset>
              </wp:positionH>
              <wp:positionV relativeFrom="paragraph">
                <wp:posOffset>-94615</wp:posOffset>
              </wp:positionV>
              <wp:extent cx="5925820" cy="19685"/>
              <wp:effectExtent l="0" t="0" r="0" b="0"/>
              <wp:wrapSquare wrapText="bothSides"/>
              <wp:docPr id="6" name="Prostokąt 38"/>
              <a:graphic xmlns:a="http://schemas.openxmlformats.org/drawingml/2006/main">
                <a:graphicData uri="http://schemas.microsoft.com/office/word/2010/wordprocessingShape">
                  <wps:wsp>
                    <wps:cNvSpPr/>
                    <wps:spPr>
                      <a:xfrm>
                        <a:off x="0" y="0"/>
                        <a:ext cx="5925240" cy="19080"/>
                      </a:xfrm>
                      <a:prstGeom prst="rect">
                        <a:avLst/>
                      </a:prstGeom>
                      <a:solidFill>
                        <a:srgbClr val="000000"/>
                      </a:solidFill>
                      <a:ln w="12600">
                        <a:noFill/>
                      </a:ln>
                    </wps:spPr>
                    <wps:style>
                      <a:lnRef idx="0"/>
                      <a:fillRef idx="0"/>
                      <a:effectRef idx="0"/>
                      <a:fontRef idx="minor"/>
                    </wps:style>
                    <wps:txbx>
                      <w:txbxContent>
                        <w:p>
                          <w:pPr>
                            <w:pStyle w:val="Zawartoramki"/>
                            <w:spacing w:before="0" w:after="120"/>
                            <w:jc w:val="center"/>
                            <w:rPr/>
                          </w:pPr>
                          <w:r>
                            <w:rPr>
                              <w:color w:val="FFFFFF"/>
                            </w:rPr>
                            <w:t xml:space="preserve"> </w:t>
                          </w:r>
                          <w:r>
                            <w:rPr>
                              <w:color w:val="FFFFFF"/>
                            </w:rPr>
                            <w:t>O </w:t>
                          </w:r>
                        </w:p>
                      </w:txbxContent>
                    </wps:txbx>
                    <wps:bodyPr anchor="ctr">
                      <a:noAutofit/>
                    </wps:bodyPr>
                  </wps:wsp>
                </a:graphicData>
              </a:graphic>
            </wp:anchor>
          </w:drawing>
        </mc:Choice>
        <mc:Fallback>
          <w:pict>
            <v:rect id="shape_0" ID="Prostokąt 38" fillcolor="black" stroked="f" style="position:absolute;margin-left:1.15pt;margin-top:-7.45pt;width:466.5pt;height:1.45pt">
              <w10:wrap type="square"/>
              <v:fill o:detectmouseclick="t" type="solid" color2="white"/>
              <v:stroke color="#3465a4" weight="12600" joinstyle="round" endcap="flat"/>
              <v:textbox>
                <w:txbxContent>
                  <w:p>
                    <w:pPr>
                      <w:pStyle w:val="Zawartoramki"/>
                      <w:spacing w:before="0" w:after="120"/>
                      <w:jc w:val="center"/>
                      <w:rPr/>
                    </w:pPr>
                    <w:r>
                      <w:rPr>
                        <w:color w:val="FFFFFF"/>
                      </w:rPr>
                      <w:t xml:space="preserve"> </w:t>
                    </w:r>
                    <w:r>
                      <w:rPr>
                        <w:color w:val="FFFFFF"/>
                      </w:rPr>
                      <w:t>O </w:t>
                    </w:r>
                  </w:p>
                </w:txbxContent>
              </v:textbox>
            </v:rect>
          </w:pict>
        </mc:Fallback>
      </mc:AlternateContent>
    </w:r>
    <w:r>
      <w:rPr>
        <w:rFonts w:cs="Calibri" w:ascii="Calibri" w:hAnsi="Calibri"/>
        <w:sz w:val="17"/>
        <w:szCs w:val="17"/>
      </w:rPr>
      <w:t>Zadanie dofinansowane ze środków budżetu państwa w ramach Programu Ochrony Ludności i Obrony Cywilnej na lata 2025-2026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jc w:val="center"/>
      <w:rPr/>
    </w:pPr>
    <w:r>
      <w:rPr/>
      <w:drawing>
        <wp:anchor behindDoc="1" distT="0" distB="0" distL="0" distR="0" simplePos="0" locked="0" layoutInCell="1" allowOverlap="1" relativeHeight="50">
          <wp:simplePos x="0" y="0"/>
          <wp:positionH relativeFrom="margin">
            <wp:posOffset>1771650</wp:posOffset>
          </wp:positionH>
          <wp:positionV relativeFrom="paragraph">
            <wp:posOffset>-67310</wp:posOffset>
          </wp:positionV>
          <wp:extent cx="2051685" cy="501015"/>
          <wp:effectExtent l="0" t="0" r="0" b="0"/>
          <wp:wrapNone/>
          <wp:docPr id="3"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
                  <pic:cNvPicPr>
                    <a:picLocks noChangeAspect="1" noChangeArrowheads="1"/>
                  </pic:cNvPicPr>
                </pic:nvPicPr>
                <pic:blipFill>
                  <a:blip r:embed="rId1"/>
                  <a:stretch>
                    <a:fillRect/>
                  </a:stretch>
                </pic:blipFill>
                <pic:spPr bwMode="auto">
                  <a:xfrm>
                    <a:off x="0" y="0"/>
                    <a:ext cx="2051685" cy="501015"/>
                  </a:xfrm>
                  <a:prstGeom prst="rect">
                    <a:avLst/>
                  </a:prstGeom>
                </pic:spPr>
              </pic:pic>
            </a:graphicData>
          </a:graphic>
        </wp:anchor>
      </w:drawing>
    </w:r>
  </w:p>
  <w:p>
    <w:pPr>
      <w:pStyle w:val="Gwka"/>
      <w:rPr/>
    </w:pPr>
    <w:r>
      <w:rPr/>
      <mc:AlternateContent>
        <mc:Choice Requires="wps">
          <w:drawing>
            <wp:anchor behindDoc="1" distT="0" distB="3810" distL="0" distR="0" simplePos="0" locked="0" layoutInCell="1" allowOverlap="1" relativeHeight="148">
              <wp:simplePos x="0" y="0"/>
              <wp:positionH relativeFrom="column">
                <wp:posOffset>5760720</wp:posOffset>
              </wp:positionH>
              <wp:positionV relativeFrom="paragraph">
                <wp:posOffset>9347200</wp:posOffset>
              </wp:positionV>
              <wp:extent cx="458470" cy="321310"/>
              <wp:effectExtent l="0" t="0" r="0" b="0"/>
              <wp:wrapSquare wrapText="bothSides"/>
              <wp:docPr id="4" name="Prostokąt 45"/>
              <a:graphic xmlns:a="http://schemas.openxmlformats.org/drawingml/2006/main">
                <a:graphicData uri="http://schemas.microsoft.com/office/word/2010/wordprocessingShape">
                  <wps:wsp>
                    <wps:cNvSpPr/>
                    <wps:spPr>
                      <a:xfrm>
                        <a:off x="0" y="0"/>
                        <a:ext cx="457920" cy="320760"/>
                      </a:xfrm>
                      <a:prstGeom prst="rect">
                        <a:avLst/>
                      </a:prstGeom>
                      <a:solidFill>
                        <a:srgbClr val="000000"/>
                      </a:solidFill>
                      <a:ln w="38160">
                        <a:noFill/>
                      </a:ln>
                    </wps:spPr>
                    <wps:style>
                      <a:lnRef idx="0"/>
                      <a:fillRef idx="0"/>
                      <a:effectRef idx="0"/>
                      <a:fontRef idx="minor"/>
                    </wps:style>
                    <wps:txbx>
                      <w:txbxContent>
                        <w:p>
                          <w:pPr>
                            <w:pStyle w:val="Zawartoramki"/>
                            <w:spacing w:before="0" w:after="120"/>
                            <w:jc w:val="right"/>
                            <w:rPr>
                              <w:color w:val="000000"/>
                            </w:rPr>
                          </w:pPr>
                          <w:r>
                            <w:rPr>
                              <w:rFonts w:cs="Calibri" w:ascii="Calibri" w:hAnsi="Calibri"/>
                              <w:color w:val="000000"/>
                              <w:sz w:val="22"/>
                              <w:szCs w:val="22"/>
                            </w:rPr>
                            <w:fldChar w:fldCharType="begin"/>
                          </w:r>
                          <w:r>
                            <w:rPr>
                              <w:sz w:val="22"/>
                              <w:szCs w:val="22"/>
                              <w:rFonts w:cs="Calibri" w:ascii="Calibri" w:hAnsi="Calibri"/>
                            </w:rPr>
                            <w:instrText> PAGE </w:instrText>
                          </w:r>
                          <w:r>
                            <w:rPr>
                              <w:sz w:val="22"/>
                              <w:szCs w:val="22"/>
                              <w:rFonts w:cs="Calibri" w:ascii="Calibri" w:hAnsi="Calibri"/>
                            </w:rPr>
                            <w:fldChar w:fldCharType="separate"/>
                          </w:r>
                          <w:r>
                            <w:rPr>
                              <w:sz w:val="22"/>
                              <w:szCs w:val="22"/>
                              <w:rFonts w:cs="Calibri" w:ascii="Calibri" w:hAnsi="Calibri"/>
                            </w:rPr>
                            <w:t>49</w:t>
                          </w:r>
                          <w:r>
                            <w:rPr>
                              <w:sz w:val="22"/>
                              <w:szCs w:val="22"/>
                              <w:rFonts w:cs="Calibri" w:ascii="Calibri" w:hAnsi="Calibri"/>
                            </w:rPr>
                            <w:fldChar w:fldCharType="end"/>
                          </w:r>
                        </w:p>
                      </w:txbxContent>
                    </wps:txbx>
                    <wps:bodyPr anchor="b">
                      <a:noAutofit/>
                    </wps:bodyPr>
                  </wps:wsp>
                </a:graphicData>
              </a:graphic>
            </wp:anchor>
          </w:drawing>
        </mc:Choice>
        <mc:Fallback>
          <w:pict>
            <v:rect id="shape_0" ID="Prostokąt 45" fillcolor="black" stroked="f" style="position:absolute;margin-left:453.6pt;margin-top:736pt;width:36pt;height:25.2pt">
              <w10:wrap type="square"/>
              <v:fill o:detectmouseclick="t" type="solid" color2="white"/>
              <v:stroke color="#3465a4" weight="38160" joinstyle="round" endcap="flat"/>
              <v:textbox>
                <w:txbxContent>
                  <w:p>
                    <w:pPr>
                      <w:pStyle w:val="Zawartoramki"/>
                      <w:spacing w:before="0" w:after="120"/>
                      <w:jc w:val="right"/>
                      <w:rPr>
                        <w:color w:val="000000"/>
                      </w:rPr>
                    </w:pPr>
                    <w:r>
                      <w:rPr>
                        <w:rFonts w:cs="Calibri" w:ascii="Calibri" w:hAnsi="Calibri"/>
                        <w:color w:val="000000"/>
                        <w:sz w:val="22"/>
                        <w:szCs w:val="22"/>
                      </w:rPr>
                      <w:fldChar w:fldCharType="begin"/>
                    </w:r>
                    <w:r>
                      <w:rPr>
                        <w:sz w:val="22"/>
                        <w:szCs w:val="22"/>
                        <w:rFonts w:cs="Calibri" w:ascii="Calibri" w:hAnsi="Calibri"/>
                      </w:rPr>
                      <w:instrText> PAGE </w:instrText>
                    </w:r>
                    <w:r>
                      <w:rPr>
                        <w:sz w:val="22"/>
                        <w:szCs w:val="22"/>
                        <w:rFonts w:cs="Calibri" w:ascii="Calibri" w:hAnsi="Calibri"/>
                      </w:rPr>
                      <w:fldChar w:fldCharType="separate"/>
                    </w:r>
                    <w:r>
                      <w:rPr>
                        <w:sz w:val="22"/>
                        <w:szCs w:val="22"/>
                        <w:rFonts w:cs="Calibri" w:ascii="Calibri" w:hAnsi="Calibri"/>
                      </w:rPr>
                      <w:t>49</w:t>
                    </w:r>
                    <w:r>
                      <w:rPr>
                        <w:sz w:val="22"/>
                        <w:szCs w:val="22"/>
                        <w:rFonts w:cs="Calibri" w:ascii="Calibri" w:hAnsi="Calibri"/>
                      </w:rPr>
                      <w:fldChar w:fldCharType="end"/>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lvl w:ilvl="0">
      <w:start w:val="1"/>
      <w:numFmt w:val="decimal"/>
      <w:lvlText w:val="%1)"/>
      <w:lvlJc w:val="left"/>
      <w:pPr>
        <w:ind w:left="1080" w:hanging="360"/>
      </w:pPr>
      <w:rPr>
        <w:sz w:val="22"/>
        <w:rFonts w:ascii="Times New Roman" w:hAnsi="Times New Roman" w:eastAsia="Arial Unicode MS"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lvl w:ilvl="0">
      <w:start w:val="1"/>
      <w:numFmt w:val="decimal"/>
      <w:lvlText w:val="%1)"/>
      <w:lvlJc w:val="left"/>
      <w:pPr>
        <w:ind w:left="1080" w:hanging="360"/>
      </w:pPr>
      <w:rPr>
        <w:sz w:val="22"/>
        <w:b/>
        <w:rFonts w:ascii="Times New Roman" w:hAnsi="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1"/>
      <w:numFmt w:val="decimal"/>
      <w:lvlText w:val="%1."/>
      <w:lvlJc w:val="left"/>
      <w:pPr>
        <w:ind w:left="360" w:hanging="360"/>
      </w:pPr>
      <w:rPr>
        <w:sz w:val="22"/>
        <w:b/>
        <w:rFonts w:ascii="Times New Roman" w:hAnsi="Times New Roma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lvl w:ilvl="0">
      <w:start w:val="1"/>
      <w:numFmt w:val="decimal"/>
      <w:lvlText w:val="%1)"/>
      <w:lvlJc w:val="left"/>
      <w:pPr>
        <w:ind w:left="1080" w:hanging="360"/>
      </w:pPr>
      <w:rPr>
        <w:sz w:val="22"/>
        <w:b/>
        <w:rFonts w:ascii="Times New Roman" w:hAnsi="Times New Roman"/>
      </w:rPr>
    </w:lvl>
    <w:lvl w:ilvl="1">
      <w:start w:val="1"/>
      <w:numFmt w:val="decimal"/>
      <w:lvlText w:val="%2."/>
      <w:lvlJc w:val="left"/>
      <w:pPr>
        <w:ind w:left="1800" w:hanging="360"/>
      </w:pPr>
    </w:lvl>
    <w:lvl w:ilvl="2">
      <w:start w:val="1"/>
      <w:numFmt w:val="lowerLetter"/>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lvl w:ilvl="0">
      <w:start w:val="1"/>
      <w:numFmt w:val="decimal"/>
      <w:lvlText w:val="%1)"/>
      <w:lvlJc w:val="left"/>
      <w:pPr>
        <w:ind w:left="1080" w:hanging="360"/>
      </w:pPr>
      <w:rPr>
        <w:sz w:val="22"/>
        <w:b/>
        <w:bCs/>
        <w:rFonts w:ascii="Times New Roman" w:hAnsi="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lvl w:ilvl="0">
      <w:start w:val="1"/>
      <w:numFmt w:val="bullet"/>
      <w:lvlText w:val=""/>
      <w:lvlJc w:val="left"/>
      <w:pPr>
        <w:tabs>
          <w:tab w:val="num" w:pos="283"/>
        </w:tabs>
        <w:ind w:left="283" w:hanging="283"/>
      </w:pPr>
      <w:rPr>
        <w:rFonts w:ascii="Symbol" w:hAnsi="Symbol" w:cs="Symbol" w:hint="default"/>
        <w:sz w:val="22"/>
        <w:rFonts w:cs="Symbol"/>
        <w:color w:val="000000"/>
      </w:rPr>
    </w:lvl>
    <w:lvl w:ilvl="1">
      <w:start w:val="1"/>
      <w:numFmt w:val="bullet"/>
      <w:lvlText w:val=""/>
      <w:lvlJc w:val="left"/>
      <w:pPr>
        <w:tabs>
          <w:tab w:val="num" w:pos="566"/>
        </w:tabs>
        <w:ind w:left="566" w:hanging="283"/>
      </w:pPr>
      <w:rPr>
        <w:rFonts w:ascii="Symbol" w:hAnsi="Symbol" w:cs="Symbol" w:hint="default"/>
        <w:rFonts w:cs="Symbol"/>
        <w:color w:val="000000"/>
      </w:rPr>
    </w:lvl>
    <w:lvl w:ilvl="2">
      <w:start w:val="1"/>
      <w:numFmt w:val="bullet"/>
      <w:lvlText w:val=""/>
      <w:lvlJc w:val="left"/>
      <w:pPr>
        <w:tabs>
          <w:tab w:val="num" w:pos="849"/>
        </w:tabs>
        <w:ind w:left="849" w:hanging="283"/>
      </w:pPr>
      <w:rPr>
        <w:rFonts w:ascii="Symbol" w:hAnsi="Symbol" w:cs="Symbol" w:hint="default"/>
        <w:rFonts w:cs="Symbol"/>
        <w:color w:val="000000"/>
      </w:rPr>
    </w:lvl>
    <w:lvl w:ilvl="3">
      <w:start w:val="1"/>
      <w:numFmt w:val="bullet"/>
      <w:lvlText w:val=""/>
      <w:lvlJc w:val="left"/>
      <w:pPr>
        <w:tabs>
          <w:tab w:val="num" w:pos="1132"/>
        </w:tabs>
        <w:ind w:left="1132" w:hanging="283"/>
      </w:pPr>
      <w:rPr>
        <w:rFonts w:ascii="Symbol" w:hAnsi="Symbol" w:cs="Symbol" w:hint="default"/>
        <w:rFonts w:cs="Symbol"/>
        <w:color w:val="000000"/>
      </w:rPr>
    </w:lvl>
    <w:lvl w:ilvl="4">
      <w:start w:val="1"/>
      <w:numFmt w:val="bullet"/>
      <w:lvlText w:val=""/>
      <w:lvlJc w:val="left"/>
      <w:pPr>
        <w:tabs>
          <w:tab w:val="num" w:pos="1415"/>
        </w:tabs>
        <w:ind w:left="1415" w:hanging="283"/>
      </w:pPr>
      <w:rPr>
        <w:rFonts w:ascii="Symbol" w:hAnsi="Symbol" w:cs="Symbol" w:hint="default"/>
        <w:rFonts w:cs="Symbol"/>
        <w:color w:val="000000"/>
      </w:rPr>
    </w:lvl>
    <w:lvl w:ilvl="5">
      <w:start w:val="1"/>
      <w:numFmt w:val="bullet"/>
      <w:lvlText w:val=""/>
      <w:lvlJc w:val="left"/>
      <w:pPr>
        <w:tabs>
          <w:tab w:val="num" w:pos="1698"/>
        </w:tabs>
        <w:ind w:left="1698" w:hanging="283"/>
      </w:pPr>
      <w:rPr>
        <w:rFonts w:ascii="Symbol" w:hAnsi="Symbol" w:cs="Symbol" w:hint="default"/>
        <w:rFonts w:cs="Symbol"/>
        <w:color w:val="000000"/>
      </w:rPr>
    </w:lvl>
    <w:lvl w:ilvl="6">
      <w:start w:val="1"/>
      <w:numFmt w:val="bullet"/>
      <w:lvlText w:val=""/>
      <w:lvlJc w:val="left"/>
      <w:pPr>
        <w:tabs>
          <w:tab w:val="num" w:pos="1981"/>
        </w:tabs>
        <w:ind w:left="1981" w:hanging="283"/>
      </w:pPr>
      <w:rPr>
        <w:rFonts w:ascii="Symbol" w:hAnsi="Symbol" w:cs="Symbol" w:hint="default"/>
        <w:rFonts w:cs="Symbol"/>
        <w:color w:val="000000"/>
      </w:rPr>
    </w:lvl>
    <w:lvl w:ilvl="7">
      <w:start w:val="1"/>
      <w:numFmt w:val="bullet"/>
      <w:lvlText w:val=""/>
      <w:lvlJc w:val="left"/>
      <w:pPr>
        <w:tabs>
          <w:tab w:val="num" w:pos="2264"/>
        </w:tabs>
        <w:ind w:left="2264" w:hanging="283"/>
      </w:pPr>
      <w:rPr>
        <w:rFonts w:ascii="Symbol" w:hAnsi="Symbol" w:cs="Symbol" w:hint="default"/>
        <w:rFonts w:cs="Symbol"/>
        <w:color w:val="000000"/>
      </w:rPr>
    </w:lvl>
    <w:lvl w:ilvl="8">
      <w:start w:val="1"/>
      <w:numFmt w:val="bullet"/>
      <w:lvlText w:val=""/>
      <w:lvlJc w:val="left"/>
      <w:pPr>
        <w:tabs>
          <w:tab w:val="num" w:pos="2547"/>
        </w:tabs>
        <w:ind w:left="2547" w:hanging="283"/>
      </w:pPr>
      <w:rPr>
        <w:rFonts w:ascii="Symbol" w:hAnsi="Symbol" w:cs="Symbol" w:hint="default"/>
        <w:rFonts w:cs="Symbol"/>
        <w:color w:val="000000"/>
      </w:rPr>
    </w:lvl>
  </w:abstractNum>
  <w:abstractNum w:abstractNumId="10">
    <w:lvl w:ilvl="0">
      <w:start w:val="1"/>
      <w:numFmt w:val="decimal"/>
      <w:lvlText w:val="%1)"/>
      <w:lvlJc w:val="left"/>
      <w:pPr>
        <w:ind w:left="720" w:hanging="360"/>
      </w:pPr>
      <w:rPr>
        <w:sz w:val="22"/>
        <w:rFonts w:ascii="Times New Roman" w:hAnsi="Times New Roman" w:eastAsia="Arial Unicode M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785" w:hanging="360"/>
      </w:pPr>
      <w:rPr>
        <w:sz w:val="22"/>
        <w:b/>
        <w:rFonts w:ascii="Times New Roman" w:hAnsi="Times New Roman"/>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5">
    <w:lvl w:ilvl="0">
      <w:start w:val="1"/>
      <w:numFmt w:val="decimal"/>
      <w:lvlText w:val="%1)"/>
      <w:lvlJc w:val="left"/>
      <w:pPr>
        <w:ind w:left="720" w:hanging="360"/>
      </w:pPr>
      <w:rPr>
        <w:sz w:val="22"/>
        <w:rFonts w:ascii="Times New Roman" w:hAnsi="Times New Roman" w:eastAsia="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980" w:hanging="360"/>
      </w:pPr>
    </w:lvl>
    <w:lvl w:ilvl="3">
      <w:start w:val="1"/>
      <w:numFmt w:val="low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lvl w:ilvl="0">
      <w:start w:val="1"/>
      <w:numFmt w:val="decimal"/>
      <w:lvlText w:val="%1."/>
      <w:lvlJc w:val="left"/>
      <w:pPr>
        <w:ind w:left="1140" w:hanging="360"/>
      </w:pPr>
      <w:rPr>
        <w:sz w:val="22"/>
        <w:rFonts w:ascii="Times New Roman" w:hAnsi="Times New Roman" w:eastAsia="Times New Roman" w:cs="Calibri"/>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9">
    <w:lvl w:ilvl="0">
      <w:start w:val="1"/>
      <w:numFmt w:val="decimal"/>
      <w:lvlText w:val="%1."/>
      <w:lvlJc w:val="left"/>
      <w:pPr>
        <w:ind w:left="792" w:hanging="360"/>
      </w:pPr>
      <w:rPr>
        <w:sz w:val="22"/>
        <w:rFonts w:ascii="Times New Roman" w:hAnsi="Times New Roman" w:eastAsia="Times New Roman" w:cs="Calibri"/>
      </w:r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lvl w:ilvl="0">
      <w:start w:val="1"/>
      <w:numFmt w:val="decimal"/>
      <w:lvlText w:val="%1)"/>
      <w:lvlJc w:val="left"/>
      <w:pPr>
        <w:ind w:left="720" w:hanging="360"/>
      </w:pPr>
      <w:rPr>
        <w:sz w:val="22"/>
        <w:i w:val="false"/>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lvl w:ilvl="0">
      <w:start w:val="1"/>
      <w:numFmt w:val="decimal"/>
      <w:lvlText w:val="%1."/>
      <w:lvlJc w:val="left"/>
      <w:pPr>
        <w:ind w:left="780" w:hanging="360"/>
      </w:pPr>
      <w:rPr>
        <w:sz w:val="22"/>
        <w:rFonts w:ascii="Times New Roman" w:hAnsi="Times New Roman"/>
        <w:color w:val="auto"/>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5">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6">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7">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lvl w:ilvl="0">
      <w:start w:val="1"/>
      <w:numFmt w:val="decimal"/>
      <w:lvlText w:val="%1)"/>
      <w:lvlJc w:val="left"/>
      <w:pPr>
        <w:ind w:left="720" w:hanging="360"/>
      </w:pPr>
      <w:rPr>
        <w:sz w:val="22"/>
        <w:rFonts w:ascii="Times New Roman" w:hAnsi="Times New Roman" w:eastAsia="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lvl w:ilvl="0">
      <w:start w:val="1"/>
      <w:numFmt w:val="bullet"/>
      <w:lvlText w:val="−"/>
      <w:lvlJc w:val="left"/>
      <w:pPr>
        <w:ind w:left="720" w:hanging="360"/>
      </w:pPr>
      <w:rPr>
        <w:rFonts w:ascii="Times New Roman" w:hAnsi="Times New Roman" w:cs="Times New Roman" w:hint="default"/>
        <w:sz w:val="22"/>
        <w:rFonts w:cs="Times New Roman"/>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8">
    <w:lvl w:ilvl="0">
      <w:start w:val="1"/>
      <w:numFmt w:val="decimal"/>
      <w:lvlText w:val="%1)"/>
      <w:lvlJc w:val="left"/>
      <w:pPr>
        <w:ind w:left="720" w:hanging="360"/>
      </w:pPr>
      <w:rPr>
        <w:sz w:val="22"/>
        <w:rFonts w:ascii="Times New Roman" w:hAnsi="Times New Roman" w:eastAsia="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1">
    <w:lvl w:ilvl="0">
      <w:start w:val="13"/>
      <w:numFmt w:val="decimal"/>
      <w:lvlText w:val="%1)"/>
      <w:lvlJc w:val="left"/>
      <w:pPr>
        <w:tabs>
          <w:tab w:val="num" w:pos="993"/>
        </w:tabs>
        <w:ind w:left="993" w:hanging="283"/>
      </w:pPr>
      <w:rPr>
        <w:rFonts w:eastAsia="Arial Unicode MS" w:cs="Times New Roman"/>
      </w:rPr>
    </w:lvl>
    <w:lvl w:ilvl="1">
      <w:start w:val="2"/>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110"/>
  <w:defaultTabStop w:val="708"/>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kern w:val="2"/>
        <w:sz w:val="20"/>
        <w:szCs w:val="22"/>
        <w:lang w:val="pl-PL" w:eastAsia="en-US" w:bidi="ar-SA"/>
      </w:rPr>
    </w:rPrDefault>
    <w:pPrDefault>
      <w:pPr/>
    </w:pPrDefault>
  </w:docDefaults>
  <w:style w:type="paragraph" w:styleId="Normal">
    <w:name w:val="Normal"/>
    <w:qFormat/>
    <w:pPr>
      <w:widowControl w:val="false"/>
      <w:suppressAutoHyphens w:val="true"/>
      <w:overflowPunct w:val="false"/>
      <w:bidi w:val="0"/>
      <w:spacing w:lineRule="auto" w:line="240" w:before="0" w:after="0"/>
      <w:jc w:val="left"/>
    </w:pPr>
    <w:rPr>
      <w:rFonts w:ascii="Times New Roman" w:hAnsi="Times New Roman" w:eastAsia="Arial Unicode MS" w:cs="Times New Roman"/>
      <w:color w:val="auto"/>
      <w:kern w:val="0"/>
      <w:sz w:val="24"/>
      <w:szCs w:val="24"/>
      <w:lang w:val="pl-PL" w:eastAsia="ar-SA" w:bidi="ar-SA"/>
    </w:rPr>
  </w:style>
  <w:style w:type="paragraph" w:styleId="Nagwek1">
    <w:name w:val="Heading 1"/>
    <w:basedOn w:val="Normal"/>
    <w:next w:val="Normal"/>
    <w:qFormat/>
    <w:pPr>
      <w:keepNext w:val="true"/>
      <w:keepLines/>
      <w:spacing w:before="360" w:after="80"/>
      <w:outlineLvl w:val="0"/>
    </w:pPr>
    <w:rPr>
      <w:rFonts w:ascii="Calibri Light" w:hAnsi="Calibri Light" w:eastAsia="等线 Light" w:cs="Tahoma"/>
      <w:color w:val="2F5496"/>
      <w:sz w:val="40"/>
      <w:szCs w:val="40"/>
    </w:rPr>
  </w:style>
  <w:style w:type="paragraph" w:styleId="Nagwek2">
    <w:name w:val="Heading 2"/>
    <w:basedOn w:val="Normal"/>
    <w:next w:val="Normal"/>
    <w:qFormat/>
    <w:pPr>
      <w:keepNext w:val="true"/>
      <w:keepLines/>
      <w:spacing w:before="160" w:after="80"/>
      <w:outlineLvl w:val="1"/>
    </w:pPr>
    <w:rPr>
      <w:rFonts w:ascii="Calibri Light" w:hAnsi="Calibri Light" w:eastAsia="等线 Light" w:cs="Tahoma"/>
      <w:color w:val="2F5496"/>
      <w:sz w:val="32"/>
      <w:szCs w:val="32"/>
    </w:rPr>
  </w:style>
  <w:style w:type="paragraph" w:styleId="Nagwek3">
    <w:name w:val="Heading 3"/>
    <w:basedOn w:val="Normal"/>
    <w:next w:val="Normal"/>
    <w:qFormat/>
    <w:pPr>
      <w:keepNext w:val="true"/>
      <w:keepLines/>
      <w:spacing w:before="160" w:after="80"/>
      <w:outlineLvl w:val="2"/>
    </w:pPr>
    <w:rPr>
      <w:rFonts w:eastAsia="等线 Light" w:cs="Tahoma"/>
      <w:color w:val="2F5496"/>
      <w:sz w:val="28"/>
      <w:szCs w:val="28"/>
    </w:rPr>
  </w:style>
  <w:style w:type="paragraph" w:styleId="Nagwek4">
    <w:name w:val="Heading 4"/>
    <w:basedOn w:val="Normal"/>
    <w:next w:val="Normal"/>
    <w:qFormat/>
    <w:pPr>
      <w:keepNext w:val="true"/>
      <w:keepLines/>
      <w:spacing w:before="80" w:after="40"/>
      <w:outlineLvl w:val="3"/>
    </w:pPr>
    <w:rPr>
      <w:rFonts w:eastAsia="等线 Light" w:cs="Tahoma"/>
      <w:i/>
      <w:iCs/>
      <w:color w:val="2F5496"/>
    </w:rPr>
  </w:style>
  <w:style w:type="paragraph" w:styleId="Nagwek5">
    <w:name w:val="Heading 5"/>
    <w:basedOn w:val="Normal"/>
    <w:next w:val="Normal"/>
    <w:qFormat/>
    <w:pPr>
      <w:keepNext w:val="true"/>
      <w:keepLines/>
      <w:spacing w:before="80" w:after="40"/>
      <w:outlineLvl w:val="4"/>
    </w:pPr>
    <w:rPr>
      <w:rFonts w:eastAsia="等线 Light" w:cs="Tahoma"/>
      <w:color w:val="2F5496"/>
    </w:rPr>
  </w:style>
  <w:style w:type="paragraph" w:styleId="Nagwek6">
    <w:name w:val="Heading 6"/>
    <w:basedOn w:val="Normal"/>
    <w:next w:val="Normal"/>
    <w:qFormat/>
    <w:pPr>
      <w:keepNext w:val="true"/>
      <w:keepLines/>
      <w:spacing w:before="40" w:after="0"/>
      <w:outlineLvl w:val="5"/>
    </w:pPr>
    <w:rPr>
      <w:rFonts w:eastAsia="等线 Light" w:cs="Tahoma"/>
      <w:i/>
      <w:iCs/>
      <w:color w:val="595959"/>
    </w:rPr>
  </w:style>
  <w:style w:type="paragraph" w:styleId="Nagwek7">
    <w:name w:val="Heading 7"/>
    <w:basedOn w:val="Normal"/>
    <w:next w:val="Normal"/>
    <w:qFormat/>
    <w:pPr>
      <w:keepNext w:val="true"/>
      <w:keepLines/>
      <w:spacing w:before="40" w:after="0"/>
      <w:outlineLvl w:val="6"/>
    </w:pPr>
    <w:rPr>
      <w:rFonts w:eastAsia="等线 Light" w:cs="Tahoma"/>
      <w:color w:val="595959"/>
    </w:rPr>
  </w:style>
  <w:style w:type="paragraph" w:styleId="Nagwek8">
    <w:name w:val="Heading 8"/>
    <w:basedOn w:val="Normal"/>
    <w:next w:val="Normal"/>
    <w:qFormat/>
    <w:pPr>
      <w:keepNext w:val="true"/>
      <w:keepLines/>
      <w:outlineLvl w:val="7"/>
    </w:pPr>
    <w:rPr>
      <w:rFonts w:eastAsia="等线 Light" w:cs="Tahoma"/>
      <w:i/>
      <w:iCs/>
      <w:color w:val="272727"/>
    </w:rPr>
  </w:style>
  <w:style w:type="paragraph" w:styleId="Nagwek9">
    <w:name w:val="Heading 9"/>
    <w:basedOn w:val="Normal"/>
    <w:next w:val="Normal"/>
    <w:qFormat/>
    <w:pPr>
      <w:keepNext w:val="true"/>
      <w:keepLines/>
      <w:outlineLvl w:val="8"/>
    </w:pPr>
    <w:rPr>
      <w:rFonts w:eastAsia="等线 Light" w:cs="Tahoma"/>
      <w:color w:val="272727"/>
    </w:rPr>
  </w:style>
  <w:style w:type="character" w:styleId="DefaultParagraphFont">
    <w:name w:val="Default Paragraph Font"/>
    <w:qFormat/>
    <w:rPr/>
  </w:style>
  <w:style w:type="character" w:styleId="Nagwek1Znak">
    <w:name w:val="Nagłówek 1 Znak"/>
    <w:basedOn w:val="DefaultParagraphFont"/>
    <w:qFormat/>
    <w:rPr>
      <w:rFonts w:ascii="Calibri Light" w:hAnsi="Calibri Light" w:eastAsia="等线 Light" w:cs="Tahoma"/>
      <w:color w:val="2F5496"/>
      <w:sz w:val="40"/>
      <w:szCs w:val="40"/>
    </w:rPr>
  </w:style>
  <w:style w:type="character" w:styleId="Nagwek2Znak">
    <w:name w:val="Nagłówek 2 Znak"/>
    <w:basedOn w:val="DefaultParagraphFont"/>
    <w:qFormat/>
    <w:rPr>
      <w:rFonts w:ascii="Calibri Light" w:hAnsi="Calibri Light" w:eastAsia="等线 Light" w:cs="Tahoma"/>
      <w:color w:val="2F5496"/>
      <w:sz w:val="32"/>
      <w:szCs w:val="32"/>
    </w:rPr>
  </w:style>
  <w:style w:type="character" w:styleId="Nagwek3Znak">
    <w:name w:val="Nagłówek 3 Znak"/>
    <w:basedOn w:val="DefaultParagraphFont"/>
    <w:qFormat/>
    <w:rPr>
      <w:rFonts w:eastAsia="等线 Light" w:cs="Tahoma"/>
      <w:color w:val="2F5496"/>
      <w:sz w:val="28"/>
      <w:szCs w:val="28"/>
    </w:rPr>
  </w:style>
  <w:style w:type="character" w:styleId="Nagwek4Znak">
    <w:name w:val="Nagłówek 4 Znak"/>
    <w:basedOn w:val="DefaultParagraphFont"/>
    <w:qFormat/>
    <w:rPr>
      <w:rFonts w:eastAsia="等线 Light" w:cs="Tahoma"/>
      <w:i/>
      <w:iCs/>
      <w:color w:val="2F5496"/>
    </w:rPr>
  </w:style>
  <w:style w:type="character" w:styleId="Nagwek5Znak">
    <w:name w:val="Nagłówek 5 Znak"/>
    <w:basedOn w:val="DefaultParagraphFont"/>
    <w:qFormat/>
    <w:rPr>
      <w:rFonts w:eastAsia="等线 Light" w:cs="Tahoma"/>
      <w:color w:val="2F5496"/>
    </w:rPr>
  </w:style>
  <w:style w:type="character" w:styleId="Nagwek6Znak">
    <w:name w:val="Nagłówek 6 Znak"/>
    <w:basedOn w:val="DefaultParagraphFont"/>
    <w:qFormat/>
    <w:rPr>
      <w:rFonts w:eastAsia="等线 Light" w:cs="Tahoma"/>
      <w:i/>
      <w:iCs/>
      <w:color w:val="595959"/>
    </w:rPr>
  </w:style>
  <w:style w:type="character" w:styleId="Nagwek7Znak">
    <w:name w:val="Nagłówek 7 Znak"/>
    <w:basedOn w:val="DefaultParagraphFont"/>
    <w:qFormat/>
    <w:rPr>
      <w:rFonts w:eastAsia="等线 Light" w:cs="Tahoma"/>
      <w:color w:val="595959"/>
    </w:rPr>
  </w:style>
  <w:style w:type="character" w:styleId="Nagwek8Znak">
    <w:name w:val="Nagłówek 8 Znak"/>
    <w:basedOn w:val="DefaultParagraphFont"/>
    <w:qFormat/>
    <w:rPr>
      <w:rFonts w:eastAsia="等线 Light" w:cs="Tahoma"/>
      <w:i/>
      <w:iCs/>
      <w:color w:val="272727"/>
    </w:rPr>
  </w:style>
  <w:style w:type="character" w:styleId="Nagwek9Znak">
    <w:name w:val="Nagłówek 9 Znak"/>
    <w:basedOn w:val="DefaultParagraphFont"/>
    <w:qFormat/>
    <w:rPr>
      <w:rFonts w:eastAsia="等线 Light" w:cs="Tahoma"/>
      <w:color w:val="272727"/>
    </w:rPr>
  </w:style>
  <w:style w:type="character" w:styleId="TytuZnak">
    <w:name w:val="Tytuł Znak"/>
    <w:basedOn w:val="DefaultParagraphFont"/>
    <w:qFormat/>
    <w:rPr>
      <w:rFonts w:ascii="Calibri Light" w:hAnsi="Calibri Light" w:eastAsia="等线 Light" w:cs="Tahoma"/>
      <w:spacing w:val="-10"/>
      <w:kern w:val="2"/>
      <w:sz w:val="56"/>
      <w:szCs w:val="56"/>
    </w:rPr>
  </w:style>
  <w:style w:type="character" w:styleId="PodtytuZnak">
    <w:name w:val="Podtytuł Znak"/>
    <w:basedOn w:val="DefaultParagraphFont"/>
    <w:qFormat/>
    <w:rPr>
      <w:rFonts w:eastAsia="等线 Light" w:cs="Tahoma"/>
      <w:color w:val="595959"/>
      <w:spacing w:val="15"/>
      <w:sz w:val="28"/>
      <w:szCs w:val="28"/>
    </w:rPr>
  </w:style>
  <w:style w:type="character" w:styleId="CytatZnak">
    <w:name w:val="Cytat Znak"/>
    <w:basedOn w:val="DefaultParagraphFont"/>
    <w:qFormat/>
    <w:rPr>
      <w:i/>
      <w:iCs/>
      <w:color w:val="404040"/>
    </w:rPr>
  </w:style>
  <w:style w:type="character" w:styleId="IntenseEmphasis">
    <w:name w:val="Intense Emphasis"/>
    <w:basedOn w:val="DefaultParagraphFont"/>
    <w:qFormat/>
    <w:rPr>
      <w:i/>
      <w:iCs/>
      <w:color w:val="2F5496"/>
    </w:rPr>
  </w:style>
  <w:style w:type="character" w:styleId="CytatintensywnyZnak">
    <w:name w:val="Cytat intensywny Znak"/>
    <w:basedOn w:val="DefaultParagraphFont"/>
    <w:qFormat/>
    <w:rPr>
      <w:i/>
      <w:iCs/>
      <w:color w:val="2F5496"/>
    </w:rPr>
  </w:style>
  <w:style w:type="character" w:styleId="IntenseReference">
    <w:name w:val="Intense Reference"/>
    <w:basedOn w:val="DefaultParagraphFont"/>
    <w:qFormat/>
    <w:rPr>
      <w:b/>
      <w:bCs/>
      <w:smallCaps/>
      <w:color w:val="2F5496"/>
      <w:spacing w:val="5"/>
    </w:rPr>
  </w:style>
  <w:style w:type="character" w:styleId="TekstdymkaZnak">
    <w:name w:val="Tekst dymka Znak"/>
    <w:basedOn w:val="DefaultParagraphFont"/>
    <w:qFormat/>
    <w:rPr>
      <w:rFonts w:ascii="Tahoma" w:hAnsi="Tahoma" w:eastAsia="Arial Unicode MS" w:cs="Tahoma"/>
      <w:kern w:val="0"/>
      <w:sz w:val="16"/>
      <w:szCs w:val="16"/>
      <w:lang w:eastAsia="ar-SA"/>
    </w:rPr>
  </w:style>
  <w:style w:type="character" w:styleId="TekstpodstawowyZnak">
    <w:name w:val="Tekst podstawowy Znak"/>
    <w:basedOn w:val="DefaultParagraphFont"/>
    <w:qFormat/>
    <w:rPr>
      <w:rFonts w:ascii="Times New Roman" w:hAnsi="Times New Roman" w:eastAsia="Arial Unicode MS" w:cs="Times New Roman"/>
      <w:kern w:val="0"/>
      <w:sz w:val="24"/>
      <w:szCs w:val="24"/>
      <w:lang w:eastAsia="ar-SA"/>
    </w:rPr>
  </w:style>
  <w:style w:type="character" w:styleId="TekstpodstawowywcityZnak">
    <w:name w:val="Tekst podstawowy wcięty Znak"/>
    <w:basedOn w:val="DefaultParagraphFont"/>
    <w:qFormat/>
    <w:rPr>
      <w:rFonts w:ascii="Times New Roman" w:hAnsi="Times New Roman" w:eastAsia="Arial Unicode MS" w:cs="Times New Roman"/>
      <w:kern w:val="0"/>
      <w:sz w:val="24"/>
      <w:szCs w:val="24"/>
      <w:lang w:eastAsia="ar-SA"/>
    </w:rPr>
  </w:style>
  <w:style w:type="character" w:styleId="Wyrnienie">
    <w:name w:val="Wyróżnienie"/>
    <w:qFormat/>
    <w:rPr>
      <w:i/>
      <w:iCs/>
    </w:rPr>
  </w:style>
  <w:style w:type="character" w:styleId="Zakotwiczenieprzypisukocowego">
    <w:name w:val="Zakotwiczenie przypisu końcowego"/>
    <w:rPr>
      <w:vertAlign w:val="superscript"/>
    </w:rPr>
  </w:style>
  <w:style w:type="character" w:styleId="EndnoteCharacters">
    <w:name w:val="Endnote Characters"/>
    <w:qFormat/>
    <w:rPr>
      <w:vertAlign w:val="superscript"/>
    </w:rPr>
  </w:style>
  <w:style w:type="character" w:styleId="TekstprzypisukocowegoZnak">
    <w:name w:val="Tekst przypisu końcowego Znak"/>
    <w:basedOn w:val="DefaultParagraphFont"/>
    <w:qFormat/>
    <w:rPr>
      <w:rFonts w:ascii="Times New Roman" w:hAnsi="Times New Roman" w:eastAsia="Arial Unicode MS" w:cs="Times New Roman"/>
      <w:kern w:val="0"/>
      <w:sz w:val="20"/>
      <w:szCs w:val="20"/>
      <w:lang w:eastAsia="ar-SA"/>
    </w:rPr>
  </w:style>
  <w:style w:type="character" w:styleId="StopkaZnak">
    <w:name w:val="Stopka Znak"/>
    <w:basedOn w:val="DefaultParagraphFont"/>
    <w:qFormat/>
    <w:rPr>
      <w:rFonts w:ascii="Times New Roman" w:hAnsi="Times New Roman" w:eastAsia="Arial Unicode MS" w:cs="Times New Roman"/>
      <w:kern w:val="0"/>
      <w:sz w:val="24"/>
      <w:szCs w:val="24"/>
      <w:lang w:eastAsia="ar-SA"/>
    </w:rPr>
  </w:style>
  <w:style w:type="character" w:styleId="Zakotwiczenieprzypisudolnego">
    <w:name w:val="Zakotwiczenie przypisu dolnego"/>
    <w:rPr>
      <w:rFonts w:cs="Times New Roman"/>
      <w:vertAlign w:val="superscript"/>
    </w:rPr>
  </w:style>
  <w:style w:type="character" w:styleId="FootnoteCharacters">
    <w:name w:val="Footnote Characters"/>
    <w:qFormat/>
    <w:rPr>
      <w:rFonts w:cs="Times New Roman"/>
      <w:vertAlign w:val="superscript"/>
    </w:rPr>
  </w:style>
  <w:style w:type="character" w:styleId="TekstprzypisudolnegoZnak">
    <w:name w:val="Tekst przypisu dolnego Znak"/>
    <w:basedOn w:val="DefaultParagraphFont"/>
    <w:qFormat/>
    <w:rPr>
      <w:rFonts w:ascii="Times New Roman" w:hAnsi="Times New Roman" w:eastAsia="Calibri" w:cs="Times New Roman"/>
      <w:kern w:val="0"/>
      <w:sz w:val="20"/>
      <w:szCs w:val="20"/>
      <w:lang w:eastAsia="pl-PL"/>
    </w:rPr>
  </w:style>
  <w:style w:type="character" w:styleId="NagwekZnak">
    <w:name w:val="Nagłówek Znak"/>
    <w:basedOn w:val="DefaultParagraphFont"/>
    <w:qFormat/>
    <w:rPr>
      <w:rFonts w:ascii="Times New Roman" w:hAnsi="Times New Roman" w:eastAsia="Arial Unicode MS" w:cs="Times New Roman"/>
      <w:kern w:val="0"/>
      <w:sz w:val="24"/>
      <w:szCs w:val="24"/>
      <w:lang w:eastAsia="ar-SA"/>
    </w:rPr>
  </w:style>
  <w:style w:type="character" w:styleId="Czeinternetowe">
    <w:name w:val="Łącze internetowe"/>
    <w:rPr>
      <w:color w:val="000080"/>
      <w:u w:val="single"/>
    </w:rPr>
  </w:style>
  <w:style w:type="character" w:styleId="Strong">
    <w:name w:val="Strong"/>
    <w:qFormat/>
    <w:rPr>
      <w:b/>
      <w:bCs/>
    </w:rPr>
  </w:style>
  <w:style w:type="character" w:styleId="WW8Num5z0">
    <w:name w:val="WW8Num5z0"/>
    <w:qFormat/>
    <w:rPr>
      <w:rFonts w:eastAsia="Lucida Sans Unicode" w:cs="Times New Roman"/>
      <w:color w:val="auto"/>
      <w:sz w:val="24"/>
      <w:szCs w:val="24"/>
      <w:lang w:val="pl-PL"/>
    </w:rPr>
  </w:style>
  <w:style w:type="character" w:styleId="WW8Num6z0">
    <w:name w:val="WW8Num6z0"/>
    <w:qFormat/>
    <w:rPr>
      <w:rFonts w:eastAsia="Lucida Sans Unicode" w:cs="Times New Roman"/>
      <w:color w:val="auto"/>
      <w:sz w:val="24"/>
      <w:szCs w:val="24"/>
      <w:lang w:val="pl-PL"/>
    </w:rPr>
  </w:style>
  <w:style w:type="character" w:styleId="WW8Num8z0">
    <w:name w:val="WW8Num8z0"/>
    <w:qFormat/>
    <w:rPr>
      <w:rFonts w:ascii="Times New Roman" w:hAnsi="Times New Roman" w:eastAsia="Arial Unicode MS" w:cs="Times New Roman"/>
    </w:rPr>
  </w:style>
  <w:style w:type="character" w:styleId="WW8Num10z0">
    <w:name w:val="WW8Num10z0"/>
    <w:qFormat/>
    <w:rPr>
      <w:rFonts w:ascii="Symbol" w:hAnsi="Symbol" w:cs="Symbol"/>
      <w:color w:val="000000"/>
    </w:rPr>
  </w:style>
  <w:style w:type="character" w:styleId="WW8Num11z0">
    <w:name w:val="WW8Num11z0"/>
    <w:qFormat/>
    <w:rPr>
      <w:rFonts w:ascii="Symbol" w:hAnsi="Symbol" w:cs="Symbol"/>
      <w:color w:val="000000"/>
    </w:rPr>
  </w:style>
  <w:style w:type="character" w:styleId="WW8Num14z0">
    <w:name w:val="WW8Num14z0"/>
    <w:qFormat/>
    <w:rPr>
      <w:rFonts w:ascii="Symbol" w:hAnsi="Symbol" w:cs="StarSymbol"/>
      <w:sz w:val="18"/>
      <w:szCs w:val="18"/>
    </w:rPr>
  </w:style>
  <w:style w:type="character" w:styleId="WW8Num4z0">
    <w:name w:val="WW8Num4z0"/>
    <w:qFormat/>
    <w:rPr>
      <w:rFonts w:ascii="Times New Roman" w:hAnsi="Times New Roman" w:eastAsia="Arial Unicode MS" w:cs="Times New Roman"/>
      <w:color w:val="auto"/>
      <w:sz w:val="24"/>
      <w:szCs w:val="24"/>
      <w:lang w:val="pl-PL"/>
    </w:rPr>
  </w:style>
  <w:style w:type="character" w:styleId="WW8Num13z2">
    <w:name w:val="WW8Num13z2"/>
    <w:qFormat/>
    <w:rPr>
      <w:rFonts w:ascii="Symbol" w:hAnsi="Symbol" w:cs="Symbol"/>
    </w:rPr>
  </w:style>
  <w:style w:type="character" w:styleId="WW8Num15z1">
    <w:name w:val="WW8Num15z1"/>
    <w:qFormat/>
    <w:rPr>
      <w:rFonts w:ascii="Symbol" w:hAnsi="Symbol" w:cs="Symbol"/>
      <w:b/>
    </w:rPr>
  </w:style>
  <w:style w:type="character" w:styleId="WW8Num15z3">
    <w:name w:val="WW8Num15z3"/>
    <w:qFormat/>
    <w:rPr>
      <w:rFonts w:ascii="Symbol" w:hAnsi="Symbol" w:eastAsia="Times New Roman" w:cs="Arial"/>
    </w:rPr>
  </w:style>
  <w:style w:type="character" w:styleId="WW8Num18z1">
    <w:name w:val="WW8Num18z1"/>
    <w:qFormat/>
    <w:rPr>
      <w:b w:val="false"/>
      <w:color w:val="auto"/>
      <w:sz w:val="18"/>
      <w:szCs w:val="18"/>
    </w:rPr>
  </w:style>
  <w:style w:type="character" w:styleId="WW8Num19z0">
    <w:name w:val="WW8Num19z0"/>
    <w:qFormat/>
    <w:rPr>
      <w:rFonts w:ascii="Times New Roman" w:hAnsi="Times New Roman" w:eastAsia="Times New Roman" w:cs="Times New Roman"/>
    </w:rPr>
  </w:style>
  <w:style w:type="character" w:styleId="Domylnaczcionkaakapitu9">
    <w:name w:val="Domyślna czcionka akapitu9"/>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Domylnaczcionkaakapitu8">
    <w:name w:val="Domyślna czcionka akapitu8"/>
    <w:qFormat/>
    <w:rPr/>
  </w:style>
  <w:style w:type="character" w:styleId="Domylnaczcionkaakapitu7">
    <w:name w:val="Domyślna czcionka akapitu7"/>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Domylnaczcionkaakapitu6">
    <w:name w:val="Domyślna czcionka akapitu6"/>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Domylnaczcionkaakapitu5">
    <w:name w:val="Domyślna czcionka akapitu5"/>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8Num3z0">
    <w:name w:val="WW8Num3z0"/>
    <w:qFormat/>
    <w:rPr>
      <w:rFonts w:ascii="Times New Roman" w:hAnsi="Times New Roman" w:eastAsia="Arial Unicode MS" w:cs="Times New Roman"/>
      <w:color w:val="auto"/>
      <w:sz w:val="24"/>
      <w:szCs w:val="24"/>
      <w:lang w:val="pl-PL"/>
    </w:rPr>
  </w:style>
  <w:style w:type="character" w:styleId="WW8Num9z0">
    <w:name w:val="WW8Num9z0"/>
    <w:qFormat/>
    <w:rPr>
      <w:rFonts w:ascii="Times New Roman" w:hAnsi="Times New Roman" w:eastAsia="Arial Unicode MS" w:cs="Times New Roman"/>
      <w:color w:val="000000"/>
      <w:sz w:val="24"/>
      <w:szCs w:val="24"/>
      <w:lang w:val="pl-PL"/>
    </w:rPr>
  </w:style>
  <w:style w:type="character" w:styleId="Domylnaczcionkaakapitu4">
    <w:name w:val="Domyślna czcionka akapitu4"/>
    <w:qFormat/>
    <w:rPr/>
  </w:style>
  <w:style w:type="character" w:styleId="WW8Num11z2">
    <w:name w:val="WW8Num11z2"/>
    <w:qFormat/>
    <w:rPr>
      <w:rFonts w:ascii="Wingdings" w:hAnsi="Wingdings" w:cs="Wingdings"/>
    </w:rPr>
  </w:style>
  <w:style w:type="character" w:styleId="WW8Num11z4">
    <w:name w:val="WW8Num11z4"/>
    <w:qFormat/>
    <w:rPr>
      <w:rFonts w:ascii="Courier New" w:hAnsi="Courier New" w:cs="Courier New"/>
    </w:rPr>
  </w:style>
  <w:style w:type="character" w:styleId="WW8Num12z0">
    <w:name w:val="WW8Num12z0"/>
    <w:qFormat/>
    <w:rPr>
      <w:rFonts w:ascii="Symbol" w:hAnsi="Symbol" w:cs="Symbol"/>
      <w:color w:val="000000"/>
    </w:rPr>
  </w:style>
  <w:style w:type="character" w:styleId="WWAbsatzStandardschriftart1111111111111111111111111111111111">
    <w:name w:val="WW-Absatz-Standardschriftart1111111111111111111111111111111111"/>
    <w:qFormat/>
    <w:rPr/>
  </w:style>
  <w:style w:type="character" w:styleId="WW8Num12z2">
    <w:name w:val="WW8Num12z2"/>
    <w:qFormat/>
    <w:rPr>
      <w:rFonts w:ascii="Wingdings" w:hAnsi="Wingdings" w:cs="Wingdings"/>
    </w:rPr>
  </w:style>
  <w:style w:type="character" w:styleId="WW8Num12z4">
    <w:name w:val="WW8Num12z4"/>
    <w:qFormat/>
    <w:rPr>
      <w:rFonts w:ascii="Courier New" w:hAnsi="Courier New" w:cs="Courier New"/>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Times New Roman" w:hAnsi="Times New Roman" w:eastAsia="Times New Roman" w:cs="Times New Roman"/>
    </w:rPr>
  </w:style>
  <w:style w:type="character" w:styleId="WW8Num16z0">
    <w:name w:val="WW8Num16z0"/>
    <w:qFormat/>
    <w:rPr>
      <w:rFonts w:ascii="Times New Roman" w:hAnsi="Times New Roman" w:eastAsia="Times New Roman" w:cs="Times New Roman"/>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Domylnaczcionkaakapitu3">
    <w:name w:val="Domyślna czcionka akapitu3"/>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8Num13z0">
    <w:name w:val="WW8Num13z0"/>
    <w:qFormat/>
    <w:rPr>
      <w:rFonts w:ascii="Symbol" w:hAnsi="Symbol" w:cs="Symbol"/>
      <w:color w:val="000000"/>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8Num30z0">
    <w:name w:val="WW8Num30z0"/>
    <w:qFormat/>
    <w:rPr>
      <w:rFonts w:ascii="StarSymbol" w:hAnsi="StarSymbol" w:cs="StarSymbol"/>
      <w:sz w:val="18"/>
      <w:szCs w:val="18"/>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Domylnaczcionkaakapitu2">
    <w:name w:val="Domyślna czcionka akapitu2"/>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8Num29z0">
    <w:name w:val="WW8Num29z0"/>
    <w:qFormat/>
    <w:rPr>
      <w:rFonts w:ascii="StarSymbol" w:hAnsi="StarSymbol" w:cs="StarSymbol"/>
      <w:sz w:val="18"/>
      <w:szCs w:val="18"/>
    </w:rPr>
  </w:style>
  <w:style w:type="character" w:styleId="Domylnaczcionkaakapitu1">
    <w:name w:val="Domyślna czcionka akapitu1"/>
    <w:qFormat/>
    <w:rPr/>
  </w:style>
  <w:style w:type="character" w:styleId="WWAbsatzStandardschriftart111111111111111111111111111111111111111111111111">
    <w:name w:val="WW-Absatz-Standardschriftart111111111111111111111111111111111111111111111111"/>
    <w:qFormat/>
    <w:rPr/>
  </w:style>
  <w:style w:type="character" w:styleId="WW8Num18z0">
    <w:name w:val="WW8Num18z0"/>
    <w:qFormat/>
    <w:rPr>
      <w:rFonts w:ascii="Times New Roman" w:hAnsi="Times New Roman" w:eastAsia="Times New Roman" w:cs="Times New Roman"/>
    </w:rPr>
  </w:style>
  <w:style w:type="character" w:styleId="WWAbsatzStandardschriftart1111111111111111111111111111111111111111111111111">
    <w:name w:val="WW-Absatz-Standardschriftart1111111111111111111111111111111111111111111111111"/>
    <w:qFormat/>
    <w:rPr/>
  </w:style>
  <w:style w:type="character" w:styleId="WWWW8Num13z0">
    <w:name w:val="WW-WW8Num13z0"/>
    <w:qFormat/>
    <w:rPr>
      <w:rFonts w:ascii="Symbol" w:hAnsi="Symbol" w:cs="Symbol"/>
      <w:color w:val="000000"/>
    </w:rPr>
  </w:style>
  <w:style w:type="character" w:styleId="WWWW8Num18z0">
    <w:name w:val="WW-WW8Num18z0"/>
    <w:qFormat/>
    <w:rPr>
      <w:rFonts w:ascii="Times New Roman" w:hAnsi="Times New Roman" w:eastAsia="Times New Roman" w:cs="Times New Roman"/>
    </w:rPr>
  </w:style>
  <w:style w:type="character" w:styleId="WWWW8Num19z0">
    <w:name w:val="WW-WW8Num19z0"/>
    <w:qFormat/>
    <w:rPr>
      <w:rFonts w:ascii="Times New Roman" w:hAnsi="Times New Roman" w:eastAsia="Times New Roman" w:cs="Times New Roman"/>
    </w:rPr>
  </w:style>
  <w:style w:type="character" w:styleId="WWAbsatzStandardschriftart11111111111111111111111111111111111111111111111111">
    <w:name w:val="WW-Absatz-Standardschriftart11111111111111111111111111111111111111111111111111"/>
    <w:qFormat/>
    <w:rPr/>
  </w:style>
  <w:style w:type="character" w:styleId="RTFNum21">
    <w:name w:val="RTF_Num 2 1"/>
    <w:qFormat/>
    <w:rPr/>
  </w:style>
  <w:style w:type="character" w:styleId="RTFNum22">
    <w:name w:val="RTF_Num 2 2"/>
    <w:qFormat/>
    <w:rPr/>
  </w:style>
  <w:style w:type="character" w:styleId="RTFNum23">
    <w:name w:val="RTF_Num 2 3"/>
    <w:qFormat/>
    <w:rPr/>
  </w:style>
  <w:style w:type="character" w:styleId="RTFNum24">
    <w:name w:val="RTF_Num 2 4"/>
    <w:qFormat/>
    <w:rPr/>
  </w:style>
  <w:style w:type="character" w:styleId="RTFNum25">
    <w:name w:val="RTF_Num 2 5"/>
    <w:qFormat/>
    <w:rPr/>
  </w:style>
  <w:style w:type="character" w:styleId="RTFNum26">
    <w:name w:val="RTF_Num 2 6"/>
    <w:qFormat/>
    <w:rPr/>
  </w:style>
  <w:style w:type="character" w:styleId="RTFNum27">
    <w:name w:val="RTF_Num 2 7"/>
    <w:qFormat/>
    <w:rPr/>
  </w:style>
  <w:style w:type="character" w:styleId="RTFNum28">
    <w:name w:val="RTF_Num 2 8"/>
    <w:qFormat/>
    <w:rPr/>
  </w:style>
  <w:style w:type="character" w:styleId="RTFNum29">
    <w:name w:val="RTF_Num 2 9"/>
    <w:qFormat/>
    <w:rPr/>
  </w:style>
  <w:style w:type="character" w:styleId="WWRTFNum21">
    <w:name w:val="WW-RTF_Num 2 1"/>
    <w:qFormat/>
    <w:rPr/>
  </w:style>
  <w:style w:type="character" w:styleId="WWRTFNum22">
    <w:name w:val="WW-RTF_Num 2 2"/>
    <w:qFormat/>
    <w:rPr/>
  </w:style>
  <w:style w:type="character" w:styleId="WWRTFNum23">
    <w:name w:val="WW-RTF_Num 2 3"/>
    <w:qFormat/>
    <w:rPr/>
  </w:style>
  <w:style w:type="character" w:styleId="WWRTFNum24">
    <w:name w:val="WW-RTF_Num 2 4"/>
    <w:qFormat/>
    <w:rPr/>
  </w:style>
  <w:style w:type="character" w:styleId="WWRTFNum25">
    <w:name w:val="WW-RTF_Num 2 5"/>
    <w:qFormat/>
    <w:rPr/>
  </w:style>
  <w:style w:type="character" w:styleId="WWRTFNum26">
    <w:name w:val="WW-RTF_Num 2 6"/>
    <w:qFormat/>
    <w:rPr/>
  </w:style>
  <w:style w:type="character" w:styleId="WWRTFNum27">
    <w:name w:val="WW-RTF_Num 2 7"/>
    <w:qFormat/>
    <w:rPr/>
  </w:style>
  <w:style w:type="character" w:styleId="WWRTFNum28">
    <w:name w:val="WW-RTF_Num 2 8"/>
    <w:qFormat/>
    <w:rPr/>
  </w:style>
  <w:style w:type="character" w:styleId="WWRTFNum29">
    <w:name w:val="WW-RTF_Num 2 9"/>
    <w:qFormat/>
    <w:rPr/>
  </w:style>
  <w:style w:type="character" w:styleId="WWRTFNum211">
    <w:name w:val="WW-RTF_Num 2 11"/>
    <w:qFormat/>
    <w:rPr/>
  </w:style>
  <w:style w:type="character" w:styleId="WWRTFNum221">
    <w:name w:val="WW-RTF_Num 2 21"/>
    <w:qFormat/>
    <w:rPr/>
  </w:style>
  <w:style w:type="character" w:styleId="WWRTFNum231">
    <w:name w:val="WW-RTF_Num 2 31"/>
    <w:qFormat/>
    <w:rPr/>
  </w:style>
  <w:style w:type="character" w:styleId="WWRTFNum241">
    <w:name w:val="WW-RTF_Num 2 41"/>
    <w:qFormat/>
    <w:rPr/>
  </w:style>
  <w:style w:type="character" w:styleId="WWRTFNum251">
    <w:name w:val="WW-RTF_Num 2 51"/>
    <w:qFormat/>
    <w:rPr/>
  </w:style>
  <w:style w:type="character" w:styleId="WWRTFNum261">
    <w:name w:val="WW-RTF_Num 2 61"/>
    <w:qFormat/>
    <w:rPr/>
  </w:style>
  <w:style w:type="character" w:styleId="WWRTFNum271">
    <w:name w:val="WW-RTF_Num 2 71"/>
    <w:qFormat/>
    <w:rPr/>
  </w:style>
  <w:style w:type="character" w:styleId="WWRTFNum281">
    <w:name w:val="WW-RTF_Num 2 81"/>
    <w:qFormat/>
    <w:rPr/>
  </w:style>
  <w:style w:type="character" w:styleId="WWRTFNum291">
    <w:name w:val="WW-RTF_Num 2 91"/>
    <w:qFormat/>
    <w:rPr/>
  </w:style>
  <w:style w:type="character" w:styleId="WWRTFNum212">
    <w:name w:val="WW-RTF_Num 2 12"/>
    <w:qFormat/>
    <w:rPr/>
  </w:style>
  <w:style w:type="character" w:styleId="WWRTFNum222">
    <w:name w:val="WW-RTF_Num 2 22"/>
    <w:qFormat/>
    <w:rPr/>
  </w:style>
  <w:style w:type="character" w:styleId="WWRTFNum232">
    <w:name w:val="WW-RTF_Num 2 32"/>
    <w:qFormat/>
    <w:rPr/>
  </w:style>
  <w:style w:type="character" w:styleId="WWRTFNum242">
    <w:name w:val="WW-RTF_Num 2 42"/>
    <w:qFormat/>
    <w:rPr/>
  </w:style>
  <w:style w:type="character" w:styleId="WWRTFNum252">
    <w:name w:val="WW-RTF_Num 2 52"/>
    <w:qFormat/>
    <w:rPr/>
  </w:style>
  <w:style w:type="character" w:styleId="WWRTFNum262">
    <w:name w:val="WW-RTF_Num 2 62"/>
    <w:qFormat/>
    <w:rPr/>
  </w:style>
  <w:style w:type="character" w:styleId="WWRTFNum272">
    <w:name w:val="WW-RTF_Num 2 72"/>
    <w:qFormat/>
    <w:rPr/>
  </w:style>
  <w:style w:type="character" w:styleId="WWRTFNum282">
    <w:name w:val="WW-RTF_Num 2 82"/>
    <w:qFormat/>
    <w:rPr/>
  </w:style>
  <w:style w:type="character" w:styleId="WWRTFNum292">
    <w:name w:val="WW-RTF_Num 2 92"/>
    <w:qFormat/>
    <w:rPr/>
  </w:style>
  <w:style w:type="character" w:styleId="WWRTFNum213">
    <w:name w:val="WW-RTF_Num 2 13"/>
    <w:qFormat/>
    <w:rPr/>
  </w:style>
  <w:style w:type="character" w:styleId="WWRTFNum223">
    <w:name w:val="WW-RTF_Num 2 23"/>
    <w:qFormat/>
    <w:rPr/>
  </w:style>
  <w:style w:type="character" w:styleId="WWRTFNum233">
    <w:name w:val="WW-RTF_Num 2 33"/>
    <w:qFormat/>
    <w:rPr/>
  </w:style>
  <w:style w:type="character" w:styleId="WWRTFNum243">
    <w:name w:val="WW-RTF_Num 2 43"/>
    <w:qFormat/>
    <w:rPr/>
  </w:style>
  <w:style w:type="character" w:styleId="WWRTFNum253">
    <w:name w:val="WW-RTF_Num 2 53"/>
    <w:qFormat/>
    <w:rPr/>
  </w:style>
  <w:style w:type="character" w:styleId="WWRTFNum263">
    <w:name w:val="WW-RTF_Num 2 63"/>
    <w:qFormat/>
    <w:rPr/>
  </w:style>
  <w:style w:type="character" w:styleId="WWRTFNum273">
    <w:name w:val="WW-RTF_Num 2 73"/>
    <w:qFormat/>
    <w:rPr/>
  </w:style>
  <w:style w:type="character" w:styleId="WWRTFNum283">
    <w:name w:val="WW-RTF_Num 2 83"/>
    <w:qFormat/>
    <w:rPr/>
  </w:style>
  <w:style w:type="character" w:styleId="WWRTFNum293">
    <w:name w:val="WW-RTF_Num 2 93"/>
    <w:qFormat/>
    <w:rPr/>
  </w:style>
  <w:style w:type="character" w:styleId="WWRTFNum214">
    <w:name w:val="WW-RTF_Num 2 14"/>
    <w:qFormat/>
    <w:rPr/>
  </w:style>
  <w:style w:type="character" w:styleId="WWRTFNum224">
    <w:name w:val="WW-RTF_Num 2 24"/>
    <w:qFormat/>
    <w:rPr/>
  </w:style>
  <w:style w:type="character" w:styleId="WWRTFNum234">
    <w:name w:val="WW-RTF_Num 2 34"/>
    <w:qFormat/>
    <w:rPr/>
  </w:style>
  <w:style w:type="character" w:styleId="WWRTFNum244">
    <w:name w:val="WW-RTF_Num 2 44"/>
    <w:qFormat/>
    <w:rPr/>
  </w:style>
  <w:style w:type="character" w:styleId="WWRTFNum254">
    <w:name w:val="WW-RTF_Num 2 54"/>
    <w:qFormat/>
    <w:rPr/>
  </w:style>
  <w:style w:type="character" w:styleId="WWRTFNum264">
    <w:name w:val="WW-RTF_Num 2 64"/>
    <w:qFormat/>
    <w:rPr/>
  </w:style>
  <w:style w:type="character" w:styleId="WWRTFNum274">
    <w:name w:val="WW-RTF_Num 2 74"/>
    <w:qFormat/>
    <w:rPr/>
  </w:style>
  <w:style w:type="character" w:styleId="WWRTFNum284">
    <w:name w:val="WW-RTF_Num 2 84"/>
    <w:qFormat/>
    <w:rPr/>
  </w:style>
  <w:style w:type="character" w:styleId="WWRTFNum294">
    <w:name w:val="WW-RTF_Num 2 94"/>
    <w:qFormat/>
    <w:rPr/>
  </w:style>
  <w:style w:type="character" w:styleId="WWRTFNum215">
    <w:name w:val="WW-RTF_Num 2 15"/>
    <w:qFormat/>
    <w:rPr/>
  </w:style>
  <w:style w:type="character" w:styleId="WWRTFNum225">
    <w:name w:val="WW-RTF_Num 2 25"/>
    <w:qFormat/>
    <w:rPr/>
  </w:style>
  <w:style w:type="character" w:styleId="WWRTFNum235">
    <w:name w:val="WW-RTF_Num 2 35"/>
    <w:qFormat/>
    <w:rPr/>
  </w:style>
  <w:style w:type="character" w:styleId="WWRTFNum245">
    <w:name w:val="WW-RTF_Num 2 45"/>
    <w:qFormat/>
    <w:rPr/>
  </w:style>
  <w:style w:type="character" w:styleId="WWRTFNum255">
    <w:name w:val="WW-RTF_Num 2 55"/>
    <w:qFormat/>
    <w:rPr/>
  </w:style>
  <w:style w:type="character" w:styleId="WWRTFNum265">
    <w:name w:val="WW-RTF_Num 2 65"/>
    <w:qFormat/>
    <w:rPr/>
  </w:style>
  <w:style w:type="character" w:styleId="WWRTFNum275">
    <w:name w:val="WW-RTF_Num 2 75"/>
    <w:qFormat/>
    <w:rPr/>
  </w:style>
  <w:style w:type="character" w:styleId="WWRTFNum285">
    <w:name w:val="WW-RTF_Num 2 85"/>
    <w:qFormat/>
    <w:rPr/>
  </w:style>
  <w:style w:type="character" w:styleId="WWRTFNum295">
    <w:name w:val="WW-RTF_Num 2 95"/>
    <w:qFormat/>
    <w:rPr/>
  </w:style>
  <w:style w:type="character" w:styleId="WWRTFNum216">
    <w:name w:val="WW-RTF_Num 2 16"/>
    <w:qFormat/>
    <w:rPr/>
  </w:style>
  <w:style w:type="character" w:styleId="WWRTFNum226">
    <w:name w:val="WW-RTF_Num 2 26"/>
    <w:qFormat/>
    <w:rPr/>
  </w:style>
  <w:style w:type="character" w:styleId="WWRTFNum236">
    <w:name w:val="WW-RTF_Num 2 36"/>
    <w:qFormat/>
    <w:rPr/>
  </w:style>
  <w:style w:type="character" w:styleId="WWRTFNum246">
    <w:name w:val="WW-RTF_Num 2 46"/>
    <w:qFormat/>
    <w:rPr/>
  </w:style>
  <w:style w:type="character" w:styleId="WWRTFNum256">
    <w:name w:val="WW-RTF_Num 2 56"/>
    <w:qFormat/>
    <w:rPr/>
  </w:style>
  <w:style w:type="character" w:styleId="WWRTFNum266">
    <w:name w:val="WW-RTF_Num 2 66"/>
    <w:qFormat/>
    <w:rPr/>
  </w:style>
  <w:style w:type="character" w:styleId="WWRTFNum276">
    <w:name w:val="WW-RTF_Num 2 76"/>
    <w:qFormat/>
    <w:rPr/>
  </w:style>
  <w:style w:type="character" w:styleId="WWRTFNum286">
    <w:name w:val="WW-RTF_Num 2 86"/>
    <w:qFormat/>
    <w:rPr/>
  </w:style>
  <w:style w:type="character" w:styleId="WWRTFNum296">
    <w:name w:val="WW-RTF_Num 2 96"/>
    <w:qFormat/>
    <w:rPr/>
  </w:style>
  <w:style w:type="character" w:styleId="WWRTFNum217">
    <w:name w:val="WW-RTF_Num 2 17"/>
    <w:qFormat/>
    <w:rPr/>
  </w:style>
  <w:style w:type="character" w:styleId="WWRTFNum227">
    <w:name w:val="WW-RTF_Num 2 27"/>
    <w:qFormat/>
    <w:rPr/>
  </w:style>
  <w:style w:type="character" w:styleId="WWRTFNum237">
    <w:name w:val="WW-RTF_Num 2 37"/>
    <w:qFormat/>
    <w:rPr/>
  </w:style>
  <w:style w:type="character" w:styleId="WWRTFNum247">
    <w:name w:val="WW-RTF_Num 2 47"/>
    <w:qFormat/>
    <w:rPr/>
  </w:style>
  <w:style w:type="character" w:styleId="WWRTFNum257">
    <w:name w:val="WW-RTF_Num 2 57"/>
    <w:qFormat/>
    <w:rPr/>
  </w:style>
  <w:style w:type="character" w:styleId="WWRTFNum267">
    <w:name w:val="WW-RTF_Num 2 67"/>
    <w:qFormat/>
    <w:rPr/>
  </w:style>
  <w:style w:type="character" w:styleId="WWRTFNum277">
    <w:name w:val="WW-RTF_Num 2 77"/>
    <w:qFormat/>
    <w:rPr/>
  </w:style>
  <w:style w:type="character" w:styleId="WWRTFNum287">
    <w:name w:val="WW-RTF_Num 2 87"/>
    <w:qFormat/>
    <w:rPr/>
  </w:style>
  <w:style w:type="character" w:styleId="WWRTFNum297">
    <w:name w:val="WW-RTF_Num 2 97"/>
    <w:qFormat/>
    <w:rPr/>
  </w:style>
  <w:style w:type="character" w:styleId="WWRTFNum218">
    <w:name w:val="WW-RTF_Num 2 18"/>
    <w:qFormat/>
    <w:rPr/>
  </w:style>
  <w:style w:type="character" w:styleId="WWRTFNum228">
    <w:name w:val="WW-RTF_Num 2 28"/>
    <w:qFormat/>
    <w:rPr/>
  </w:style>
  <w:style w:type="character" w:styleId="WWRTFNum238">
    <w:name w:val="WW-RTF_Num 2 38"/>
    <w:qFormat/>
    <w:rPr/>
  </w:style>
  <w:style w:type="character" w:styleId="WWRTFNum248">
    <w:name w:val="WW-RTF_Num 2 48"/>
    <w:qFormat/>
    <w:rPr/>
  </w:style>
  <w:style w:type="character" w:styleId="WWRTFNum258">
    <w:name w:val="WW-RTF_Num 2 58"/>
    <w:qFormat/>
    <w:rPr/>
  </w:style>
  <w:style w:type="character" w:styleId="WWRTFNum268">
    <w:name w:val="WW-RTF_Num 2 68"/>
    <w:qFormat/>
    <w:rPr/>
  </w:style>
  <w:style w:type="character" w:styleId="WWRTFNum278">
    <w:name w:val="WW-RTF_Num 2 78"/>
    <w:qFormat/>
    <w:rPr/>
  </w:style>
  <w:style w:type="character" w:styleId="WWRTFNum288">
    <w:name w:val="WW-RTF_Num 2 88"/>
    <w:qFormat/>
    <w:rPr/>
  </w:style>
  <w:style w:type="character" w:styleId="WWRTFNum298">
    <w:name w:val="WW-RTF_Num 2 98"/>
    <w:qFormat/>
    <w:rPr/>
  </w:style>
  <w:style w:type="character" w:styleId="WWRTFNum219">
    <w:name w:val="WW-RTF_Num 2 19"/>
    <w:qFormat/>
    <w:rPr/>
  </w:style>
  <w:style w:type="character" w:styleId="WWRTFNum229">
    <w:name w:val="WW-RTF_Num 2 29"/>
    <w:qFormat/>
    <w:rPr/>
  </w:style>
  <w:style w:type="character" w:styleId="WWRTFNum239">
    <w:name w:val="WW-RTF_Num 2 39"/>
    <w:qFormat/>
    <w:rPr/>
  </w:style>
  <w:style w:type="character" w:styleId="WWRTFNum249">
    <w:name w:val="WW-RTF_Num 2 49"/>
    <w:qFormat/>
    <w:rPr/>
  </w:style>
  <w:style w:type="character" w:styleId="WWRTFNum259">
    <w:name w:val="WW-RTF_Num 2 59"/>
    <w:qFormat/>
    <w:rPr/>
  </w:style>
  <w:style w:type="character" w:styleId="WWRTFNum269">
    <w:name w:val="WW-RTF_Num 2 69"/>
    <w:qFormat/>
    <w:rPr/>
  </w:style>
  <w:style w:type="character" w:styleId="WWRTFNum279">
    <w:name w:val="WW-RTF_Num 2 79"/>
    <w:qFormat/>
    <w:rPr/>
  </w:style>
  <w:style w:type="character" w:styleId="WWRTFNum289">
    <w:name w:val="WW-RTF_Num 2 89"/>
    <w:qFormat/>
    <w:rPr/>
  </w:style>
  <w:style w:type="character" w:styleId="WWRTFNum299">
    <w:name w:val="WW-RTF_Num 2 99"/>
    <w:qFormat/>
    <w:rPr/>
  </w:style>
  <w:style w:type="character" w:styleId="WWRTFNum2110">
    <w:name w:val="WW-RTF_Num 2 110"/>
    <w:qFormat/>
    <w:rPr/>
  </w:style>
  <w:style w:type="character" w:styleId="WWRTFNum2210">
    <w:name w:val="WW-RTF_Num 2 210"/>
    <w:qFormat/>
    <w:rPr/>
  </w:style>
  <w:style w:type="character" w:styleId="WWRTFNum2310">
    <w:name w:val="WW-RTF_Num 2 310"/>
    <w:qFormat/>
    <w:rPr/>
  </w:style>
  <w:style w:type="character" w:styleId="WWRTFNum2410">
    <w:name w:val="WW-RTF_Num 2 410"/>
    <w:qFormat/>
    <w:rPr/>
  </w:style>
  <w:style w:type="character" w:styleId="WWRTFNum2510">
    <w:name w:val="WW-RTF_Num 2 510"/>
    <w:qFormat/>
    <w:rPr/>
  </w:style>
  <w:style w:type="character" w:styleId="WWRTFNum2610">
    <w:name w:val="WW-RTF_Num 2 610"/>
    <w:qFormat/>
    <w:rPr/>
  </w:style>
  <w:style w:type="character" w:styleId="WWRTFNum2710">
    <w:name w:val="WW-RTF_Num 2 710"/>
    <w:qFormat/>
    <w:rPr/>
  </w:style>
  <w:style w:type="character" w:styleId="WWRTFNum2810">
    <w:name w:val="WW-RTF_Num 2 810"/>
    <w:qFormat/>
    <w:rPr/>
  </w:style>
  <w:style w:type="character" w:styleId="WWRTFNum2910">
    <w:name w:val="WW-RTF_Num 2 910"/>
    <w:qFormat/>
    <w:rPr/>
  </w:style>
  <w:style w:type="character" w:styleId="WWRTFNum2111">
    <w:name w:val="WW-RTF_Num 2 111"/>
    <w:qFormat/>
    <w:rPr>
      <w:rFonts w:ascii="Symbol" w:hAnsi="Symbol" w:eastAsia="Symbol" w:cs="Symbol"/>
      <w:color w:val="000000"/>
    </w:rPr>
  </w:style>
  <w:style w:type="character" w:styleId="WWRTFNum2211">
    <w:name w:val="WW-RTF_Num 2 211"/>
    <w:qFormat/>
    <w:rPr>
      <w:rFonts w:ascii="Symbol" w:hAnsi="Symbol" w:eastAsia="Symbol" w:cs="Symbol"/>
      <w:color w:val="000000"/>
    </w:rPr>
  </w:style>
  <w:style w:type="character" w:styleId="WWRTFNum2311">
    <w:name w:val="WW-RTF_Num 2 311"/>
    <w:qFormat/>
    <w:rPr>
      <w:rFonts w:ascii="Symbol" w:hAnsi="Symbol" w:eastAsia="Symbol" w:cs="Symbol"/>
      <w:color w:val="000000"/>
    </w:rPr>
  </w:style>
  <w:style w:type="character" w:styleId="WWRTFNum2411">
    <w:name w:val="WW-RTF_Num 2 411"/>
    <w:qFormat/>
    <w:rPr>
      <w:rFonts w:ascii="Symbol" w:hAnsi="Symbol" w:eastAsia="Symbol" w:cs="Symbol"/>
      <w:color w:val="000000"/>
    </w:rPr>
  </w:style>
  <w:style w:type="character" w:styleId="WWRTFNum2511">
    <w:name w:val="WW-RTF_Num 2 511"/>
    <w:qFormat/>
    <w:rPr>
      <w:rFonts w:ascii="Symbol" w:hAnsi="Symbol" w:eastAsia="Symbol" w:cs="Symbol"/>
      <w:color w:val="000000"/>
    </w:rPr>
  </w:style>
  <w:style w:type="character" w:styleId="WWRTFNum2611">
    <w:name w:val="WW-RTF_Num 2 611"/>
    <w:qFormat/>
    <w:rPr>
      <w:rFonts w:ascii="Symbol" w:hAnsi="Symbol" w:eastAsia="Symbol" w:cs="Symbol"/>
      <w:color w:val="000000"/>
    </w:rPr>
  </w:style>
  <w:style w:type="character" w:styleId="WWRTFNum2711">
    <w:name w:val="WW-RTF_Num 2 711"/>
    <w:qFormat/>
    <w:rPr>
      <w:rFonts w:ascii="Symbol" w:hAnsi="Symbol" w:eastAsia="Symbol" w:cs="Symbol"/>
      <w:color w:val="000000"/>
    </w:rPr>
  </w:style>
  <w:style w:type="character" w:styleId="WWRTFNum2811">
    <w:name w:val="WW-RTF_Num 2 811"/>
    <w:qFormat/>
    <w:rPr>
      <w:rFonts w:ascii="Symbol" w:hAnsi="Symbol" w:eastAsia="Symbol" w:cs="Symbol"/>
      <w:color w:val="000000"/>
    </w:rPr>
  </w:style>
  <w:style w:type="character" w:styleId="WWRTFNum2911">
    <w:name w:val="WW-RTF_Num 2 911"/>
    <w:qFormat/>
    <w:rPr>
      <w:rFonts w:ascii="Symbol" w:hAnsi="Symbol" w:eastAsia="Symbol" w:cs="Symbol"/>
      <w:color w:val="000000"/>
    </w:rPr>
  </w:style>
  <w:style w:type="character" w:styleId="WWRTFNum2112">
    <w:name w:val="WW-RTF_Num 2 112"/>
    <w:qFormat/>
    <w:rPr/>
  </w:style>
  <w:style w:type="character" w:styleId="WWRTFNum2212">
    <w:name w:val="WW-RTF_Num 2 212"/>
    <w:qFormat/>
    <w:rPr/>
  </w:style>
  <w:style w:type="character" w:styleId="WWRTFNum2312">
    <w:name w:val="WW-RTF_Num 2 312"/>
    <w:qFormat/>
    <w:rPr/>
  </w:style>
  <w:style w:type="character" w:styleId="WWRTFNum2412">
    <w:name w:val="WW-RTF_Num 2 412"/>
    <w:qFormat/>
    <w:rPr/>
  </w:style>
  <w:style w:type="character" w:styleId="WWRTFNum2512">
    <w:name w:val="WW-RTF_Num 2 512"/>
    <w:qFormat/>
    <w:rPr/>
  </w:style>
  <w:style w:type="character" w:styleId="WWRTFNum2612">
    <w:name w:val="WW-RTF_Num 2 612"/>
    <w:qFormat/>
    <w:rPr/>
  </w:style>
  <w:style w:type="character" w:styleId="WWRTFNum2712">
    <w:name w:val="WW-RTF_Num 2 712"/>
    <w:qFormat/>
    <w:rPr/>
  </w:style>
  <w:style w:type="character" w:styleId="WWRTFNum2812">
    <w:name w:val="WW-RTF_Num 2 812"/>
    <w:qFormat/>
    <w:rPr/>
  </w:style>
  <w:style w:type="character" w:styleId="WWRTFNum2912">
    <w:name w:val="WW-RTF_Num 2 912"/>
    <w:qFormat/>
    <w:rPr/>
  </w:style>
  <w:style w:type="character" w:styleId="WWRTFNum2113">
    <w:name w:val="WW-RTF_Num 2 113"/>
    <w:qFormat/>
    <w:rPr/>
  </w:style>
  <w:style w:type="character" w:styleId="WWRTFNum2213">
    <w:name w:val="WW-RTF_Num 2 213"/>
    <w:qFormat/>
    <w:rPr/>
  </w:style>
  <w:style w:type="character" w:styleId="WWRTFNum2313">
    <w:name w:val="WW-RTF_Num 2 313"/>
    <w:qFormat/>
    <w:rPr/>
  </w:style>
  <w:style w:type="character" w:styleId="WWRTFNum2413">
    <w:name w:val="WW-RTF_Num 2 413"/>
    <w:qFormat/>
    <w:rPr/>
  </w:style>
  <w:style w:type="character" w:styleId="WWRTFNum2513">
    <w:name w:val="WW-RTF_Num 2 513"/>
    <w:qFormat/>
    <w:rPr/>
  </w:style>
  <w:style w:type="character" w:styleId="WWRTFNum2613">
    <w:name w:val="WW-RTF_Num 2 613"/>
    <w:qFormat/>
    <w:rPr/>
  </w:style>
  <w:style w:type="character" w:styleId="WWRTFNum2713">
    <w:name w:val="WW-RTF_Num 2 713"/>
    <w:qFormat/>
    <w:rPr/>
  </w:style>
  <w:style w:type="character" w:styleId="WWRTFNum2813">
    <w:name w:val="WW-RTF_Num 2 813"/>
    <w:qFormat/>
    <w:rPr/>
  </w:style>
  <w:style w:type="character" w:styleId="WWRTFNum2913">
    <w:name w:val="WW-RTF_Num 2 913"/>
    <w:qFormat/>
    <w:rPr/>
  </w:style>
  <w:style w:type="character" w:styleId="WWRTFNum2114">
    <w:name w:val="WW-RTF_Num 2 114"/>
    <w:qFormat/>
    <w:rPr/>
  </w:style>
  <w:style w:type="character" w:styleId="WWRTFNum2214">
    <w:name w:val="WW-RTF_Num 2 214"/>
    <w:qFormat/>
    <w:rPr/>
  </w:style>
  <w:style w:type="character" w:styleId="WWRTFNum2314">
    <w:name w:val="WW-RTF_Num 2 314"/>
    <w:qFormat/>
    <w:rPr/>
  </w:style>
  <w:style w:type="character" w:styleId="WWRTFNum2414">
    <w:name w:val="WW-RTF_Num 2 414"/>
    <w:qFormat/>
    <w:rPr/>
  </w:style>
  <w:style w:type="character" w:styleId="WWRTFNum2514">
    <w:name w:val="WW-RTF_Num 2 514"/>
    <w:qFormat/>
    <w:rPr/>
  </w:style>
  <w:style w:type="character" w:styleId="WWRTFNum2614">
    <w:name w:val="WW-RTF_Num 2 614"/>
    <w:qFormat/>
    <w:rPr/>
  </w:style>
  <w:style w:type="character" w:styleId="WWRTFNum2714">
    <w:name w:val="WW-RTF_Num 2 714"/>
    <w:qFormat/>
    <w:rPr/>
  </w:style>
  <w:style w:type="character" w:styleId="WWRTFNum2814">
    <w:name w:val="WW-RTF_Num 2 814"/>
    <w:qFormat/>
    <w:rPr/>
  </w:style>
  <w:style w:type="character" w:styleId="WWRTFNum2914">
    <w:name w:val="WW-RTF_Num 2 914"/>
    <w:qFormat/>
    <w:rPr/>
  </w:style>
  <w:style w:type="character" w:styleId="WWRTFNum2115">
    <w:name w:val="WW-RTF_Num 2 115"/>
    <w:qFormat/>
    <w:rPr/>
  </w:style>
  <w:style w:type="character" w:styleId="WWRTFNum2215">
    <w:name w:val="WW-RTF_Num 2 215"/>
    <w:qFormat/>
    <w:rPr/>
  </w:style>
  <w:style w:type="character" w:styleId="WWRTFNum2315">
    <w:name w:val="WW-RTF_Num 2 315"/>
    <w:qFormat/>
    <w:rPr/>
  </w:style>
  <w:style w:type="character" w:styleId="WWRTFNum2415">
    <w:name w:val="WW-RTF_Num 2 415"/>
    <w:qFormat/>
    <w:rPr/>
  </w:style>
  <w:style w:type="character" w:styleId="WWRTFNum2515">
    <w:name w:val="WW-RTF_Num 2 515"/>
    <w:qFormat/>
    <w:rPr/>
  </w:style>
  <w:style w:type="character" w:styleId="WWRTFNum2615">
    <w:name w:val="WW-RTF_Num 2 615"/>
    <w:qFormat/>
    <w:rPr/>
  </w:style>
  <w:style w:type="character" w:styleId="WWRTFNum2715">
    <w:name w:val="WW-RTF_Num 2 715"/>
    <w:qFormat/>
    <w:rPr/>
  </w:style>
  <w:style w:type="character" w:styleId="WWRTFNum2815">
    <w:name w:val="WW-RTF_Num 2 815"/>
    <w:qFormat/>
    <w:rPr/>
  </w:style>
  <w:style w:type="character" w:styleId="WWRTFNum2915">
    <w:name w:val="WW-RTF_Num 2 915"/>
    <w:qFormat/>
    <w:rPr/>
  </w:style>
  <w:style w:type="character" w:styleId="WWRTFNum2116">
    <w:name w:val="WW-RTF_Num 2 116"/>
    <w:qFormat/>
    <w:rPr>
      <w:rFonts w:ascii="Times New Roman" w:hAnsi="Times New Roman" w:eastAsia="Times New Roman" w:cs="Times New Roman"/>
    </w:rPr>
  </w:style>
  <w:style w:type="character" w:styleId="WWRTFNum2216">
    <w:name w:val="WW-RTF_Num 2 216"/>
    <w:qFormat/>
    <w:rPr/>
  </w:style>
  <w:style w:type="character" w:styleId="WWRTFNum2316">
    <w:name w:val="WW-RTF_Num 2 316"/>
    <w:qFormat/>
    <w:rPr/>
  </w:style>
  <w:style w:type="character" w:styleId="WWRTFNum2416">
    <w:name w:val="WW-RTF_Num 2 416"/>
    <w:qFormat/>
    <w:rPr/>
  </w:style>
  <w:style w:type="character" w:styleId="WWRTFNum2516">
    <w:name w:val="WW-RTF_Num 2 516"/>
    <w:qFormat/>
    <w:rPr/>
  </w:style>
  <w:style w:type="character" w:styleId="WWRTFNum2616">
    <w:name w:val="WW-RTF_Num 2 616"/>
    <w:qFormat/>
    <w:rPr/>
  </w:style>
  <w:style w:type="character" w:styleId="WWRTFNum2716">
    <w:name w:val="WW-RTF_Num 2 716"/>
    <w:qFormat/>
    <w:rPr/>
  </w:style>
  <w:style w:type="character" w:styleId="WWRTFNum2816">
    <w:name w:val="WW-RTF_Num 2 816"/>
    <w:qFormat/>
    <w:rPr/>
  </w:style>
  <w:style w:type="character" w:styleId="WWRTFNum2916">
    <w:name w:val="WW-RTF_Num 2 916"/>
    <w:qFormat/>
    <w:rPr/>
  </w:style>
  <w:style w:type="character" w:styleId="WWRTFNum2117">
    <w:name w:val="WW-RTF_Num 2 117"/>
    <w:qFormat/>
    <w:rPr>
      <w:rFonts w:ascii="Times New Roman" w:hAnsi="Times New Roman" w:eastAsia="Times New Roman" w:cs="Times New Roman"/>
    </w:rPr>
  </w:style>
  <w:style w:type="character" w:styleId="WWRTFNum2217">
    <w:name w:val="WW-RTF_Num 2 217"/>
    <w:qFormat/>
    <w:rPr/>
  </w:style>
  <w:style w:type="character" w:styleId="WWRTFNum2317">
    <w:name w:val="WW-RTF_Num 2 317"/>
    <w:qFormat/>
    <w:rPr/>
  </w:style>
  <w:style w:type="character" w:styleId="WWRTFNum2417">
    <w:name w:val="WW-RTF_Num 2 417"/>
    <w:qFormat/>
    <w:rPr/>
  </w:style>
  <w:style w:type="character" w:styleId="WWRTFNum2517">
    <w:name w:val="WW-RTF_Num 2 517"/>
    <w:qFormat/>
    <w:rPr/>
  </w:style>
  <w:style w:type="character" w:styleId="WWRTFNum2617">
    <w:name w:val="WW-RTF_Num 2 617"/>
    <w:qFormat/>
    <w:rPr/>
  </w:style>
  <w:style w:type="character" w:styleId="WWRTFNum2717">
    <w:name w:val="WW-RTF_Num 2 717"/>
    <w:qFormat/>
    <w:rPr/>
  </w:style>
  <w:style w:type="character" w:styleId="WWRTFNum2817">
    <w:name w:val="WW-RTF_Num 2 817"/>
    <w:qFormat/>
    <w:rPr/>
  </w:style>
  <w:style w:type="character" w:styleId="WWRTFNum2917">
    <w:name w:val="WW-RTF_Num 2 917"/>
    <w:qFormat/>
    <w:rPr/>
  </w:style>
  <w:style w:type="character" w:styleId="WWRTFNum2118">
    <w:name w:val="WW-RTF_Num 2 118"/>
    <w:qFormat/>
    <w:rPr/>
  </w:style>
  <w:style w:type="character" w:styleId="WWRTFNum2218">
    <w:name w:val="WW-RTF_Num 2 218"/>
    <w:qFormat/>
    <w:rPr/>
  </w:style>
  <w:style w:type="character" w:styleId="WWRTFNum2318">
    <w:name w:val="WW-RTF_Num 2 318"/>
    <w:qFormat/>
    <w:rPr/>
  </w:style>
  <w:style w:type="character" w:styleId="WWRTFNum2418">
    <w:name w:val="WW-RTF_Num 2 418"/>
    <w:qFormat/>
    <w:rPr/>
  </w:style>
  <w:style w:type="character" w:styleId="WWRTFNum2518">
    <w:name w:val="WW-RTF_Num 2 518"/>
    <w:qFormat/>
    <w:rPr/>
  </w:style>
  <w:style w:type="character" w:styleId="WWRTFNum2618">
    <w:name w:val="WW-RTF_Num 2 618"/>
    <w:qFormat/>
    <w:rPr/>
  </w:style>
  <w:style w:type="character" w:styleId="WWRTFNum2718">
    <w:name w:val="WW-RTF_Num 2 718"/>
    <w:qFormat/>
    <w:rPr/>
  </w:style>
  <w:style w:type="character" w:styleId="WWRTFNum2818">
    <w:name w:val="WW-RTF_Num 2 818"/>
    <w:qFormat/>
    <w:rPr/>
  </w:style>
  <w:style w:type="character" w:styleId="WWRTFNum2918">
    <w:name w:val="WW-RTF_Num 2 918"/>
    <w:qFormat/>
    <w:rPr/>
  </w:style>
  <w:style w:type="character" w:styleId="WWRTFNum2119">
    <w:name w:val="WW-RTF_Num 2 119"/>
    <w:qFormat/>
    <w:rPr/>
  </w:style>
  <w:style w:type="character" w:styleId="WWRTFNum2219">
    <w:name w:val="WW-RTF_Num 2 219"/>
    <w:qFormat/>
    <w:rPr/>
  </w:style>
  <w:style w:type="character" w:styleId="WWRTFNum2319">
    <w:name w:val="WW-RTF_Num 2 319"/>
    <w:qFormat/>
    <w:rPr/>
  </w:style>
  <w:style w:type="character" w:styleId="WWRTFNum2419">
    <w:name w:val="WW-RTF_Num 2 419"/>
    <w:qFormat/>
    <w:rPr/>
  </w:style>
  <w:style w:type="character" w:styleId="WWRTFNum2519">
    <w:name w:val="WW-RTF_Num 2 519"/>
    <w:qFormat/>
    <w:rPr/>
  </w:style>
  <w:style w:type="character" w:styleId="WWRTFNum2619">
    <w:name w:val="WW-RTF_Num 2 619"/>
    <w:qFormat/>
    <w:rPr/>
  </w:style>
  <w:style w:type="character" w:styleId="WWRTFNum2719">
    <w:name w:val="WW-RTF_Num 2 719"/>
    <w:qFormat/>
    <w:rPr/>
  </w:style>
  <w:style w:type="character" w:styleId="WWRTFNum2819">
    <w:name w:val="WW-RTF_Num 2 819"/>
    <w:qFormat/>
    <w:rPr/>
  </w:style>
  <w:style w:type="character" w:styleId="WWRTFNum2919">
    <w:name w:val="WW-RTF_Num 2 919"/>
    <w:qFormat/>
    <w:rPr/>
  </w:style>
  <w:style w:type="character" w:styleId="WWRTFNum2120">
    <w:name w:val="WW-RTF_Num 2 120"/>
    <w:qFormat/>
    <w:rPr/>
  </w:style>
  <w:style w:type="character" w:styleId="WWRTFNum2220">
    <w:name w:val="WW-RTF_Num 2 220"/>
    <w:qFormat/>
    <w:rPr/>
  </w:style>
  <w:style w:type="character" w:styleId="WWRTFNum2320">
    <w:name w:val="WW-RTF_Num 2 320"/>
    <w:qFormat/>
    <w:rPr/>
  </w:style>
  <w:style w:type="character" w:styleId="WWRTFNum2420">
    <w:name w:val="WW-RTF_Num 2 420"/>
    <w:qFormat/>
    <w:rPr/>
  </w:style>
  <w:style w:type="character" w:styleId="WWRTFNum2520">
    <w:name w:val="WW-RTF_Num 2 520"/>
    <w:qFormat/>
    <w:rPr/>
  </w:style>
  <w:style w:type="character" w:styleId="WWRTFNum2620">
    <w:name w:val="WW-RTF_Num 2 620"/>
    <w:qFormat/>
    <w:rPr/>
  </w:style>
  <w:style w:type="character" w:styleId="WWRTFNum2720">
    <w:name w:val="WW-RTF_Num 2 720"/>
    <w:qFormat/>
    <w:rPr/>
  </w:style>
  <w:style w:type="character" w:styleId="WWRTFNum2820">
    <w:name w:val="WW-RTF_Num 2 820"/>
    <w:qFormat/>
    <w:rPr/>
  </w:style>
  <w:style w:type="character" w:styleId="WWRTFNum2920">
    <w:name w:val="WW-RTF_Num 2 920"/>
    <w:qFormat/>
    <w:rPr/>
  </w:style>
  <w:style w:type="character" w:styleId="WWRTFNum2121">
    <w:name w:val="WW-RTF_Num 2 121"/>
    <w:qFormat/>
    <w:rPr/>
  </w:style>
  <w:style w:type="character" w:styleId="WWRTFNum2221">
    <w:name w:val="WW-RTF_Num 2 221"/>
    <w:qFormat/>
    <w:rPr/>
  </w:style>
  <w:style w:type="character" w:styleId="WWRTFNum2321">
    <w:name w:val="WW-RTF_Num 2 321"/>
    <w:qFormat/>
    <w:rPr/>
  </w:style>
  <w:style w:type="character" w:styleId="WWRTFNum2421">
    <w:name w:val="WW-RTF_Num 2 421"/>
    <w:qFormat/>
    <w:rPr/>
  </w:style>
  <w:style w:type="character" w:styleId="WWRTFNum2521">
    <w:name w:val="WW-RTF_Num 2 521"/>
    <w:qFormat/>
    <w:rPr/>
  </w:style>
  <w:style w:type="character" w:styleId="WWRTFNum2621">
    <w:name w:val="WW-RTF_Num 2 621"/>
    <w:qFormat/>
    <w:rPr/>
  </w:style>
  <w:style w:type="character" w:styleId="WWRTFNum2721">
    <w:name w:val="WW-RTF_Num 2 721"/>
    <w:qFormat/>
    <w:rPr/>
  </w:style>
  <w:style w:type="character" w:styleId="WWRTFNum2821">
    <w:name w:val="WW-RTF_Num 2 821"/>
    <w:qFormat/>
    <w:rPr/>
  </w:style>
  <w:style w:type="character" w:styleId="WWRTFNum2921">
    <w:name w:val="WW-RTF_Num 2 921"/>
    <w:qFormat/>
    <w:rPr/>
  </w:style>
  <w:style w:type="character" w:styleId="WWRTFNum2122">
    <w:name w:val="WW-RTF_Num 2 122"/>
    <w:qFormat/>
    <w:rPr/>
  </w:style>
  <w:style w:type="character" w:styleId="WWRTFNum2222">
    <w:name w:val="WW-RTF_Num 2 222"/>
    <w:qFormat/>
    <w:rPr/>
  </w:style>
  <w:style w:type="character" w:styleId="WWRTFNum2322">
    <w:name w:val="WW-RTF_Num 2 322"/>
    <w:qFormat/>
    <w:rPr/>
  </w:style>
  <w:style w:type="character" w:styleId="WWRTFNum2422">
    <w:name w:val="WW-RTF_Num 2 422"/>
    <w:qFormat/>
    <w:rPr/>
  </w:style>
  <w:style w:type="character" w:styleId="WWRTFNum2522">
    <w:name w:val="WW-RTF_Num 2 522"/>
    <w:qFormat/>
    <w:rPr/>
  </w:style>
  <w:style w:type="character" w:styleId="WWRTFNum2622">
    <w:name w:val="WW-RTF_Num 2 622"/>
    <w:qFormat/>
    <w:rPr/>
  </w:style>
  <w:style w:type="character" w:styleId="WWRTFNum2722">
    <w:name w:val="WW-RTF_Num 2 722"/>
    <w:qFormat/>
    <w:rPr/>
  </w:style>
  <w:style w:type="character" w:styleId="WWRTFNum2822">
    <w:name w:val="WW-RTF_Num 2 822"/>
    <w:qFormat/>
    <w:rPr/>
  </w:style>
  <w:style w:type="character" w:styleId="WWRTFNum2922">
    <w:name w:val="WW-RTF_Num 2 922"/>
    <w:qFormat/>
    <w:rPr/>
  </w:style>
  <w:style w:type="character" w:styleId="WWRTFNum2123">
    <w:name w:val="WW-RTF_Num 2 123"/>
    <w:qFormat/>
    <w:rPr/>
  </w:style>
  <w:style w:type="character" w:styleId="WWRTFNum2223">
    <w:name w:val="WW-RTF_Num 2 223"/>
    <w:qFormat/>
    <w:rPr/>
  </w:style>
  <w:style w:type="character" w:styleId="WWRTFNum2323">
    <w:name w:val="WW-RTF_Num 2 323"/>
    <w:qFormat/>
    <w:rPr/>
  </w:style>
  <w:style w:type="character" w:styleId="WWRTFNum2423">
    <w:name w:val="WW-RTF_Num 2 423"/>
    <w:qFormat/>
    <w:rPr/>
  </w:style>
  <w:style w:type="character" w:styleId="WWRTFNum2523">
    <w:name w:val="WW-RTF_Num 2 523"/>
    <w:qFormat/>
    <w:rPr/>
  </w:style>
  <w:style w:type="character" w:styleId="WWRTFNum2623">
    <w:name w:val="WW-RTF_Num 2 623"/>
    <w:qFormat/>
    <w:rPr/>
  </w:style>
  <w:style w:type="character" w:styleId="WWRTFNum2723">
    <w:name w:val="WW-RTF_Num 2 723"/>
    <w:qFormat/>
    <w:rPr/>
  </w:style>
  <w:style w:type="character" w:styleId="WWRTFNum2823">
    <w:name w:val="WW-RTF_Num 2 823"/>
    <w:qFormat/>
    <w:rPr/>
  </w:style>
  <w:style w:type="character" w:styleId="WWRTFNum2923">
    <w:name w:val="WW-RTF_Num 2 923"/>
    <w:qFormat/>
    <w:rPr/>
  </w:style>
  <w:style w:type="character" w:styleId="WWRTFNum2124">
    <w:name w:val="WW-RTF_Num 2 124"/>
    <w:qFormat/>
    <w:rPr/>
  </w:style>
  <w:style w:type="character" w:styleId="WWRTFNum2224">
    <w:name w:val="WW-RTF_Num 2 224"/>
    <w:qFormat/>
    <w:rPr/>
  </w:style>
  <w:style w:type="character" w:styleId="WWRTFNum2324">
    <w:name w:val="WW-RTF_Num 2 324"/>
    <w:qFormat/>
    <w:rPr/>
  </w:style>
  <w:style w:type="character" w:styleId="WWRTFNum2424">
    <w:name w:val="WW-RTF_Num 2 424"/>
    <w:qFormat/>
    <w:rPr/>
  </w:style>
  <w:style w:type="character" w:styleId="WWRTFNum2524">
    <w:name w:val="WW-RTF_Num 2 524"/>
    <w:qFormat/>
    <w:rPr/>
  </w:style>
  <w:style w:type="character" w:styleId="WWRTFNum2624">
    <w:name w:val="WW-RTF_Num 2 624"/>
    <w:qFormat/>
    <w:rPr/>
  </w:style>
  <w:style w:type="character" w:styleId="WWRTFNum2724">
    <w:name w:val="WW-RTF_Num 2 724"/>
    <w:qFormat/>
    <w:rPr/>
  </w:style>
  <w:style w:type="character" w:styleId="WWRTFNum2824">
    <w:name w:val="WW-RTF_Num 2 824"/>
    <w:qFormat/>
    <w:rPr/>
  </w:style>
  <w:style w:type="character" w:styleId="WWRTFNum2924">
    <w:name w:val="WW-RTF_Num 2 924"/>
    <w:qFormat/>
    <w:rPr/>
  </w:style>
  <w:style w:type="character" w:styleId="WWRTFNum2125">
    <w:name w:val="WW-RTF_Num 2 125"/>
    <w:qFormat/>
    <w:rPr/>
  </w:style>
  <w:style w:type="character" w:styleId="WWRTFNum2225">
    <w:name w:val="WW-RTF_Num 2 225"/>
    <w:qFormat/>
    <w:rPr/>
  </w:style>
  <w:style w:type="character" w:styleId="WWRTFNum2325">
    <w:name w:val="WW-RTF_Num 2 325"/>
    <w:qFormat/>
    <w:rPr/>
  </w:style>
  <w:style w:type="character" w:styleId="WWRTFNum2425">
    <w:name w:val="WW-RTF_Num 2 425"/>
    <w:qFormat/>
    <w:rPr/>
  </w:style>
  <w:style w:type="character" w:styleId="WWRTFNum2525">
    <w:name w:val="WW-RTF_Num 2 525"/>
    <w:qFormat/>
    <w:rPr/>
  </w:style>
  <w:style w:type="character" w:styleId="WWRTFNum2625">
    <w:name w:val="WW-RTF_Num 2 625"/>
    <w:qFormat/>
    <w:rPr/>
  </w:style>
  <w:style w:type="character" w:styleId="WWRTFNum2725">
    <w:name w:val="WW-RTF_Num 2 725"/>
    <w:qFormat/>
    <w:rPr/>
  </w:style>
  <w:style w:type="character" w:styleId="WWRTFNum2825">
    <w:name w:val="WW-RTF_Num 2 825"/>
    <w:qFormat/>
    <w:rPr/>
  </w:style>
  <w:style w:type="character" w:styleId="WWRTFNum2925">
    <w:name w:val="WW-RTF_Num 2 925"/>
    <w:qFormat/>
    <w:rPr/>
  </w:style>
  <w:style w:type="character" w:styleId="WWRTFNum2126">
    <w:name w:val="WW-RTF_Num 2 126"/>
    <w:qFormat/>
    <w:rPr/>
  </w:style>
  <w:style w:type="character" w:styleId="WWRTFNum2226">
    <w:name w:val="WW-RTF_Num 2 226"/>
    <w:qFormat/>
    <w:rPr/>
  </w:style>
  <w:style w:type="character" w:styleId="WWRTFNum2326">
    <w:name w:val="WW-RTF_Num 2 326"/>
    <w:qFormat/>
    <w:rPr/>
  </w:style>
  <w:style w:type="character" w:styleId="WWRTFNum2426">
    <w:name w:val="WW-RTF_Num 2 426"/>
    <w:qFormat/>
    <w:rPr/>
  </w:style>
  <w:style w:type="character" w:styleId="WWRTFNum2526">
    <w:name w:val="WW-RTF_Num 2 526"/>
    <w:qFormat/>
    <w:rPr/>
  </w:style>
  <w:style w:type="character" w:styleId="WWRTFNum2626">
    <w:name w:val="WW-RTF_Num 2 626"/>
    <w:qFormat/>
    <w:rPr/>
  </w:style>
  <w:style w:type="character" w:styleId="WWRTFNum2726">
    <w:name w:val="WW-RTF_Num 2 726"/>
    <w:qFormat/>
    <w:rPr/>
  </w:style>
  <w:style w:type="character" w:styleId="WWRTFNum2826">
    <w:name w:val="WW-RTF_Num 2 826"/>
    <w:qFormat/>
    <w:rPr/>
  </w:style>
  <w:style w:type="character" w:styleId="WWRTFNum2926">
    <w:name w:val="WW-RTF_Num 2 926"/>
    <w:qFormat/>
    <w:rPr/>
  </w:style>
  <w:style w:type="character" w:styleId="WWRTFNum2127">
    <w:name w:val="WW-RTF_Num 2 127"/>
    <w:qFormat/>
    <w:rPr/>
  </w:style>
  <w:style w:type="character" w:styleId="WWRTFNum2227">
    <w:name w:val="WW-RTF_Num 2 227"/>
    <w:qFormat/>
    <w:rPr/>
  </w:style>
  <w:style w:type="character" w:styleId="WWRTFNum2327">
    <w:name w:val="WW-RTF_Num 2 327"/>
    <w:qFormat/>
    <w:rPr/>
  </w:style>
  <w:style w:type="character" w:styleId="WWRTFNum2427">
    <w:name w:val="WW-RTF_Num 2 427"/>
    <w:qFormat/>
    <w:rPr/>
  </w:style>
  <w:style w:type="character" w:styleId="WWRTFNum2527">
    <w:name w:val="WW-RTF_Num 2 527"/>
    <w:qFormat/>
    <w:rPr/>
  </w:style>
  <w:style w:type="character" w:styleId="WWRTFNum2627">
    <w:name w:val="WW-RTF_Num 2 627"/>
    <w:qFormat/>
    <w:rPr/>
  </w:style>
  <w:style w:type="character" w:styleId="WWRTFNum2727">
    <w:name w:val="WW-RTF_Num 2 727"/>
    <w:qFormat/>
    <w:rPr/>
  </w:style>
  <w:style w:type="character" w:styleId="WWRTFNum2827">
    <w:name w:val="WW-RTF_Num 2 827"/>
    <w:qFormat/>
    <w:rPr/>
  </w:style>
  <w:style w:type="character" w:styleId="WWRTFNum2927">
    <w:name w:val="WW-RTF_Num 2 927"/>
    <w:qFormat/>
    <w:rPr/>
  </w:style>
  <w:style w:type="character" w:styleId="WWRTFNum2128">
    <w:name w:val="WW-RTF_Num 2 128"/>
    <w:qFormat/>
    <w:rPr/>
  </w:style>
  <w:style w:type="character" w:styleId="WWRTFNum2228">
    <w:name w:val="WW-RTF_Num 2 228"/>
    <w:qFormat/>
    <w:rPr/>
  </w:style>
  <w:style w:type="character" w:styleId="WWRTFNum2328">
    <w:name w:val="WW-RTF_Num 2 328"/>
    <w:qFormat/>
    <w:rPr/>
  </w:style>
  <w:style w:type="character" w:styleId="WWRTFNum2428">
    <w:name w:val="WW-RTF_Num 2 428"/>
    <w:qFormat/>
    <w:rPr/>
  </w:style>
  <w:style w:type="character" w:styleId="WWRTFNum2528">
    <w:name w:val="WW-RTF_Num 2 528"/>
    <w:qFormat/>
    <w:rPr/>
  </w:style>
  <w:style w:type="character" w:styleId="WWRTFNum2628">
    <w:name w:val="WW-RTF_Num 2 628"/>
    <w:qFormat/>
    <w:rPr/>
  </w:style>
  <w:style w:type="character" w:styleId="WWRTFNum2728">
    <w:name w:val="WW-RTF_Num 2 728"/>
    <w:qFormat/>
    <w:rPr/>
  </w:style>
  <w:style w:type="character" w:styleId="WWRTFNum2828">
    <w:name w:val="WW-RTF_Num 2 828"/>
    <w:qFormat/>
    <w:rPr/>
  </w:style>
  <w:style w:type="character" w:styleId="WWRTFNum2928">
    <w:name w:val="WW-RTF_Num 2 928"/>
    <w:qFormat/>
    <w:rPr/>
  </w:style>
  <w:style w:type="character" w:styleId="Internetlink">
    <w:name w:val="Internet link"/>
    <w:qFormat/>
    <w:rPr>
      <w:rFonts w:ascii="Times New Roman" w:hAnsi="Times New Roman" w:eastAsia="Arial Unicode MS" w:cs="Times New Roman"/>
      <w:color w:val="000080"/>
      <w:sz w:val="24"/>
      <w:szCs w:val="24"/>
      <w:u w:val="single"/>
      <w:lang w:val="pl-PL"/>
    </w:rPr>
  </w:style>
  <w:style w:type="character" w:styleId="Znakinumeracji">
    <w:name w:val="Znaki numeracji"/>
    <w:qFormat/>
    <w:rPr/>
  </w:style>
  <w:style w:type="character" w:styleId="WWZnakinumeracji">
    <w:name w:val="WW-Znaki numeracji"/>
    <w:qFormat/>
    <w:rPr/>
  </w:style>
  <w:style w:type="character" w:styleId="WWZnakinumeracji1">
    <w:name w:val="WW-Znaki numeracji1"/>
    <w:qFormat/>
    <w:rPr/>
  </w:style>
  <w:style w:type="character" w:styleId="Symbolewypunktowania">
    <w:name w:val="Symbole wypunktowania"/>
    <w:qFormat/>
    <w:rPr>
      <w:rFonts w:ascii="StarSymbol" w:hAnsi="StarSymbol" w:eastAsia="StarSymbol" w:cs="StarSymbol"/>
      <w:sz w:val="18"/>
      <w:szCs w:val="18"/>
    </w:rPr>
  </w:style>
  <w:style w:type="character" w:styleId="WWSymbolewypunktowania">
    <w:name w:val="WW-Symbole wypunktowania"/>
    <w:qFormat/>
    <w:rPr>
      <w:rFonts w:ascii="StarSymbol" w:hAnsi="StarSymbol" w:eastAsia="StarSymbol" w:cs="StarSymbol"/>
      <w:sz w:val="18"/>
      <w:szCs w:val="18"/>
    </w:rPr>
  </w:style>
  <w:style w:type="character" w:styleId="Tabulatory">
    <w:name w:val="tabulatory"/>
    <w:qFormat/>
    <w:rPr/>
  </w:style>
  <w:style w:type="character" w:styleId="Alb">
    <w:name w:val="a_lb"/>
    <w:qFormat/>
    <w:rPr/>
  </w:style>
  <w:style w:type="character" w:styleId="Fnref">
    <w:name w:val="fn-ref"/>
    <w:qFormat/>
    <w:rPr/>
  </w:style>
  <w:style w:type="character" w:styleId="AkapitzlistZnak">
    <w:name w:val="Akapit z listą Znak"/>
    <w:qFormat/>
    <w:rPr/>
  </w:style>
  <w:style w:type="character" w:styleId="Albs">
    <w:name w:val="a_lb-s"/>
    <w:qFormat/>
    <w:rPr/>
  </w:style>
  <w:style w:type="character" w:styleId="Nierozpoznanawzmianka1">
    <w:name w:val="Nierozpoznana wzmianka1"/>
    <w:qFormat/>
    <w:rPr>
      <w:color w:val="605E5C"/>
      <w:highlight w:val="lightGray"/>
    </w:rPr>
  </w:style>
  <w:style w:type="character" w:styleId="FollowedHyperlink">
    <w:name w:val="FollowedHyperlink"/>
    <w:qFormat/>
    <w:rPr>
      <w:color w:val="954F72"/>
      <w:u w:val="single"/>
    </w:rPr>
  </w:style>
  <w:style w:type="character" w:styleId="Normalny1">
    <w:name w:val="Normalny1"/>
    <w:basedOn w:val="DefaultParagraphFont"/>
    <w:qFormat/>
    <w:rPr/>
  </w:style>
  <w:style w:type="character" w:styleId="Annotationreference">
    <w:name w:val="annotation reference"/>
    <w:basedOn w:val="DefaultParagraphFont"/>
    <w:qFormat/>
    <w:rPr>
      <w:sz w:val="16"/>
      <w:szCs w:val="16"/>
    </w:rPr>
  </w:style>
  <w:style w:type="character" w:styleId="TekstkomentarzaZnak">
    <w:name w:val="Tekst komentarza Znak"/>
    <w:basedOn w:val="DefaultParagraphFont"/>
    <w:qFormat/>
    <w:rPr>
      <w:rFonts w:ascii="Times New Roman" w:hAnsi="Times New Roman" w:eastAsia="Arial Unicode MS" w:cs="Times New Roman"/>
      <w:kern w:val="0"/>
      <w:sz w:val="20"/>
      <w:szCs w:val="20"/>
      <w:lang w:eastAsia="ar-SA"/>
    </w:rPr>
  </w:style>
  <w:style w:type="character" w:styleId="TematkomentarzaZnak">
    <w:name w:val="Temat komentarza Znak"/>
    <w:basedOn w:val="TekstkomentarzaZnak"/>
    <w:qFormat/>
    <w:rPr>
      <w:rFonts w:ascii="Times New Roman" w:hAnsi="Times New Roman" w:eastAsia="Arial Unicode MS" w:cs="Times New Roman"/>
      <w:b/>
      <w:bCs/>
      <w:kern w:val="0"/>
      <w:sz w:val="20"/>
      <w:szCs w:val="20"/>
      <w:lang w:eastAsia="ar-SA"/>
    </w:rPr>
  </w:style>
  <w:style w:type="character" w:styleId="Nierozpoznanawzmianka2">
    <w:name w:val="Nierozpoznana wzmianka2"/>
    <w:basedOn w:val="DefaultParagraphFont"/>
    <w:qFormat/>
    <w:rPr>
      <w:color w:val="605E5C"/>
      <w:highlight w:val="lightGray"/>
    </w:rPr>
  </w:style>
  <w:style w:type="character" w:styleId="UnresolvedMention">
    <w:name w:val="Unresolved Mention"/>
    <w:basedOn w:val="DefaultParagraphFont"/>
    <w:qFormat/>
    <w:rPr>
      <w:color w:val="605E5C"/>
      <w:highlight w:val="lightGray"/>
    </w:rPr>
  </w:style>
  <w:style w:type="character" w:styleId="Normalny2">
    <w:name w:val="Normalny2"/>
    <w:basedOn w:val="DefaultParagraphFont"/>
    <w:qFormat/>
    <w:rPr/>
  </w:style>
  <w:style w:type="character" w:styleId="ListLabel1">
    <w:name w:val="ListLabel 1"/>
    <w:qFormat/>
    <w:rPr>
      <w:color w:val="000000"/>
    </w:rPr>
  </w:style>
  <w:style w:type="character" w:styleId="ListLabel2">
    <w:name w:val="ListLabel 2"/>
    <w:qFormat/>
    <w:rPr>
      <w:rFonts w:ascii="Calibri" w:hAnsi="Calibri" w:eastAsia="Arial Unicode MS" w:cs="Times New Roman"/>
      <w:sz w:val="22"/>
    </w:rPr>
  </w:style>
  <w:style w:type="character" w:styleId="ListLabel3">
    <w:name w:val="ListLabel 3"/>
    <w:qFormat/>
    <w:rPr>
      <w:rFonts w:ascii="Calibri" w:hAnsi="Calibri"/>
      <w:b/>
      <w:sz w:val="22"/>
    </w:rPr>
  </w:style>
  <w:style w:type="character" w:styleId="ListLabel4">
    <w:name w:val="ListLabel 4"/>
    <w:qFormat/>
    <w:rPr>
      <w:rFonts w:ascii="Calibri" w:hAnsi="Calibri"/>
      <w:b/>
      <w:sz w:val="22"/>
    </w:rPr>
  </w:style>
  <w:style w:type="character" w:styleId="ListLabel5">
    <w:name w:val="ListLabel 5"/>
    <w:qFormat/>
    <w:rPr>
      <w:rFonts w:ascii="Calibri" w:hAnsi="Calibri"/>
      <w:b/>
      <w:sz w:val="22"/>
    </w:rPr>
  </w:style>
  <w:style w:type="character" w:styleId="ListLabel6">
    <w:name w:val="ListLabel 6"/>
    <w:qFormat/>
    <w:rPr>
      <w:rFonts w:ascii="Calibri" w:hAnsi="Calibri"/>
      <w:b/>
      <w:bCs/>
      <w:sz w:val="22"/>
    </w:rPr>
  </w:style>
  <w:style w:type="character" w:styleId="ListLabel7">
    <w:name w:val="ListLabel 7"/>
    <w:qFormat/>
    <w:rPr>
      <w:rFonts w:ascii="Calibri" w:hAnsi="Calibri" w:cs="Symbol"/>
      <w:color w:val="000000"/>
      <w:sz w:val="22"/>
    </w:rPr>
  </w:style>
  <w:style w:type="character" w:styleId="ListLabel8">
    <w:name w:val="ListLabel 8"/>
    <w:qFormat/>
    <w:rPr>
      <w:rFonts w:cs="Symbol"/>
      <w:color w:val="000000"/>
    </w:rPr>
  </w:style>
  <w:style w:type="character" w:styleId="ListLabel9">
    <w:name w:val="ListLabel 9"/>
    <w:qFormat/>
    <w:rPr>
      <w:rFonts w:cs="Symbol"/>
      <w:color w:val="000000"/>
    </w:rPr>
  </w:style>
  <w:style w:type="character" w:styleId="ListLabel10">
    <w:name w:val="ListLabel 10"/>
    <w:qFormat/>
    <w:rPr>
      <w:rFonts w:cs="Symbol"/>
      <w:color w:val="000000"/>
    </w:rPr>
  </w:style>
  <w:style w:type="character" w:styleId="ListLabel11">
    <w:name w:val="ListLabel 11"/>
    <w:qFormat/>
    <w:rPr>
      <w:rFonts w:cs="Symbol"/>
      <w:color w:val="000000"/>
    </w:rPr>
  </w:style>
  <w:style w:type="character" w:styleId="ListLabel12">
    <w:name w:val="ListLabel 12"/>
    <w:qFormat/>
    <w:rPr>
      <w:rFonts w:cs="Symbol"/>
      <w:color w:val="000000"/>
    </w:rPr>
  </w:style>
  <w:style w:type="character" w:styleId="ListLabel13">
    <w:name w:val="ListLabel 13"/>
    <w:qFormat/>
    <w:rPr>
      <w:rFonts w:cs="Symbol"/>
      <w:color w:val="000000"/>
    </w:rPr>
  </w:style>
  <w:style w:type="character" w:styleId="ListLabel14">
    <w:name w:val="ListLabel 14"/>
    <w:qFormat/>
    <w:rPr>
      <w:rFonts w:cs="Symbol"/>
      <w:color w:val="000000"/>
    </w:rPr>
  </w:style>
  <w:style w:type="character" w:styleId="ListLabel15">
    <w:name w:val="ListLabel 15"/>
    <w:qFormat/>
    <w:rPr>
      <w:rFonts w:cs="Symbol"/>
      <w:color w:val="000000"/>
    </w:rPr>
  </w:style>
  <w:style w:type="character" w:styleId="ListLabel16">
    <w:name w:val="ListLabel 16"/>
    <w:qFormat/>
    <w:rPr>
      <w:rFonts w:ascii="Calibri" w:hAnsi="Calibri" w:eastAsia="Times New Roman" w:cs="Calibri"/>
      <w:sz w:val="22"/>
    </w:rPr>
  </w:style>
  <w:style w:type="character" w:styleId="ListLabel17">
    <w:name w:val="ListLabel 17"/>
    <w:qFormat/>
    <w:rPr>
      <w:rFonts w:ascii="Calibri" w:hAnsi="Calibri" w:eastAsia="Arial Unicode MS" w:cs="Calibri"/>
      <w:sz w:val="22"/>
    </w:rPr>
  </w:style>
  <w:style w:type="character" w:styleId="ListLabel18">
    <w:name w:val="ListLabel 18"/>
    <w:qFormat/>
    <w:rPr>
      <w:rFonts w:ascii="Calibri" w:hAnsi="Calibri"/>
      <w:b/>
      <w:sz w:val="22"/>
    </w:rPr>
  </w:style>
  <w:style w:type="character" w:styleId="ListLabel19">
    <w:name w:val="ListLabel 19"/>
    <w:qFormat/>
    <w:rPr>
      <w:rFonts w:ascii="Calibri" w:hAnsi="Calibri" w:eastAsia="Times New Roman"/>
      <w:sz w:val="22"/>
    </w:rPr>
  </w:style>
  <w:style w:type="character" w:styleId="ListLabel20">
    <w:name w:val="ListLabel 20"/>
    <w:qFormat/>
    <w:rPr>
      <w:rFonts w:ascii="Calibri" w:hAnsi="Calibri" w:eastAsia="Times New Roman" w:cs="Calibri"/>
      <w:sz w:val="22"/>
    </w:rPr>
  </w:style>
  <w:style w:type="character" w:styleId="ListLabel21">
    <w:name w:val="ListLabel 21"/>
    <w:qFormat/>
    <w:rPr>
      <w:rFonts w:eastAsia="Times New Roman" w:cs="Calibri"/>
      <w:sz w:val="22"/>
    </w:rPr>
  </w:style>
  <w:style w:type="character" w:styleId="ListLabel22">
    <w:name w:val="ListLabel 22"/>
    <w:qFormat/>
    <w:rPr>
      <w:rFonts w:ascii="Calibri" w:hAnsi="Calibri"/>
      <w:i w:val="false"/>
      <w:sz w:val="22"/>
    </w:rPr>
  </w:style>
  <w:style w:type="character" w:styleId="ListLabel23">
    <w:name w:val="ListLabel 23"/>
    <w:qFormat/>
    <w:rPr>
      <w:rFonts w:ascii="Calibri" w:hAnsi="Calibri"/>
      <w:color w:val="auto"/>
      <w:sz w:val="22"/>
    </w:rPr>
  </w:style>
  <w:style w:type="character" w:styleId="ListLabel24">
    <w:name w:val="ListLabel 24"/>
    <w:qFormat/>
    <w:rPr>
      <w:rFonts w:eastAsia="Times New Roman" w:cs="Calibri"/>
      <w:sz w:val="22"/>
    </w:rPr>
  </w:style>
  <w:style w:type="character" w:styleId="ListLabel25">
    <w:name w:val="ListLabel 25"/>
    <w:qFormat/>
    <w:rPr>
      <w:rFonts w:cs="Times New Roman"/>
      <w:color w:val="auto"/>
      <w:sz w:val="22"/>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eastAsia="Times New Roman" w:cs="Calibri"/>
      <w:sz w:val="22"/>
    </w:rPr>
  </w:style>
  <w:style w:type="character" w:styleId="ListLabel30">
    <w:name w:val="ListLabel 30"/>
    <w:qFormat/>
    <w:rPr>
      <w:rFonts w:ascii="Calibri" w:hAnsi="Calibri" w:cs="Calibri"/>
      <w:sz w:val="22"/>
      <w:szCs w:val="22"/>
    </w:rPr>
  </w:style>
  <w:style w:type="character" w:styleId="ListLabel31">
    <w:name w:val="ListLabel 31"/>
    <w:qFormat/>
    <w:rPr>
      <w:rFonts w:eastAsia="Arial Unicode MS" w:cs="Times New Roman"/>
    </w:rPr>
  </w:style>
  <w:style w:type="character" w:styleId="ListLabel32">
    <w:name w:val="ListLabel 32"/>
    <w:qFormat/>
    <w:rPr>
      <w:rFonts w:eastAsia="Arial Unicode MS" w:cs="Times New Roman"/>
      <w:sz w:val="22"/>
      <w:szCs w:val="22"/>
    </w:rPr>
  </w:style>
  <w:style w:type="character" w:styleId="ListLabel33">
    <w:name w:val="ListLabel 33"/>
    <w:qFormat/>
    <w:rPr>
      <w:rFonts w:ascii="Calibri" w:hAnsi="Calibri" w:cs="Calibri"/>
      <w:color w:val="auto"/>
    </w:rPr>
  </w:style>
  <w:style w:type="character" w:styleId="ListLabel34">
    <w:name w:val="ListLabel 34"/>
    <w:qFormat/>
    <w:rPr>
      <w:rFonts w:ascii="Calibri" w:hAnsi="Calibri" w:cs="Calibri"/>
      <w:i/>
      <w:sz w:val="22"/>
      <w:szCs w:val="22"/>
    </w:rPr>
  </w:style>
  <w:style w:type="character" w:styleId="ListLabel35">
    <w:name w:val="ListLabel 35"/>
    <w:qFormat/>
    <w:rPr>
      <w:rFonts w:ascii="Calibri" w:hAnsi="Calibri" w:cs="Calibri"/>
      <w:color w:val="000000"/>
      <w:sz w:val="22"/>
      <w:szCs w:val="22"/>
    </w:rPr>
  </w:style>
  <w:style w:type="character" w:styleId="ListLabel36">
    <w:name w:val="ListLabel 36"/>
    <w:qFormat/>
    <w:rPr>
      <w:rFonts w:ascii="Calibri" w:hAnsi="Calibri" w:cs="Calibri"/>
      <w:color w:val="auto"/>
      <w:sz w:val="22"/>
      <w:szCs w:val="22"/>
    </w:rPr>
  </w:style>
  <w:style w:type="character" w:styleId="ListLabel37">
    <w:name w:val="ListLabel 37"/>
    <w:qFormat/>
    <w:rPr>
      <w:rFonts w:ascii="Calibri" w:hAnsi="Calibri" w:cs="Calibri"/>
      <w:sz w:val="22"/>
      <w:szCs w:val="22"/>
    </w:rPr>
  </w:style>
  <w:style w:type="character" w:styleId="ListLabel38">
    <w:name w:val="ListLabel 38"/>
    <w:qFormat/>
    <w:rPr>
      <w:rFonts w:ascii="Calibri" w:hAnsi="Calibri" w:cs="Calibri"/>
      <w:color w:val="auto"/>
      <w:sz w:val="22"/>
      <w:szCs w:val="22"/>
      <w:u w:val="none"/>
    </w:rPr>
  </w:style>
  <w:style w:type="character" w:styleId="ListLabel39">
    <w:name w:val="ListLabel 39"/>
    <w:qFormat/>
    <w:rPr>
      <w:rFonts w:ascii="Calibri" w:hAnsi="Calibri" w:cs="Calibri"/>
      <w:b/>
      <w:color w:val="auto"/>
      <w:sz w:val="28"/>
      <w:szCs w:val="28"/>
    </w:rPr>
  </w:style>
  <w:style w:type="character" w:styleId="ListLabel40">
    <w:name w:val="ListLabel 40"/>
    <w:qFormat/>
    <w:rPr>
      <w:rFonts w:ascii="Calibri" w:hAnsi="Calibri" w:cs="Calibri"/>
      <w:bCs/>
      <w:iCs/>
      <w:sz w:val="22"/>
      <w:szCs w:val="22"/>
    </w:rPr>
  </w:style>
  <w:style w:type="character" w:styleId="ListLabel41">
    <w:name w:val="ListLabel 41"/>
    <w:qFormat/>
    <w:rPr>
      <w:rFonts w:ascii="Calibri" w:hAnsi="Calibri" w:cs="Calibri"/>
      <w:iCs/>
      <w:sz w:val="22"/>
      <w:szCs w:val="22"/>
    </w:rPr>
  </w:style>
  <w:style w:type="character" w:styleId="ListLabel42">
    <w:name w:val="ListLabel 42"/>
    <w:qFormat/>
    <w:rPr>
      <w:rFonts w:ascii="Calibri" w:hAnsi="Calibri" w:eastAsia="Times New Roman" w:cs="Calibri"/>
      <w:sz w:val="16"/>
      <w:szCs w:val="16"/>
      <w:u w:val="single"/>
      <w:lang w:eastAsia="pl-PL"/>
    </w:rPr>
  </w:style>
  <w:style w:type="character" w:styleId="Domylnaczcionkaakapitu">
    <w:name w:val="Domyślna czcionka akapitu"/>
    <w:qFormat/>
    <w:rPr/>
  </w:style>
  <w:style w:type="character" w:styleId="Mocnowyrniony">
    <w:name w:val="Mocno wyróżniony"/>
    <w:qFormat/>
    <w:rPr>
      <w:b/>
      <w:bCs/>
    </w:rPr>
  </w:style>
  <w:style w:type="character" w:styleId="ListLabel43">
    <w:name w:val="ListLabel 43"/>
    <w:qFormat/>
    <w:rPr>
      <w:color w:val="000000"/>
    </w:rPr>
  </w:style>
  <w:style w:type="character" w:styleId="ListLabel44">
    <w:name w:val="ListLabel 44"/>
    <w:qFormat/>
    <w:rPr>
      <w:rFonts w:ascii="Times New Roman" w:hAnsi="Times New Roman" w:eastAsia="Arial Unicode MS" w:cs="Times New Roman"/>
      <w:sz w:val="22"/>
    </w:rPr>
  </w:style>
  <w:style w:type="character" w:styleId="ListLabel45">
    <w:name w:val="ListLabel 45"/>
    <w:qFormat/>
    <w:rPr>
      <w:rFonts w:ascii="Times New Roman" w:hAnsi="Times New Roman"/>
      <w:b/>
      <w:sz w:val="22"/>
    </w:rPr>
  </w:style>
  <w:style w:type="character" w:styleId="ListLabel46">
    <w:name w:val="ListLabel 46"/>
    <w:qFormat/>
    <w:rPr>
      <w:rFonts w:ascii="Times New Roman" w:hAnsi="Times New Roman"/>
      <w:b/>
      <w:sz w:val="22"/>
    </w:rPr>
  </w:style>
  <w:style w:type="character" w:styleId="ListLabel47">
    <w:name w:val="ListLabel 47"/>
    <w:qFormat/>
    <w:rPr>
      <w:rFonts w:ascii="Times New Roman" w:hAnsi="Times New Roman"/>
      <w:b/>
      <w:sz w:val="22"/>
    </w:rPr>
  </w:style>
  <w:style w:type="character" w:styleId="ListLabel48">
    <w:name w:val="ListLabel 48"/>
    <w:qFormat/>
    <w:rPr>
      <w:rFonts w:ascii="Times New Roman" w:hAnsi="Times New Roman"/>
      <w:b/>
      <w:bCs/>
      <w:sz w:val="22"/>
    </w:rPr>
  </w:style>
  <w:style w:type="character" w:styleId="ListLabel49">
    <w:name w:val="ListLabel 49"/>
    <w:qFormat/>
    <w:rPr>
      <w:rFonts w:ascii="Times New Roman" w:hAnsi="Times New Roman" w:cs="Symbol"/>
      <w:color w:val="000000"/>
      <w:sz w:val="22"/>
    </w:rPr>
  </w:style>
  <w:style w:type="character" w:styleId="ListLabel50">
    <w:name w:val="ListLabel 50"/>
    <w:qFormat/>
    <w:rPr>
      <w:rFonts w:cs="Symbol"/>
      <w:color w:val="000000"/>
    </w:rPr>
  </w:style>
  <w:style w:type="character" w:styleId="ListLabel51">
    <w:name w:val="ListLabel 51"/>
    <w:qFormat/>
    <w:rPr>
      <w:rFonts w:cs="Symbol"/>
      <w:color w:val="000000"/>
    </w:rPr>
  </w:style>
  <w:style w:type="character" w:styleId="ListLabel52">
    <w:name w:val="ListLabel 52"/>
    <w:qFormat/>
    <w:rPr>
      <w:rFonts w:cs="Symbol"/>
      <w:color w:val="000000"/>
    </w:rPr>
  </w:style>
  <w:style w:type="character" w:styleId="ListLabel53">
    <w:name w:val="ListLabel 53"/>
    <w:qFormat/>
    <w:rPr>
      <w:rFonts w:cs="Symbol"/>
      <w:color w:val="000000"/>
    </w:rPr>
  </w:style>
  <w:style w:type="character" w:styleId="ListLabel54">
    <w:name w:val="ListLabel 54"/>
    <w:qFormat/>
    <w:rPr>
      <w:rFonts w:cs="Symbol"/>
      <w:color w:val="000000"/>
    </w:rPr>
  </w:style>
  <w:style w:type="character" w:styleId="ListLabel55">
    <w:name w:val="ListLabel 55"/>
    <w:qFormat/>
    <w:rPr>
      <w:rFonts w:cs="Symbol"/>
      <w:color w:val="000000"/>
    </w:rPr>
  </w:style>
  <w:style w:type="character" w:styleId="ListLabel56">
    <w:name w:val="ListLabel 56"/>
    <w:qFormat/>
    <w:rPr>
      <w:rFonts w:cs="Symbol"/>
      <w:color w:val="000000"/>
    </w:rPr>
  </w:style>
  <w:style w:type="character" w:styleId="ListLabel57">
    <w:name w:val="ListLabel 57"/>
    <w:qFormat/>
    <w:rPr>
      <w:rFonts w:cs="Symbol"/>
      <w:color w:val="000000"/>
    </w:rPr>
  </w:style>
  <w:style w:type="character" w:styleId="ListLabel58">
    <w:name w:val="ListLabel 58"/>
    <w:qFormat/>
    <w:rPr>
      <w:rFonts w:ascii="Times New Roman" w:hAnsi="Times New Roman" w:eastAsia="Arial Unicode MS" w:cs="Calibri"/>
      <w:sz w:val="22"/>
    </w:rPr>
  </w:style>
  <w:style w:type="character" w:styleId="ListLabel59">
    <w:name w:val="ListLabel 59"/>
    <w:qFormat/>
    <w:rPr>
      <w:rFonts w:ascii="Times New Roman" w:hAnsi="Times New Roman"/>
      <w:b/>
      <w:sz w:val="22"/>
    </w:rPr>
  </w:style>
  <w:style w:type="character" w:styleId="ListLabel60">
    <w:name w:val="ListLabel 60"/>
    <w:qFormat/>
    <w:rPr>
      <w:rFonts w:ascii="Times New Roman" w:hAnsi="Times New Roman" w:eastAsia="Times New Roman"/>
      <w:sz w:val="22"/>
    </w:rPr>
  </w:style>
  <w:style w:type="character" w:styleId="ListLabel61">
    <w:name w:val="ListLabel 61"/>
    <w:qFormat/>
    <w:rPr>
      <w:rFonts w:ascii="Times New Roman" w:hAnsi="Times New Roman" w:eastAsia="Times New Roman" w:cs="Calibri"/>
      <w:sz w:val="22"/>
    </w:rPr>
  </w:style>
  <w:style w:type="character" w:styleId="ListLabel62">
    <w:name w:val="ListLabel 62"/>
    <w:qFormat/>
    <w:rPr>
      <w:rFonts w:ascii="Times New Roman" w:hAnsi="Times New Roman" w:eastAsia="Times New Roman" w:cs="Calibri"/>
      <w:sz w:val="22"/>
    </w:rPr>
  </w:style>
  <w:style w:type="character" w:styleId="ListLabel63">
    <w:name w:val="ListLabel 63"/>
    <w:qFormat/>
    <w:rPr>
      <w:rFonts w:ascii="Times New Roman" w:hAnsi="Times New Roman"/>
      <w:i w:val="false"/>
      <w:sz w:val="22"/>
    </w:rPr>
  </w:style>
  <w:style w:type="character" w:styleId="ListLabel64">
    <w:name w:val="ListLabel 64"/>
    <w:qFormat/>
    <w:rPr>
      <w:rFonts w:ascii="Times New Roman" w:hAnsi="Times New Roman"/>
      <w:color w:val="auto"/>
      <w:sz w:val="22"/>
    </w:rPr>
  </w:style>
  <w:style w:type="character" w:styleId="ListLabel65">
    <w:name w:val="ListLabel 65"/>
    <w:qFormat/>
    <w:rPr>
      <w:rFonts w:ascii="Times New Roman" w:hAnsi="Times New Roman" w:eastAsia="Times New Roman" w:cs="Calibri"/>
      <w:sz w:val="22"/>
    </w:rPr>
  </w:style>
  <w:style w:type="character" w:styleId="ListLabel66">
    <w:name w:val="ListLabel 66"/>
    <w:qFormat/>
    <w:rPr>
      <w:rFonts w:ascii="Times New Roman" w:hAnsi="Times New Roman" w:cs="Times New Roman"/>
      <w:color w:val="auto"/>
      <w:sz w:val="22"/>
    </w:rPr>
  </w:style>
  <w:style w:type="character" w:styleId="ListLabel67">
    <w:name w:val="ListLabel 67"/>
    <w:qFormat/>
    <w:rPr>
      <w:rFonts w:cs="Courier New"/>
    </w:rPr>
  </w:style>
  <w:style w:type="character" w:styleId="ListLabel68">
    <w:name w:val="ListLabel 68"/>
    <w:qFormat/>
    <w:rPr>
      <w:rFonts w:cs="Wingdings"/>
    </w:rPr>
  </w:style>
  <w:style w:type="character" w:styleId="ListLabel69">
    <w:name w:val="ListLabel 69"/>
    <w:qFormat/>
    <w:rPr>
      <w:rFonts w:cs="Symbol"/>
    </w:rPr>
  </w:style>
  <w:style w:type="character" w:styleId="ListLabel70">
    <w:name w:val="ListLabel 70"/>
    <w:qFormat/>
    <w:rPr>
      <w:rFonts w:cs="Courier New"/>
    </w:rPr>
  </w:style>
  <w:style w:type="character" w:styleId="ListLabel71">
    <w:name w:val="ListLabel 71"/>
    <w:qFormat/>
    <w:rPr>
      <w:rFonts w:cs="Wingdings"/>
    </w:rPr>
  </w:style>
  <w:style w:type="character" w:styleId="ListLabel72">
    <w:name w:val="ListLabel 72"/>
    <w:qFormat/>
    <w:rPr>
      <w:rFonts w:cs="Symbol"/>
    </w:rPr>
  </w:style>
  <w:style w:type="character" w:styleId="ListLabel73">
    <w:name w:val="ListLabel 73"/>
    <w:qFormat/>
    <w:rPr>
      <w:rFonts w:cs="Courier New"/>
    </w:rPr>
  </w:style>
  <w:style w:type="character" w:styleId="ListLabel74">
    <w:name w:val="ListLabel 74"/>
    <w:qFormat/>
    <w:rPr>
      <w:rFonts w:cs="Wingdings"/>
    </w:rPr>
  </w:style>
  <w:style w:type="character" w:styleId="ListLabel75">
    <w:name w:val="ListLabel 75"/>
    <w:qFormat/>
    <w:rPr>
      <w:rFonts w:ascii="Times New Roman" w:hAnsi="Times New Roman" w:eastAsia="Times New Roman" w:cs="Calibri"/>
      <w:sz w:val="22"/>
    </w:rPr>
  </w:style>
  <w:style w:type="character" w:styleId="ListLabel76">
    <w:name w:val="ListLabel 76"/>
    <w:qFormat/>
    <w:rPr>
      <w:rFonts w:eastAsia="Arial Unicode MS" w:cs="Times New Roman"/>
    </w:rPr>
  </w:style>
  <w:style w:type="character" w:styleId="ListLabel77">
    <w:name w:val="ListLabel 77"/>
    <w:qFormat/>
    <w:rPr>
      <w:rFonts w:cs="Calibri"/>
      <w:color w:val="auto"/>
      <w:sz w:val="22"/>
      <w:szCs w:val="22"/>
    </w:rPr>
  </w:style>
  <w:style w:type="character" w:styleId="ListLabel78">
    <w:name w:val="ListLabel 78"/>
    <w:qFormat/>
    <w:rPr>
      <w:rFonts w:cs="Calibri"/>
      <w:color w:val="000000"/>
      <w:sz w:val="22"/>
      <w:szCs w:val="22"/>
    </w:rPr>
  </w:style>
  <w:style w:type="character" w:styleId="ListLabel79">
    <w:name w:val="ListLabel 79"/>
    <w:qFormat/>
    <w:rPr>
      <w:rFonts w:cs="Calibri"/>
      <w:sz w:val="22"/>
      <w:szCs w:val="22"/>
    </w:rPr>
  </w:style>
  <w:style w:type="character" w:styleId="ListLabel80">
    <w:name w:val="ListLabel 80"/>
    <w:qFormat/>
    <w:rPr>
      <w:rFonts w:cs="Calibri"/>
      <w:color w:val="auto"/>
      <w:sz w:val="22"/>
      <w:szCs w:val="22"/>
      <w:u w:val="none"/>
    </w:rPr>
  </w:style>
  <w:style w:type="character" w:styleId="ListLabel81">
    <w:name w:val="ListLabel 81"/>
    <w:qFormat/>
    <w:rPr>
      <w:rFonts w:cs="Calibri"/>
      <w:b/>
      <w:color w:val="auto"/>
      <w:sz w:val="22"/>
      <w:szCs w:val="22"/>
    </w:rPr>
  </w:style>
  <w:style w:type="character" w:styleId="ListLabel82">
    <w:name w:val="ListLabel 82"/>
    <w:qFormat/>
    <w:rPr>
      <w:rFonts w:cs="Calibri"/>
      <w:bCs/>
      <w:iCs/>
      <w:sz w:val="22"/>
      <w:szCs w:val="22"/>
    </w:rPr>
  </w:style>
  <w:style w:type="character" w:styleId="ListLabel83">
    <w:name w:val="ListLabel 83"/>
    <w:qFormat/>
    <w:rPr>
      <w:rFonts w:cs="Calibri"/>
      <w:iCs/>
      <w:sz w:val="22"/>
      <w:szCs w:val="22"/>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before="0" w:after="120"/>
    </w:pPr>
    <w:rPr/>
  </w:style>
  <w:style w:type="paragraph" w:styleId="Lista">
    <w:name w:val="List"/>
    <w:basedOn w:val="Tretekstu"/>
    <w:pPr/>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rPr/>
  </w:style>
  <w:style w:type="paragraph" w:styleId="Tytu">
    <w:name w:val="Title"/>
    <w:basedOn w:val="Normal"/>
    <w:next w:val="Normal"/>
    <w:qFormat/>
    <w:pPr>
      <w:spacing w:before="0" w:after="80"/>
      <w:contextualSpacing/>
    </w:pPr>
    <w:rPr>
      <w:rFonts w:ascii="Calibri Light" w:hAnsi="Calibri Light" w:eastAsia="等线 Light" w:cs="Tahoma"/>
      <w:spacing w:val="-10"/>
      <w:kern w:val="2"/>
      <w:sz w:val="56"/>
      <w:szCs w:val="56"/>
    </w:rPr>
  </w:style>
  <w:style w:type="paragraph" w:styleId="Podtytu">
    <w:name w:val="Subtitle"/>
    <w:basedOn w:val="Normal"/>
    <w:next w:val="Normal"/>
    <w:qFormat/>
    <w:pPr/>
    <w:rPr>
      <w:rFonts w:eastAsia="等线 Light" w:cs="Tahoma"/>
      <w:color w:val="595959"/>
      <w:spacing w:val="15"/>
      <w:sz w:val="28"/>
      <w:szCs w:val="28"/>
    </w:rPr>
  </w:style>
  <w:style w:type="paragraph" w:styleId="Quote">
    <w:name w:val="Quote"/>
    <w:basedOn w:val="Normal"/>
    <w:next w:val="Normal"/>
    <w:qFormat/>
    <w:pPr>
      <w:spacing w:before="160" w:after="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hanging="0"/>
      <w:jc w:val="center"/>
    </w:pPr>
    <w:rPr>
      <w:i/>
      <w:iCs/>
      <w:color w:val="2F5496"/>
    </w:rPr>
  </w:style>
  <w:style w:type="paragraph" w:styleId="BalloonText">
    <w:name w:val="Balloon Text"/>
    <w:basedOn w:val="Normal"/>
    <w:qFormat/>
    <w:pPr/>
    <w:rPr>
      <w:rFonts w:ascii="Tahoma" w:hAnsi="Tahoma" w:cs="Tahoma"/>
      <w:sz w:val="16"/>
      <w:szCs w:val="16"/>
    </w:rPr>
  </w:style>
  <w:style w:type="paragraph" w:styleId="Wcicietrecitekstu">
    <w:name w:val="Body Text Indent"/>
    <w:basedOn w:val="Normal"/>
    <w:pPr>
      <w:ind w:left="708" w:right="0" w:hanging="0"/>
    </w:pPr>
    <w:rPr/>
  </w:style>
  <w:style w:type="paragraph" w:styleId="Przypiskocowy">
    <w:name w:val="Endnote Text"/>
    <w:basedOn w:val="Normal"/>
    <w:pPr/>
    <w:rPr>
      <w:sz w:val="20"/>
      <w:szCs w:val="20"/>
    </w:rPr>
  </w:style>
  <w:style w:type="paragraph" w:styleId="Stopka">
    <w:name w:val="Footer"/>
    <w:basedOn w:val="Normal"/>
    <w:pPr>
      <w:tabs>
        <w:tab w:val="clear" w:pos="708"/>
        <w:tab w:val="center" w:pos="4536" w:leader="none"/>
        <w:tab w:val="right" w:pos="9072" w:leader="none"/>
      </w:tabs>
    </w:pPr>
    <w:rPr/>
  </w:style>
  <w:style w:type="paragraph" w:styleId="Przypisdolny">
    <w:name w:val="Footnote Text"/>
    <w:basedOn w:val="Normal"/>
    <w:pPr>
      <w:widowControl/>
      <w:suppressAutoHyphens w:val="false"/>
    </w:pPr>
    <w:rPr>
      <w:rFonts w:eastAsia="Calibri"/>
      <w:sz w:val="20"/>
      <w:szCs w:val="20"/>
      <w:lang w:eastAsia="pl-PL"/>
    </w:rPr>
  </w:style>
  <w:style w:type="paragraph" w:styleId="Gwka">
    <w:name w:val="Header"/>
    <w:basedOn w:val="Normal"/>
    <w:pPr>
      <w:suppressLineNumbers/>
      <w:tabs>
        <w:tab w:val="clear" w:pos="708"/>
        <w:tab w:val="center" w:pos="4818" w:leader="none"/>
        <w:tab w:val="right" w:pos="9637" w:leader="none"/>
      </w:tabs>
    </w:pPr>
    <w:rPr/>
  </w:style>
  <w:style w:type="paragraph" w:styleId="NormalWeb">
    <w:name w:val="Normal (Web)"/>
    <w:basedOn w:val="Normal"/>
    <w:qFormat/>
    <w:pPr>
      <w:widowControl/>
      <w:suppressAutoHyphens w:val="false"/>
    </w:pPr>
    <w:rPr>
      <w:rFonts w:eastAsia="Calibri"/>
      <w:lang w:eastAsia="pl-PL"/>
    </w:rPr>
  </w:style>
  <w:style w:type="paragraph" w:styleId="Nagwek11">
    <w:name w:val="Nagłówek1"/>
    <w:basedOn w:val="Normal"/>
    <w:next w:val="Tretekstu"/>
    <w:qFormat/>
    <w:pPr>
      <w:keepNext w:val="true"/>
      <w:spacing w:before="240" w:after="120"/>
    </w:pPr>
    <w:rPr>
      <w:rFonts w:ascii="Arial" w:hAnsi="Arial" w:eastAsia="MS Mincho" w:cs="Tahoma"/>
      <w:sz w:val="28"/>
      <w:szCs w:val="28"/>
    </w:rPr>
  </w:style>
  <w:style w:type="paragraph" w:styleId="Nagwek10">
    <w:name w:val="Nagłówek10"/>
    <w:basedOn w:val="Normal"/>
    <w:next w:val="Tretekstu"/>
    <w:qFormat/>
    <w:pPr>
      <w:keepNext w:val="true"/>
      <w:spacing w:before="240" w:after="120"/>
    </w:pPr>
    <w:rPr>
      <w:rFonts w:ascii="Arial" w:hAnsi="Arial" w:eastAsia="Lucida Sans Unicode" w:cs="Mangal"/>
      <w:sz w:val="28"/>
      <w:szCs w:val="28"/>
    </w:rPr>
  </w:style>
  <w:style w:type="paragraph" w:styleId="Podpis10">
    <w:name w:val="Podpis10"/>
    <w:basedOn w:val="Normal"/>
    <w:qFormat/>
    <w:pPr>
      <w:suppressLineNumbers/>
      <w:spacing w:before="120" w:after="120"/>
    </w:pPr>
    <w:rPr>
      <w:rFonts w:cs="Mangal"/>
      <w:i/>
      <w:iCs/>
    </w:rPr>
  </w:style>
  <w:style w:type="paragraph" w:styleId="Nagwek91">
    <w:name w:val="Nagłówek9"/>
    <w:basedOn w:val="Normal"/>
    <w:next w:val="Tretekstu"/>
    <w:qFormat/>
    <w:pPr>
      <w:keepNext w:val="true"/>
      <w:spacing w:before="240" w:after="120"/>
    </w:pPr>
    <w:rPr>
      <w:rFonts w:ascii="Arial" w:hAnsi="Arial" w:eastAsia="SimSun" w:cs="Mangal"/>
      <w:sz w:val="28"/>
      <w:szCs w:val="28"/>
    </w:rPr>
  </w:style>
  <w:style w:type="paragraph" w:styleId="Podpis9">
    <w:name w:val="Podpis9"/>
    <w:basedOn w:val="Normal"/>
    <w:qFormat/>
    <w:pPr>
      <w:suppressLineNumbers/>
      <w:spacing w:before="120" w:after="120"/>
    </w:pPr>
    <w:rPr>
      <w:rFonts w:cs="Mangal"/>
      <w:i/>
      <w:iCs/>
    </w:rPr>
  </w:style>
  <w:style w:type="paragraph" w:styleId="Nagwek81">
    <w:name w:val="Nagłówek8"/>
    <w:basedOn w:val="Normal"/>
    <w:next w:val="Tretekstu"/>
    <w:qFormat/>
    <w:pPr>
      <w:keepNext w:val="true"/>
      <w:spacing w:before="240" w:after="120"/>
    </w:pPr>
    <w:rPr>
      <w:rFonts w:ascii="Arial" w:hAnsi="Arial" w:eastAsia="SimSun" w:cs="Mangal"/>
      <w:sz w:val="28"/>
      <w:szCs w:val="28"/>
    </w:rPr>
  </w:style>
  <w:style w:type="paragraph" w:styleId="Podpis8">
    <w:name w:val="Podpis8"/>
    <w:basedOn w:val="Normal"/>
    <w:qFormat/>
    <w:pPr>
      <w:suppressLineNumbers/>
      <w:spacing w:before="120" w:after="120"/>
    </w:pPr>
    <w:rPr>
      <w:rFonts w:cs="Mangal"/>
      <w:i/>
      <w:iCs/>
    </w:rPr>
  </w:style>
  <w:style w:type="paragraph" w:styleId="Nagwek71">
    <w:name w:val="Nagłówek7"/>
    <w:basedOn w:val="Normal"/>
    <w:next w:val="Tretekstu"/>
    <w:qFormat/>
    <w:pPr>
      <w:keepNext w:val="true"/>
      <w:spacing w:before="240" w:after="120"/>
    </w:pPr>
    <w:rPr>
      <w:rFonts w:ascii="Arial" w:hAnsi="Arial" w:eastAsia="SimSun" w:cs="Mangal"/>
      <w:sz w:val="28"/>
      <w:szCs w:val="28"/>
    </w:rPr>
  </w:style>
  <w:style w:type="paragraph" w:styleId="Podpis7">
    <w:name w:val="Podpis7"/>
    <w:basedOn w:val="Normal"/>
    <w:qFormat/>
    <w:pPr>
      <w:suppressLineNumbers/>
      <w:spacing w:before="120" w:after="120"/>
    </w:pPr>
    <w:rPr>
      <w:rFonts w:cs="Mangal"/>
      <w:i/>
      <w:iCs/>
    </w:rPr>
  </w:style>
  <w:style w:type="paragraph" w:styleId="Nagwek61">
    <w:name w:val="Nagłówek6"/>
    <w:basedOn w:val="Normal"/>
    <w:next w:val="Tretekstu"/>
    <w:qFormat/>
    <w:pPr>
      <w:keepNext w:val="true"/>
      <w:spacing w:before="240" w:after="120"/>
    </w:pPr>
    <w:rPr>
      <w:rFonts w:ascii="Arial" w:hAnsi="Arial" w:eastAsia="SimSun" w:cs="Mangal"/>
      <w:sz w:val="28"/>
      <w:szCs w:val="28"/>
    </w:rPr>
  </w:style>
  <w:style w:type="paragraph" w:styleId="Podpis6">
    <w:name w:val="Podpis6"/>
    <w:basedOn w:val="Normal"/>
    <w:qFormat/>
    <w:pPr>
      <w:suppressLineNumbers/>
      <w:spacing w:before="120" w:after="120"/>
    </w:pPr>
    <w:rPr>
      <w:rFonts w:cs="Mangal"/>
      <w:i/>
      <w:iCs/>
    </w:rPr>
  </w:style>
  <w:style w:type="paragraph" w:styleId="Nagwek51">
    <w:name w:val="Nagłówek5"/>
    <w:basedOn w:val="Normal"/>
    <w:next w:val="Tretekstu"/>
    <w:qFormat/>
    <w:pPr>
      <w:keepNext w:val="true"/>
      <w:spacing w:before="240" w:after="120"/>
    </w:pPr>
    <w:rPr>
      <w:rFonts w:ascii="Arial" w:hAnsi="Arial" w:eastAsia="SimSun" w:cs="Mangal"/>
      <w:sz w:val="28"/>
      <w:szCs w:val="28"/>
    </w:rPr>
  </w:style>
  <w:style w:type="paragraph" w:styleId="Podpis5">
    <w:name w:val="Podpis5"/>
    <w:basedOn w:val="Normal"/>
    <w:qFormat/>
    <w:pPr>
      <w:suppressLineNumbers/>
      <w:spacing w:before="120" w:after="120"/>
    </w:pPr>
    <w:rPr>
      <w:rFonts w:cs="Mangal"/>
      <w:i/>
      <w:iCs/>
    </w:rPr>
  </w:style>
  <w:style w:type="paragraph" w:styleId="Nagwek41">
    <w:name w:val="Nagłówek4"/>
    <w:basedOn w:val="Normal"/>
    <w:next w:val="Tretekstu"/>
    <w:qFormat/>
    <w:pPr>
      <w:keepNext w:val="true"/>
      <w:spacing w:before="240" w:after="120"/>
    </w:pPr>
    <w:rPr>
      <w:rFonts w:ascii="Arial" w:hAnsi="Arial" w:eastAsia="SimSun" w:cs="Mangal"/>
      <w:sz w:val="28"/>
      <w:szCs w:val="28"/>
    </w:rPr>
  </w:style>
  <w:style w:type="paragraph" w:styleId="Podpis4">
    <w:name w:val="Podpis4"/>
    <w:basedOn w:val="Normal"/>
    <w:qFormat/>
    <w:pPr>
      <w:suppressLineNumbers/>
      <w:spacing w:before="120" w:after="120"/>
    </w:pPr>
    <w:rPr>
      <w:rFonts w:cs="Mangal"/>
      <w:i/>
      <w:iCs/>
    </w:rPr>
  </w:style>
  <w:style w:type="paragraph" w:styleId="Nagwek31">
    <w:name w:val="Nagłówek3"/>
    <w:basedOn w:val="Normal"/>
    <w:next w:val="Tretekstu"/>
    <w:qFormat/>
    <w:pPr>
      <w:keepNext w:val="true"/>
      <w:spacing w:before="240" w:after="120"/>
    </w:pPr>
    <w:rPr>
      <w:rFonts w:ascii="Arial" w:hAnsi="Arial" w:eastAsia="MS Mincho" w:cs="Tahoma"/>
      <w:sz w:val="28"/>
      <w:szCs w:val="28"/>
    </w:rPr>
  </w:style>
  <w:style w:type="paragraph" w:styleId="Podpis3">
    <w:name w:val="Podpis3"/>
    <w:basedOn w:val="Normal"/>
    <w:qFormat/>
    <w:pPr>
      <w:suppressLineNumbers/>
      <w:spacing w:before="120" w:after="120"/>
    </w:pPr>
    <w:rPr>
      <w:rFonts w:cs="Tahoma"/>
      <w:i/>
      <w:iCs/>
    </w:rPr>
  </w:style>
  <w:style w:type="paragraph" w:styleId="Nagwek21">
    <w:name w:val="Nagłówek2"/>
    <w:basedOn w:val="Normal"/>
    <w:next w:val="Tretekstu"/>
    <w:qFormat/>
    <w:pPr>
      <w:keepNext w:val="true"/>
      <w:spacing w:before="240" w:after="120"/>
    </w:pPr>
    <w:rPr>
      <w:rFonts w:ascii="Arial" w:hAnsi="Arial" w:eastAsia="MS Mincho" w:cs="Tahoma"/>
      <w:sz w:val="28"/>
      <w:szCs w:val="28"/>
    </w:rPr>
  </w:style>
  <w:style w:type="paragraph" w:styleId="Podpis2">
    <w:name w:val="Podpis2"/>
    <w:basedOn w:val="Normal"/>
    <w:qFormat/>
    <w:pPr>
      <w:suppressLineNumbers/>
      <w:spacing w:before="120" w:after="120"/>
    </w:pPr>
    <w:rPr>
      <w:rFonts w:cs="Tahoma"/>
      <w:i/>
      <w:iCs/>
    </w:rPr>
  </w:style>
  <w:style w:type="paragraph" w:styleId="Podpis1">
    <w:name w:val="Podpis1"/>
    <w:basedOn w:val="Normal"/>
    <w:qFormat/>
    <w:pPr>
      <w:suppressLineNumbers/>
      <w:spacing w:before="120" w:after="120"/>
    </w:pPr>
    <w:rPr>
      <w:rFonts w:cs="Tahoma"/>
      <w:i/>
      <w:iCs/>
      <w:sz w:val="20"/>
      <w:szCs w:val="20"/>
    </w:rPr>
  </w:style>
  <w:style w:type="paragraph" w:styleId="WWPodpis">
    <w:name w:val="WW-Podpis"/>
    <w:basedOn w:val="Normal"/>
    <w:qFormat/>
    <w:pPr>
      <w:suppressLineNumbers/>
      <w:spacing w:before="120" w:after="120"/>
    </w:pPr>
    <w:rPr>
      <w:rFonts w:cs="Tahoma"/>
      <w:i/>
      <w:iCs/>
      <w:sz w:val="20"/>
      <w:szCs w:val="20"/>
    </w:rPr>
  </w:style>
  <w:style w:type="paragraph" w:styleId="WWIndeks">
    <w:name w:val="WW-Indeks"/>
    <w:basedOn w:val="Normal"/>
    <w:qFormat/>
    <w:pPr>
      <w:suppressLineNumbers/>
    </w:pPr>
    <w:rPr>
      <w:rFonts w:cs="Tahoma"/>
    </w:rPr>
  </w:style>
  <w:style w:type="paragraph" w:styleId="WWPodpis1">
    <w:name w:val="WW-Podpis1"/>
    <w:basedOn w:val="Normal"/>
    <w:qFormat/>
    <w:pPr>
      <w:suppressLineNumbers/>
      <w:spacing w:before="120" w:after="120"/>
    </w:pPr>
    <w:rPr>
      <w:rFonts w:cs="Tahoma"/>
      <w:i/>
      <w:iCs/>
      <w:sz w:val="20"/>
      <w:szCs w:val="20"/>
    </w:rPr>
  </w:style>
  <w:style w:type="paragraph" w:styleId="WWIndeks1">
    <w:name w:val="WW-Indeks1"/>
    <w:basedOn w:val="Normal"/>
    <w:qFormat/>
    <w:pPr>
      <w:suppressLineNumbers/>
    </w:pPr>
    <w:rPr>
      <w:rFonts w:cs="Tahoma"/>
    </w:rPr>
  </w:style>
  <w:style w:type="paragraph" w:styleId="WWNagwek">
    <w:name w:val="WW-Nagłówek"/>
    <w:basedOn w:val="Normal"/>
    <w:next w:val="Tretekstu"/>
    <w:qFormat/>
    <w:pPr>
      <w:keepNext w:val="true"/>
      <w:spacing w:before="240" w:after="120"/>
    </w:pPr>
    <w:rPr>
      <w:rFonts w:ascii="Arial" w:hAnsi="Arial" w:eastAsia="MS Mincho" w:cs="Tahoma"/>
      <w:sz w:val="28"/>
      <w:szCs w:val="28"/>
    </w:rPr>
  </w:style>
  <w:style w:type="paragraph" w:styleId="WWPodpis11">
    <w:name w:val="WW-Podpis11"/>
    <w:basedOn w:val="Normal"/>
    <w:qFormat/>
    <w:pPr>
      <w:suppressLineNumbers/>
      <w:spacing w:before="120" w:after="120"/>
    </w:pPr>
    <w:rPr>
      <w:rFonts w:cs="Tahoma"/>
      <w:i/>
      <w:iCs/>
    </w:rPr>
  </w:style>
  <w:style w:type="paragraph" w:styleId="WWIndeks11">
    <w:name w:val="WW-Indeks11"/>
    <w:basedOn w:val="Normal"/>
    <w:qFormat/>
    <w:pPr>
      <w:suppressLineNumbers/>
    </w:pPr>
    <w:rPr>
      <w:rFonts w:cs="Tahoma"/>
    </w:rPr>
  </w:style>
  <w:style w:type="paragraph" w:styleId="Legenda1">
    <w:name w:val="Legenda1"/>
    <w:basedOn w:val="Normal"/>
    <w:qFormat/>
    <w:pPr>
      <w:spacing w:before="120" w:after="120"/>
    </w:pPr>
    <w:rPr>
      <w:i/>
      <w:iCs/>
    </w:rPr>
  </w:style>
  <w:style w:type="paragraph" w:styleId="Nagwek311">
    <w:name w:val="Nagłówek 31"/>
    <w:basedOn w:val="Normal"/>
    <w:next w:val="Normal"/>
    <w:qFormat/>
    <w:pPr>
      <w:keepNext w:val="true"/>
      <w:tabs>
        <w:tab w:val="clear" w:pos="708"/>
        <w:tab w:val="left" w:pos="0" w:leader="none"/>
        <w:tab w:val="left" w:pos="18351" w:leader="none"/>
      </w:tabs>
      <w:ind w:left="19071" w:right="0" w:hanging="720"/>
      <w:outlineLvl w:val="2"/>
    </w:pPr>
    <w:rPr>
      <w:b/>
      <w:bCs/>
    </w:rPr>
  </w:style>
  <w:style w:type="paragraph" w:styleId="Nagwek211">
    <w:name w:val="Nagłówek 21"/>
    <w:basedOn w:val="Normal"/>
    <w:next w:val="Normal"/>
    <w:qFormat/>
    <w:pPr>
      <w:keepNext w:val="true"/>
      <w:tabs>
        <w:tab w:val="clear" w:pos="708"/>
        <w:tab w:val="left" w:pos="0" w:leader="none"/>
        <w:tab w:val="left" w:pos="18351" w:leader="none"/>
      </w:tabs>
      <w:ind w:left="18927" w:right="0" w:hanging="576"/>
      <w:jc w:val="center"/>
      <w:outlineLvl w:val="1"/>
    </w:pPr>
    <w:rPr>
      <w:b/>
      <w:bCs/>
    </w:rPr>
  </w:style>
  <w:style w:type="paragraph" w:styleId="WWPodpis111111111111111111111111111111111111111111111111111111111111111111111111111111111111111">
    <w:name w:val="WW-Podpis111111111111111111111111111111111111111111111111111111111111111111111111111111111111111"/>
    <w:basedOn w:val="Normal"/>
    <w:qFormat/>
    <w:pPr>
      <w:spacing w:before="120" w:after="120"/>
    </w:pPr>
    <w:rPr>
      <w:i/>
      <w:iCs/>
      <w:sz w:val="20"/>
      <w:szCs w:val="20"/>
    </w:rPr>
  </w:style>
  <w:style w:type="paragraph" w:styleId="WWTekst11111111111111111111111111111111111111111111111111111111111111111111111111111111111111111111111">
    <w:name w:val="WW-Tekst11111111111111111111111111111111111111111111111111111111111111111111111111111111111111111111111"/>
    <w:basedOn w:val="WWPodpis111111111111111111111111111111111111111111111111111111111111111111111111111111111111111"/>
    <w:qFormat/>
    <w:pPr/>
    <w:rPr/>
  </w:style>
  <w:style w:type="paragraph" w:styleId="WWTekstpodstawowywcity2">
    <w:name w:val="WW-Tekst podstawowy wcięty 2"/>
    <w:basedOn w:val="Normal"/>
    <w:qFormat/>
    <w:pPr>
      <w:ind w:left="0" w:right="0" w:firstLine="360"/>
    </w:pPr>
    <w:rPr/>
  </w:style>
  <w:style w:type="paragraph" w:styleId="WWTekstpodstawowywcity3">
    <w:name w:val="WW-Tekst podstawowy wcięty 3"/>
    <w:basedOn w:val="Normal"/>
    <w:qFormat/>
    <w:pPr>
      <w:spacing w:before="0" w:after="120"/>
      <w:ind w:left="283" w:right="0" w:hanging="0"/>
    </w:pPr>
    <w:rPr>
      <w:sz w:val="16"/>
      <w:szCs w:val="16"/>
    </w:rPr>
  </w:style>
  <w:style w:type="paragraph" w:styleId="Nagwek811">
    <w:name w:val="Nagłówek 81"/>
    <w:basedOn w:val="Normal"/>
    <w:next w:val="Normal"/>
    <w:qFormat/>
    <w:pPr>
      <w:keepNext w:val="true"/>
      <w:tabs>
        <w:tab w:val="clear" w:pos="708"/>
        <w:tab w:val="left" w:pos="0" w:leader="none"/>
        <w:tab w:val="left" w:pos="18351" w:leader="none"/>
      </w:tabs>
      <w:ind w:left="2007" w:right="0" w:hanging="1440"/>
      <w:jc w:val="both"/>
      <w:outlineLvl w:val="7"/>
    </w:pPr>
    <w:rPr/>
  </w:style>
  <w:style w:type="paragraph" w:styleId="Nagwek111">
    <w:name w:val="Nagłówek 11"/>
    <w:basedOn w:val="Normal"/>
    <w:next w:val="Normal"/>
    <w:qFormat/>
    <w:pPr>
      <w:keepNext w:val="true"/>
      <w:tabs>
        <w:tab w:val="clear" w:pos="708"/>
        <w:tab w:val="left" w:pos="0" w:leader="none"/>
      </w:tabs>
    </w:pPr>
    <w:rPr>
      <w:lang w:val="de-DE"/>
    </w:rPr>
  </w:style>
  <w:style w:type="paragraph" w:styleId="WWNagwek1">
    <w:name w:val="WW-Nagłówek1"/>
    <w:basedOn w:val="Normal"/>
    <w:next w:val="Tretekstu"/>
    <w:qFormat/>
    <w:pPr>
      <w:keepNext w:val="true"/>
      <w:spacing w:before="240" w:after="120"/>
    </w:pPr>
    <w:rPr>
      <w:rFonts w:ascii="Arial" w:hAnsi="Arial" w:eastAsia="MS Mincho" w:cs="Tahoma"/>
      <w:sz w:val="28"/>
      <w:szCs w:val="28"/>
    </w:rPr>
  </w:style>
  <w:style w:type="paragraph" w:styleId="WWNagwek12">
    <w:name w:val="WW-Nagłówek12"/>
    <w:basedOn w:val="Normal"/>
    <w:next w:val="Tretekstu"/>
    <w:qFormat/>
    <w:pPr>
      <w:keepNext w:val="true"/>
      <w:spacing w:before="240" w:after="120"/>
    </w:pPr>
    <w:rPr>
      <w:rFonts w:ascii="Arial" w:hAnsi="Arial" w:eastAsia="MS Mincho" w:cs="Tahoma"/>
      <w:sz w:val="28"/>
      <w:szCs w:val="28"/>
    </w:rPr>
  </w:style>
  <w:style w:type="paragraph" w:styleId="Tekstpodstawowy21">
    <w:name w:val="Tekst podstawowy 21"/>
    <w:basedOn w:val="Normal"/>
    <w:qFormat/>
    <w:pPr>
      <w:suppressAutoHyphens w:val="false"/>
      <w:spacing w:lineRule="auto" w:line="480" w:before="0" w:after="120"/>
    </w:pPr>
    <w:rPr>
      <w:rFonts w:eastAsia="Times New Roman"/>
      <w:color w:val="000000"/>
    </w:rPr>
  </w:style>
  <w:style w:type="paragraph" w:styleId="WWTekstpodstawowy2">
    <w:name w:val="WW-Tekst podstawowy 2"/>
    <w:basedOn w:val="Normal"/>
    <w:qFormat/>
    <w:pPr/>
    <w:rPr/>
  </w:style>
  <w:style w:type="paragraph" w:styleId="Zawartotabeli">
    <w:name w:val="Zawartość tabeli"/>
    <w:basedOn w:val="Tretekstu"/>
    <w:qFormat/>
    <w:pPr>
      <w:suppressLineNumbers/>
    </w:pPr>
    <w:rPr/>
  </w:style>
  <w:style w:type="paragraph" w:styleId="WWZawartotabeli">
    <w:name w:val="WW-Zawartość tabeli"/>
    <w:basedOn w:val="Tretekstu"/>
    <w:qFormat/>
    <w:pPr>
      <w:suppressLineNumbers/>
    </w:pPr>
    <w:rPr/>
  </w:style>
  <w:style w:type="paragraph" w:styleId="WWZawartotabeli1">
    <w:name w:val="WW-Zawartość tabeli1"/>
    <w:basedOn w:val="Tretekstu"/>
    <w:qFormat/>
    <w:pPr>
      <w:suppressLineNumbers/>
    </w:pPr>
    <w:rPr/>
  </w:style>
  <w:style w:type="paragraph" w:styleId="WWZawartotabeli11">
    <w:name w:val="WW-Zawartość tabeli11"/>
    <w:basedOn w:val="Normal"/>
    <w:qFormat/>
    <w:pPr>
      <w:suppressLineNumbers/>
    </w:pPr>
    <w:rPr/>
  </w:style>
  <w:style w:type="paragraph" w:styleId="Nagwektabeli">
    <w:name w:val="Nagłówek tabeli"/>
    <w:basedOn w:val="Zawartotabeli"/>
    <w:qFormat/>
    <w:pPr>
      <w:jc w:val="center"/>
    </w:pPr>
    <w:rPr>
      <w:b/>
      <w:bCs/>
      <w:i/>
      <w:iCs/>
    </w:rPr>
  </w:style>
  <w:style w:type="paragraph" w:styleId="WWNagwektabeli">
    <w:name w:val="WW-Nagłówek tabeli"/>
    <w:basedOn w:val="WWZawartotabeli"/>
    <w:qFormat/>
    <w:pPr>
      <w:jc w:val="center"/>
    </w:pPr>
    <w:rPr>
      <w:b/>
      <w:bCs/>
      <w:i/>
      <w:iCs/>
    </w:rPr>
  </w:style>
  <w:style w:type="paragraph" w:styleId="WWNagwektabeli1">
    <w:name w:val="WW-Nagłówek tabeli1"/>
    <w:basedOn w:val="WWZawartotabeli1"/>
    <w:qFormat/>
    <w:pPr>
      <w:jc w:val="center"/>
    </w:pPr>
    <w:rPr>
      <w:b/>
      <w:bCs/>
      <w:i/>
      <w:iCs/>
    </w:rPr>
  </w:style>
  <w:style w:type="paragraph" w:styleId="WWNagwektabeli11">
    <w:name w:val="WW-Nagłówek tabeli11"/>
    <w:basedOn w:val="WWZawartotabeli11"/>
    <w:qFormat/>
    <w:pPr>
      <w:jc w:val="center"/>
    </w:pPr>
    <w:rPr>
      <w:b/>
      <w:bCs/>
    </w:rPr>
  </w:style>
  <w:style w:type="paragraph" w:styleId="Zawartoramki">
    <w:name w:val="Zawartość ramki"/>
    <w:basedOn w:val="Tretekstu"/>
    <w:qFormat/>
    <w:pPr/>
    <w:rPr/>
  </w:style>
  <w:style w:type="paragraph" w:styleId="WWZawartoramki">
    <w:name w:val="WW-Zawartość ramki"/>
    <w:basedOn w:val="Tretekstu"/>
    <w:qFormat/>
    <w:pPr/>
    <w:rPr/>
  </w:style>
  <w:style w:type="paragraph" w:styleId="WWZawartoramki1">
    <w:name w:val="WW-Zawartość ramki1"/>
    <w:basedOn w:val="Tretekstu"/>
    <w:qFormat/>
    <w:pPr/>
    <w:rPr/>
  </w:style>
  <w:style w:type="paragraph" w:styleId="Zwykytekst1">
    <w:name w:val="Zwykły tekst1"/>
    <w:basedOn w:val="Normal"/>
    <w:qFormat/>
    <w:pPr/>
    <w:rPr>
      <w:rFonts w:ascii="Consolas" w:hAnsi="Consolas" w:cs="Consolas"/>
      <w:sz w:val="21"/>
      <w:szCs w:val="21"/>
    </w:rPr>
  </w:style>
  <w:style w:type="paragraph" w:styleId="Textjustify">
    <w:name w:val="text-justify"/>
    <w:basedOn w:val="Normal"/>
    <w:qFormat/>
    <w:pPr>
      <w:widowControl/>
      <w:suppressAutoHyphens w:val="false"/>
      <w:spacing w:before="100" w:after="100"/>
    </w:pPr>
    <w:rPr>
      <w:rFonts w:eastAsia="Times New Roman"/>
    </w:rPr>
  </w:style>
  <w:style w:type="paragraph" w:styleId="Default">
    <w:name w:val="Default"/>
    <w:basedOn w:val="Normal"/>
    <w:qFormat/>
    <w:pPr>
      <w:widowControl/>
    </w:pPr>
    <w:rPr>
      <w:rFonts w:eastAsia="Times New Roman"/>
      <w:color w:val="000000"/>
      <w:lang w:eastAsia="hi-IN" w:bidi="hi-IN"/>
    </w:rPr>
  </w:style>
  <w:style w:type="paragraph" w:styleId="Standard">
    <w:name w:val="Standard"/>
    <w:qFormat/>
    <w:pPr>
      <w:widowControl w:val="false"/>
      <w:suppressAutoHyphens w:val="true"/>
      <w:overflowPunct w:val="false"/>
      <w:bidi w:val="0"/>
      <w:spacing w:lineRule="auto" w:line="240" w:before="0" w:after="0"/>
      <w:jc w:val="left"/>
      <w:textAlignment w:val="baseline"/>
    </w:pPr>
    <w:rPr>
      <w:rFonts w:ascii="Times New Roman" w:hAnsi="Times New Roman" w:eastAsia="Lucida Sans Unicode" w:cs="Tahoma"/>
      <w:color w:val="auto"/>
      <w:kern w:val="2"/>
      <w:sz w:val="24"/>
      <w:szCs w:val="24"/>
      <w:lang w:val="pl-PL" w:eastAsia="ar-SA" w:bidi="ar-SA"/>
    </w:rPr>
  </w:style>
  <w:style w:type="paragraph" w:styleId="CM36">
    <w:name w:val="CM36"/>
    <w:basedOn w:val="Normal"/>
    <w:next w:val="Normal"/>
    <w:qFormat/>
    <w:pPr>
      <w:spacing w:before="0" w:after="275"/>
    </w:pPr>
    <w:rPr>
      <w:rFonts w:eastAsia="Calibri"/>
      <w:lang w:eastAsia="zh-CN"/>
    </w:rPr>
  </w:style>
  <w:style w:type="paragraph" w:styleId="Default1">
    <w:name w:val="default"/>
    <w:basedOn w:val="Normal"/>
    <w:qFormat/>
    <w:pPr>
      <w:widowControl/>
      <w:suppressAutoHyphens w:val="false"/>
      <w:spacing w:before="280" w:after="280"/>
    </w:pPr>
    <w:rPr>
      <w:rFonts w:eastAsia="Times New Roman"/>
      <w:lang w:eastAsia="pl-PL"/>
    </w:rPr>
  </w:style>
  <w:style w:type="paragraph" w:styleId="Revision">
    <w:name w:val="Revision"/>
    <w:qFormat/>
    <w:pPr>
      <w:widowControl/>
      <w:overflowPunct w:val="false"/>
      <w:bidi w:val="0"/>
      <w:spacing w:lineRule="auto" w:line="240" w:before="0" w:after="0"/>
      <w:jc w:val="left"/>
    </w:pPr>
    <w:rPr>
      <w:rFonts w:ascii="Times New Roman" w:hAnsi="Times New Roman" w:eastAsia="Arial Unicode MS" w:cs="Times New Roman"/>
      <w:color w:val="auto"/>
      <w:kern w:val="0"/>
      <w:sz w:val="24"/>
      <w:szCs w:val="24"/>
      <w:lang w:val="pl-PL" w:eastAsia="ar-SA"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val="false"/>
      <w:suppressAutoHyphens w:val="true"/>
      <w:overflowPunct w:val="false"/>
      <w:bidi w:val="0"/>
      <w:spacing w:lineRule="auto" w:line="240" w:before="0" w:after="0"/>
      <w:jc w:val="left"/>
    </w:pPr>
    <w:rPr>
      <w:rFonts w:ascii="Times New Roman" w:hAnsi="Times New Roman" w:eastAsia="Arial Unicode MS" w:cs="Times New Roman"/>
      <w:color w:val="auto"/>
      <w:kern w:val="0"/>
      <w:sz w:val="24"/>
      <w:szCs w:val="24"/>
      <w:lang w:val="pl-PL" w:eastAsia="ar-SA"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wiatpultuski.pl/" TargetMode="External"/><Relationship Id="rId3" Type="http://schemas.openxmlformats.org/officeDocument/2006/relationships/hyperlink" Target="http://www.powiatpultuski.pl/" TargetMode="External"/><Relationship Id="rId4" Type="http://schemas.openxmlformats.org/officeDocument/2006/relationships/hyperlink" Target="http://www.powiatpultuski.pl/" TargetMode="External"/><Relationship Id="rId5" Type="http://schemas.openxmlformats.org/officeDocument/2006/relationships/hyperlink" Target="http://www.bip.powiatpultuski.pl/" TargetMode="External"/><Relationship Id="rId6" Type="http://schemas.openxmlformats.org/officeDocument/2006/relationships/hyperlink" Target="http://www.bip.powiatpultuski.pl/" TargetMode="External"/><Relationship Id="rId7" Type="http://schemas.openxmlformats.org/officeDocument/2006/relationships/hyperlink" Target="http://www.bip.powiatpultuski.pl/" TargetMode="External"/><Relationship Id="rId8" Type="http://schemas.openxmlformats.org/officeDocument/2006/relationships/hyperlink" Target="http://www.bip.powiatpultuski.pl/" TargetMode="External"/><Relationship Id="rId9" Type="http://schemas.openxmlformats.org/officeDocument/2006/relationships/hyperlink" Target="http://www.bip.powiatpultuski.pl/" TargetMode="External"/><Relationship Id="rId10" Type="http://schemas.openxmlformats.org/officeDocument/2006/relationships/hyperlink" Target="mailto:sekretariat@powiatpultuski.pl" TargetMode="External"/><Relationship Id="rId11" Type="http://schemas.openxmlformats.org/officeDocument/2006/relationships/hyperlink" Target="mailto:sekretariat@powiatpultuski.pl" TargetMode="External"/><Relationship Id="rId12" Type="http://schemas.openxmlformats.org/officeDocument/2006/relationships/hyperlink" Target="mailto:sekretariat@powiatpultuski.pl" TargetMode="External"/><Relationship Id="rId13" Type="http://schemas.openxmlformats.org/officeDocument/2006/relationships/hyperlink" Target="http://www.powiatpultuski.pl/" TargetMode="External"/><Relationship Id="rId14" Type="http://schemas.openxmlformats.org/officeDocument/2006/relationships/hyperlink" Target="http://www.powiatpultuski.pl/" TargetMode="External"/><Relationship Id="rId15" Type="http://schemas.openxmlformats.org/officeDocument/2006/relationships/hyperlink" Target="http://www.powiatpultuski.pl/" TargetMode="External"/><Relationship Id="rId16" Type="http://schemas.openxmlformats.org/officeDocument/2006/relationships/hyperlink" Target="http://www.bip.powiatpultuski.pl/" TargetMode="External"/><Relationship Id="rId17" Type="http://schemas.openxmlformats.org/officeDocument/2006/relationships/hyperlink" Target="http://www.bip.powiatpultuski.pl/" TargetMode="External"/><Relationship Id="rId18" Type="http://schemas.openxmlformats.org/officeDocument/2006/relationships/hyperlink" Target="http://www.bip.powiatpultuski.pl/" TargetMode="External"/><Relationship Id="rId19" Type="http://schemas.openxmlformats.org/officeDocument/2006/relationships/hyperlink" Target="http://www.bip.powiatpultuski.pl/" TargetMode="External"/><Relationship Id="rId20" Type="http://schemas.openxmlformats.org/officeDocument/2006/relationships/hyperlink" Target="http://www.bip.powiatpultuski.pl/" TargetMode="External"/><Relationship Id="rId21" Type="http://schemas.openxmlformats.org/officeDocument/2006/relationships/hyperlink" Target="mailto:sekretariat@powiatpultuski.pl" TargetMode="External"/><Relationship Id="rId22" Type="http://schemas.openxmlformats.org/officeDocument/2006/relationships/hyperlink" Target="mailto:sekretariat@powiatpultuski.pl" TargetMode="External"/><Relationship Id="rId23" Type="http://schemas.openxmlformats.org/officeDocument/2006/relationships/hyperlink" Target="mailto:sekretariat@powiatpultuski.pl" TargetMode="External"/><Relationship Id="rId24" Type="http://schemas.openxmlformats.org/officeDocument/2006/relationships/hyperlink" Target="mailto:sekretariat@powiatpultuski.pl" TargetMode="External"/><Relationship Id="rId25" Type="http://schemas.openxmlformats.org/officeDocument/2006/relationships/hyperlink" Target="https://ezamowienia.gov.pl/" TargetMode="External"/><Relationship Id="rId26" Type="http://schemas.openxmlformats.org/officeDocument/2006/relationships/hyperlink" Target="mailto:sekretariat@dpsobryte.pl" TargetMode="External"/><Relationship Id="rId27" Type="http://schemas.openxmlformats.org/officeDocument/2006/relationships/hyperlink" Target="mailto:sekretariat@dpsobryte.pl" TargetMode="External"/><Relationship Id="rId28" Type="http://schemas.openxmlformats.org/officeDocument/2006/relationships/hyperlink" Target="mailto:sekretariat@dpsobryte.pl" TargetMode="External"/><Relationship Id="rId29" Type="http://schemas.openxmlformats.org/officeDocument/2006/relationships/hyperlink" Target="mailto:sekretariat@dpsobryte.pl" TargetMode="External"/><Relationship Id="rId30" Type="http://schemas.openxmlformats.org/officeDocument/2006/relationships/hyperlink" Target="mailto:sekretariat@dpsobryte.pl" TargetMode="External"/><Relationship Id="rId31" Type="http://schemas.openxmlformats.org/officeDocument/2006/relationships/hyperlink" Target="mailto:sekretariat@dpsobryte.pl" TargetMode="External"/><Relationship Id="rId32" Type="http://schemas.openxmlformats.org/officeDocument/2006/relationships/hyperlink" Target="mailto:sekretariat@dpsobryte.pl" TargetMode="External"/><Relationship Id="rId33" Type="http://schemas.openxmlformats.org/officeDocument/2006/relationships/hyperlink" Target="mailto:sekretariat@dpsobryte.pl" TargetMode="External"/><Relationship Id="rId34" Type="http://schemas.openxmlformats.org/officeDocument/2006/relationships/hyperlink" Target="mailto:sekretariat@dpsobryte.pl" TargetMode="External"/><Relationship Id="rId35" Type="http://schemas.openxmlformats.org/officeDocument/2006/relationships/hyperlink" Target="mailto:sekretariat@dpsobryte.pl" TargetMode="External"/><Relationship Id="rId36" Type="http://schemas.openxmlformats.org/officeDocument/2006/relationships/hyperlink" Target="mailto:sekretariat@dpsobryte.pl" TargetMode="External"/><Relationship Id="rId37" Type="http://schemas.openxmlformats.org/officeDocument/2006/relationships/hyperlink" Target="mailto:sekretariat@dpsobryte.pl" TargetMode="External"/><Relationship Id="rId38" Type="http://schemas.openxmlformats.org/officeDocument/2006/relationships/hyperlink" Target="mailto:sekretariat@dpsobryte.pl" TargetMode="External"/><Relationship Id="rId39" Type="http://schemas.openxmlformats.org/officeDocument/2006/relationships/hyperlink" Target="mailto:sekretariat@dpsobryte.pl" TargetMode="External"/><Relationship Id="rId40" Type="http://schemas.openxmlformats.org/officeDocument/2006/relationships/hyperlink" Target="mailto:sekretariat@dpsobryte.pl" TargetMode="External"/><Relationship Id="rId41" Type="http://schemas.openxmlformats.org/officeDocument/2006/relationships/hyperlink" Target="mailto:sekretariat@dpsobryte.pl" TargetMode="External"/><Relationship Id="rId42" Type="http://schemas.openxmlformats.org/officeDocument/2006/relationships/hyperlink" Target="https://efaktura.gov.pl/" TargetMode="Externa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38</TotalTime>
  <Application>LibreOffice/6.2.8.2$Windows_X86_64 LibreOffice_project/f82ddfca21ebc1e222a662a32b25c0c9d20169ee</Application>
  <Pages>49</Pages>
  <Words>18090</Words>
  <Characters>123549</Characters>
  <CharactersWithSpaces>140624</CharactersWithSpaces>
  <Paragraphs>1039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2026-10-01T12:22:00Z</dcterms:created>
  <dc:creator>Joanna Majewska</dc:creator>
  <dc:description/>
  <dc:language>pl-PL</dc:language>
  <cp:lastModifiedBy/>
  <cp:lastPrinted>2026-10-08T13:33:48Z</cp:lastPrinted>
  <dcterms:modified xsi:type="dcterms:W3CDTF">2026-10-29T15:21:38Z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