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C85950" w14:textId="5C3837AB" w:rsidR="007970B9" w:rsidRPr="00527D47" w:rsidRDefault="007970B9" w:rsidP="001E7387">
      <w:pPr>
        <w:spacing w:after="0" w:line="276" w:lineRule="auto"/>
        <w:jc w:val="right"/>
        <w:rPr>
          <w:rFonts w:ascii="Times New Roman" w:hAnsi="Times New Roman" w:cs="Times New Roman"/>
          <w:b/>
          <w:color w:val="EE0000"/>
          <w:sz w:val="24"/>
          <w:szCs w:val="24"/>
        </w:rPr>
      </w:pPr>
    </w:p>
    <w:p w14:paraId="071710EE" w14:textId="77777777" w:rsidR="007970B9" w:rsidRPr="00437BFD" w:rsidRDefault="007970B9" w:rsidP="001E7387">
      <w:pPr>
        <w:spacing w:after="0" w:line="276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0E9ACAED" w14:textId="77777777" w:rsidR="007B1641" w:rsidRPr="00437BFD" w:rsidRDefault="007B1641" w:rsidP="002503D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BFD">
        <w:rPr>
          <w:rFonts w:ascii="Times New Roman" w:hAnsi="Times New Roman" w:cs="Times New Roman"/>
          <w:b/>
          <w:sz w:val="24"/>
          <w:szCs w:val="24"/>
        </w:rPr>
        <w:t xml:space="preserve">OPIS PRZEDMIOTU ZAMÓWIENIA </w:t>
      </w:r>
    </w:p>
    <w:p w14:paraId="76A568B8" w14:textId="2EA0A66B" w:rsidR="007B1641" w:rsidRPr="00437BFD" w:rsidRDefault="002503D1" w:rsidP="002503D1">
      <w:pPr>
        <w:spacing w:after="0"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37BFD">
        <w:rPr>
          <w:rFonts w:ascii="Times New Roman" w:hAnsi="Times New Roman" w:cs="Times New Roman"/>
          <w:b/>
          <w:sz w:val="24"/>
          <w:szCs w:val="24"/>
        </w:rPr>
        <w:t>c</w:t>
      </w:r>
      <w:r w:rsidR="007970B9" w:rsidRPr="00437BFD">
        <w:rPr>
          <w:rFonts w:ascii="Times New Roman" w:hAnsi="Times New Roman" w:cs="Times New Roman"/>
          <w:b/>
          <w:sz w:val="24"/>
          <w:szCs w:val="24"/>
        </w:rPr>
        <w:t xml:space="preserve">zęść </w:t>
      </w:r>
      <w:r w:rsidR="00BE59DF">
        <w:rPr>
          <w:rFonts w:ascii="Times New Roman" w:hAnsi="Times New Roman" w:cs="Times New Roman"/>
          <w:b/>
          <w:sz w:val="24"/>
          <w:szCs w:val="24"/>
        </w:rPr>
        <w:t>2</w:t>
      </w:r>
      <w:r w:rsidR="007970B9" w:rsidRPr="00437BFD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1AF13D26" w14:textId="26DEF7AC" w:rsidR="007970B9" w:rsidRPr="00437BFD" w:rsidRDefault="007B1641" w:rsidP="002503D1">
      <w:pPr>
        <w:spacing w:after="0" w:line="276" w:lineRule="auto"/>
        <w:jc w:val="center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  <w:r w:rsidRPr="00437BFD">
        <w:rPr>
          <w:rFonts w:ascii="Times New Roman" w:hAnsi="Times New Roman" w:cs="Times New Roman"/>
          <w:b/>
          <w:sz w:val="24"/>
          <w:szCs w:val="24"/>
        </w:rPr>
        <w:t>D</w:t>
      </w:r>
      <w:r w:rsidR="007970B9" w:rsidRPr="00437BFD">
        <w:rPr>
          <w:rFonts w:ascii="Times New Roman" w:hAnsi="Times New Roman" w:cs="Times New Roman"/>
          <w:b/>
          <w:bCs/>
          <w:spacing w:val="-3"/>
          <w:sz w:val="24"/>
          <w:szCs w:val="24"/>
        </w:rPr>
        <w:t>ostawa</w:t>
      </w:r>
      <w:r w:rsidRPr="00437BFD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  <w:r w:rsidR="00BE59DF">
        <w:rPr>
          <w:rFonts w:ascii="Times New Roman" w:hAnsi="Times New Roman" w:cs="Times New Roman"/>
          <w:b/>
          <w:bCs/>
          <w:spacing w:val="-3"/>
          <w:sz w:val="24"/>
          <w:szCs w:val="24"/>
        </w:rPr>
        <w:t>systemu oświetleniowego</w:t>
      </w:r>
      <w:r w:rsidR="003D3FE0" w:rsidRPr="00437BFD">
        <w:rPr>
          <w:rFonts w:ascii="Times New Roman" w:hAnsi="Times New Roman" w:cs="Times New Roman"/>
          <w:b/>
          <w:bCs/>
          <w:spacing w:val="-3"/>
          <w:sz w:val="24"/>
          <w:szCs w:val="24"/>
        </w:rPr>
        <w:t xml:space="preserve"> </w:t>
      </w:r>
    </w:p>
    <w:p w14:paraId="461803B9" w14:textId="77777777" w:rsidR="007B1641" w:rsidRPr="00437BFD" w:rsidRDefault="007B1641" w:rsidP="002503D1">
      <w:pPr>
        <w:spacing w:after="0" w:line="276" w:lineRule="auto"/>
        <w:jc w:val="center"/>
        <w:rPr>
          <w:rFonts w:ascii="Times New Roman" w:hAnsi="Times New Roman" w:cs="Times New Roman"/>
          <w:b/>
          <w:bCs/>
          <w:spacing w:val="-3"/>
          <w:sz w:val="24"/>
          <w:szCs w:val="24"/>
        </w:rPr>
      </w:pPr>
    </w:p>
    <w:p w14:paraId="516FEDDF" w14:textId="5B9D0E40" w:rsidR="00DA4D1D" w:rsidRPr="00437BFD" w:rsidRDefault="007B1641" w:rsidP="007B1641">
      <w:pPr>
        <w:ind w:firstLine="708"/>
        <w:jc w:val="both"/>
        <w:rPr>
          <w:rFonts w:ascii="Times New Roman" w:hAnsi="Times New Roman" w:cs="Times New Roman"/>
        </w:rPr>
      </w:pPr>
      <w:r w:rsidRPr="00437BFD">
        <w:rPr>
          <w:rFonts w:ascii="Times New Roman" w:hAnsi="Times New Roman" w:cs="Times New Roman"/>
        </w:rPr>
        <w:t xml:space="preserve">Wykonawca zobowiązany jest dostarczyć </w:t>
      </w:r>
      <w:r w:rsidR="00BE59DF">
        <w:rPr>
          <w:rFonts w:ascii="Times New Roman" w:hAnsi="Times New Roman" w:cs="Times New Roman"/>
        </w:rPr>
        <w:t xml:space="preserve">fabrycznie nowe urządzenia profesjonalnego systemu oświetlenia scenicznego </w:t>
      </w:r>
      <w:r w:rsidRPr="00437BFD">
        <w:rPr>
          <w:rFonts w:ascii="Times New Roman" w:hAnsi="Times New Roman" w:cs="Times New Roman"/>
        </w:rPr>
        <w:t xml:space="preserve">służące spełnieniu minimalnych parametrów oraz funkcji oferowanego systemu. </w:t>
      </w:r>
    </w:p>
    <w:p w14:paraId="2BA9A71F" w14:textId="12BB2137" w:rsidR="007B1641" w:rsidRPr="00437BFD" w:rsidRDefault="007B1641" w:rsidP="007B1641">
      <w:pPr>
        <w:ind w:firstLine="708"/>
        <w:jc w:val="both"/>
        <w:rPr>
          <w:rFonts w:ascii="Times New Roman" w:hAnsi="Times New Roman" w:cs="Times New Roman"/>
        </w:rPr>
      </w:pPr>
      <w:r w:rsidRPr="00437BFD">
        <w:rPr>
          <w:rFonts w:ascii="Times New Roman" w:hAnsi="Times New Roman" w:cs="Times New Roman"/>
        </w:rPr>
        <w:t xml:space="preserve">Wykonawca musi dostarczyć komplet urządzeń w ilościach nie mniejszych niż wskazane poniżej wraz z niezbędnym okablowaniem wymaganym do prawidłowego działania oferowanego systemu </w:t>
      </w:r>
      <w:r w:rsidR="00BE59DF">
        <w:rPr>
          <w:rFonts w:ascii="Times New Roman" w:hAnsi="Times New Roman" w:cs="Times New Roman"/>
        </w:rPr>
        <w:t>oświetleniowego</w:t>
      </w:r>
      <w:r w:rsidRPr="00437BFD">
        <w:rPr>
          <w:rFonts w:ascii="Times New Roman" w:hAnsi="Times New Roman" w:cs="Times New Roman"/>
        </w:rPr>
        <w:t>.</w:t>
      </w:r>
    </w:p>
    <w:p w14:paraId="267D14D3" w14:textId="6AD1A148" w:rsidR="007B1641" w:rsidRPr="00527D47" w:rsidRDefault="007B1641" w:rsidP="007B1641">
      <w:pPr>
        <w:ind w:firstLine="708"/>
        <w:jc w:val="both"/>
        <w:rPr>
          <w:rFonts w:ascii="Times New Roman" w:hAnsi="Times New Roman" w:cs="Times New Roman"/>
          <w:color w:val="EE0000"/>
        </w:rPr>
      </w:pPr>
      <w:r w:rsidRPr="00437BFD">
        <w:rPr>
          <w:rFonts w:ascii="Times New Roman" w:hAnsi="Times New Roman" w:cs="Times New Roman"/>
        </w:rPr>
        <w:t xml:space="preserve">Urządzenia systemu </w:t>
      </w:r>
      <w:r w:rsidR="00BE59DF">
        <w:rPr>
          <w:rFonts w:ascii="Times New Roman" w:hAnsi="Times New Roman" w:cs="Times New Roman"/>
        </w:rPr>
        <w:t xml:space="preserve">oświetleniowego </w:t>
      </w:r>
      <w:r w:rsidRPr="00437BFD">
        <w:rPr>
          <w:rFonts w:ascii="Times New Roman" w:hAnsi="Times New Roman" w:cs="Times New Roman"/>
        </w:rPr>
        <w:t>muszą tworzyć jednorodny system</w:t>
      </w:r>
      <w:r w:rsidR="00BE59DF">
        <w:rPr>
          <w:rFonts w:ascii="Times New Roman" w:hAnsi="Times New Roman" w:cs="Times New Roman"/>
        </w:rPr>
        <w:t xml:space="preserve"> kompatybilny ze wszystkimi zaproponowanymi pozycjami oferty. </w:t>
      </w:r>
    </w:p>
    <w:p w14:paraId="27949DD9" w14:textId="23B10850" w:rsidR="007B1641" w:rsidRPr="00695243" w:rsidRDefault="007B1641" w:rsidP="007B1641">
      <w:pPr>
        <w:ind w:firstLine="708"/>
        <w:jc w:val="both"/>
        <w:rPr>
          <w:rFonts w:ascii="Times New Roman" w:hAnsi="Times New Roman" w:cs="Times New Roman"/>
          <w:color w:val="EE0000"/>
        </w:rPr>
      </w:pPr>
      <w:r w:rsidRPr="00437BFD">
        <w:rPr>
          <w:rFonts w:ascii="Times New Roman" w:hAnsi="Times New Roman" w:cs="Times New Roman"/>
        </w:rPr>
        <w:t>Wszystkie oferowane urządzenia powinny pochodzić z seryjnej produkcji. Nie dopuszcza się rozwiązań spoza oficjalnej produkcji w tym wykona</w:t>
      </w:r>
      <w:r w:rsidR="00695243">
        <w:rPr>
          <w:rFonts w:ascii="Times New Roman" w:hAnsi="Times New Roman" w:cs="Times New Roman"/>
        </w:rPr>
        <w:t>nia</w:t>
      </w:r>
      <w:r w:rsidRPr="00437BFD">
        <w:rPr>
          <w:rFonts w:ascii="Times New Roman" w:hAnsi="Times New Roman" w:cs="Times New Roman"/>
        </w:rPr>
        <w:t xml:space="preserve"> indywidualnych („</w:t>
      </w:r>
      <w:proofErr w:type="spellStart"/>
      <w:r w:rsidRPr="00437BFD">
        <w:rPr>
          <w:rFonts w:ascii="Times New Roman" w:hAnsi="Times New Roman" w:cs="Times New Roman"/>
        </w:rPr>
        <w:t>custom</w:t>
      </w:r>
      <w:proofErr w:type="spellEnd"/>
      <w:r w:rsidRPr="00437BFD">
        <w:rPr>
          <w:rFonts w:ascii="Times New Roman" w:hAnsi="Times New Roman" w:cs="Times New Roman"/>
        </w:rPr>
        <w:t xml:space="preserve"> shop” itp.). </w:t>
      </w:r>
    </w:p>
    <w:p w14:paraId="0B785458" w14:textId="017F4F78" w:rsidR="007B1641" w:rsidRPr="00437BFD" w:rsidRDefault="007B1641" w:rsidP="007B1641">
      <w:pPr>
        <w:ind w:firstLine="708"/>
        <w:jc w:val="both"/>
        <w:rPr>
          <w:rFonts w:ascii="Times New Roman" w:hAnsi="Times New Roman" w:cs="Times New Roman"/>
        </w:rPr>
      </w:pPr>
      <w:r w:rsidRPr="00437BFD">
        <w:rPr>
          <w:rFonts w:ascii="Times New Roman" w:hAnsi="Times New Roman" w:cs="Times New Roman"/>
        </w:rPr>
        <w:t xml:space="preserve">Wykonawca wraz z ofertą zobowiązany jest dostarczyć szczegółową listę oferowanych urządzeń </w:t>
      </w:r>
      <w:r w:rsidRPr="00BB1B7D">
        <w:rPr>
          <w:rFonts w:ascii="Times New Roman" w:hAnsi="Times New Roman" w:cs="Times New Roman"/>
        </w:rPr>
        <w:t xml:space="preserve">obejmującą informacje: producent urządzenia, symbol/model, ilość </w:t>
      </w:r>
      <w:r w:rsidRPr="00BB1B7D">
        <w:rPr>
          <w:rFonts w:ascii="Times New Roman" w:hAnsi="Times New Roman" w:cs="Times New Roman"/>
          <w:b/>
        </w:rPr>
        <w:t xml:space="preserve">(załącznik nr </w:t>
      </w:r>
      <w:r w:rsidR="00BB1B7D" w:rsidRPr="00BB1B7D">
        <w:rPr>
          <w:rFonts w:ascii="Times New Roman" w:hAnsi="Times New Roman" w:cs="Times New Roman"/>
          <w:b/>
        </w:rPr>
        <w:t>1b</w:t>
      </w:r>
      <w:r w:rsidRPr="00BB1B7D">
        <w:rPr>
          <w:rFonts w:ascii="Times New Roman" w:hAnsi="Times New Roman" w:cs="Times New Roman"/>
          <w:b/>
        </w:rPr>
        <w:t xml:space="preserve"> do SWZ)</w:t>
      </w:r>
      <w:r w:rsidRPr="00BB1B7D">
        <w:rPr>
          <w:rFonts w:ascii="Times New Roman" w:hAnsi="Times New Roman" w:cs="Times New Roman"/>
        </w:rPr>
        <w:t xml:space="preserve"> </w:t>
      </w:r>
      <w:r w:rsidRPr="00BB1B7D">
        <w:rPr>
          <w:rFonts w:ascii="Times New Roman" w:hAnsi="Times New Roman" w:cs="Times New Roman"/>
          <w:b/>
        </w:rPr>
        <w:t xml:space="preserve">oraz </w:t>
      </w:r>
      <w:r w:rsidRPr="00437BFD">
        <w:rPr>
          <w:rFonts w:ascii="Times New Roman" w:hAnsi="Times New Roman" w:cs="Times New Roman"/>
          <w:b/>
        </w:rPr>
        <w:t>dostarczyć wraz z ofertą karty katalogowe</w:t>
      </w:r>
      <w:r w:rsidRPr="00527D47">
        <w:rPr>
          <w:rFonts w:ascii="Times New Roman" w:hAnsi="Times New Roman" w:cs="Times New Roman"/>
        </w:rPr>
        <w:t xml:space="preserve"> (</w:t>
      </w:r>
      <w:r w:rsidR="00A047A2" w:rsidRPr="00527D47">
        <w:rPr>
          <w:rFonts w:ascii="Times New Roman" w:hAnsi="Times New Roman" w:cs="Times New Roman"/>
        </w:rPr>
        <w:t>5</w:t>
      </w:r>
      <w:r w:rsidRPr="00527D47">
        <w:rPr>
          <w:rFonts w:ascii="Times New Roman" w:hAnsi="Times New Roman" w:cs="Times New Roman"/>
        </w:rPr>
        <w:t xml:space="preserve"> szt. - zgodnie z poniższym wykazem) dla </w:t>
      </w:r>
      <w:r w:rsidRPr="00437BFD">
        <w:rPr>
          <w:rFonts w:ascii="Times New Roman" w:hAnsi="Times New Roman" w:cs="Times New Roman"/>
        </w:rPr>
        <w:t xml:space="preserve">potwierdzenia spełnienia wszystkich poniższych parametrów i funkcji. </w:t>
      </w:r>
    </w:p>
    <w:p w14:paraId="2CBE18EC" w14:textId="77777777" w:rsidR="007B1641" w:rsidRPr="00437BFD" w:rsidRDefault="007B1641" w:rsidP="007B1641">
      <w:pPr>
        <w:jc w:val="both"/>
        <w:rPr>
          <w:rFonts w:ascii="Times New Roman" w:hAnsi="Times New Roman" w:cs="Times New Roman"/>
        </w:rPr>
      </w:pPr>
      <w:r w:rsidRPr="00437BFD">
        <w:rPr>
          <w:rFonts w:ascii="Times New Roman" w:hAnsi="Times New Roman" w:cs="Times New Roman"/>
        </w:rPr>
        <w:t>Poniższa tabela przedstawia wykaz minimalnych parametrów i funkcji.</w:t>
      </w:r>
    </w:p>
    <w:p w14:paraId="5F273332" w14:textId="77777777" w:rsidR="007B1641" w:rsidRDefault="007B1641" w:rsidP="002503D1">
      <w:pPr>
        <w:spacing w:after="0" w:line="276" w:lineRule="auto"/>
        <w:jc w:val="center"/>
        <w:rPr>
          <w:rFonts w:ascii="Arial" w:hAnsi="Arial" w:cs="Arial"/>
          <w:b/>
          <w:sz w:val="24"/>
          <w:szCs w:val="24"/>
        </w:rPr>
      </w:pPr>
    </w:p>
    <w:tbl>
      <w:tblPr>
        <w:tblStyle w:val="Tabela-Siatka"/>
        <w:tblW w:w="9948" w:type="dxa"/>
        <w:tblLayout w:type="fixed"/>
        <w:tblLook w:val="04A0" w:firstRow="1" w:lastRow="0" w:firstColumn="1" w:lastColumn="0" w:noHBand="0" w:noVBand="1"/>
      </w:tblPr>
      <w:tblGrid>
        <w:gridCol w:w="575"/>
        <w:gridCol w:w="2397"/>
        <w:gridCol w:w="4253"/>
        <w:gridCol w:w="650"/>
        <w:gridCol w:w="754"/>
        <w:gridCol w:w="1319"/>
      </w:tblGrid>
      <w:tr w:rsidR="00DA4D1D" w:rsidRPr="00DB2A66" w14:paraId="1951CEE6" w14:textId="77777777" w:rsidTr="00FC516B">
        <w:tc>
          <w:tcPr>
            <w:tcW w:w="575" w:type="dxa"/>
          </w:tcPr>
          <w:p w14:paraId="035D8F79" w14:textId="3DF7A916" w:rsidR="00DA4D1D" w:rsidRPr="00DB2A66" w:rsidRDefault="00DA4D1D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L.p.</w:t>
            </w:r>
          </w:p>
        </w:tc>
        <w:tc>
          <w:tcPr>
            <w:tcW w:w="2397" w:type="dxa"/>
          </w:tcPr>
          <w:p w14:paraId="3755C43D" w14:textId="5C4E3DA5" w:rsidR="00DA4D1D" w:rsidRPr="00DB2A66" w:rsidRDefault="00DA4D1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Rodzaj urządzenia</w:t>
            </w:r>
          </w:p>
        </w:tc>
        <w:tc>
          <w:tcPr>
            <w:tcW w:w="4253" w:type="dxa"/>
          </w:tcPr>
          <w:p w14:paraId="7056233C" w14:textId="30A9BFA3" w:rsidR="00DA4D1D" w:rsidRPr="00DB2A66" w:rsidRDefault="00DA4D1D" w:rsidP="008C1BCA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Specyfikacja techniczna</w:t>
            </w:r>
          </w:p>
        </w:tc>
        <w:tc>
          <w:tcPr>
            <w:tcW w:w="650" w:type="dxa"/>
          </w:tcPr>
          <w:p w14:paraId="3392B526" w14:textId="5A4E7B03" w:rsidR="00DA4D1D" w:rsidRPr="00DB2A66" w:rsidRDefault="00DA4D1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Ilość</w:t>
            </w:r>
          </w:p>
        </w:tc>
        <w:tc>
          <w:tcPr>
            <w:tcW w:w="754" w:type="dxa"/>
          </w:tcPr>
          <w:p w14:paraId="1E3C527E" w14:textId="4AECE8D1" w:rsidR="00DA4D1D" w:rsidRPr="00DB2A66" w:rsidRDefault="00DA4D1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 xml:space="preserve">Jedn. </w:t>
            </w:r>
            <w:r w:rsidR="008B68D5" w:rsidRPr="00DB2A66">
              <w:rPr>
                <w:rFonts w:ascii="Times New Roman" w:hAnsi="Times New Roman" w:cs="Times New Roman"/>
                <w:bCs/>
              </w:rPr>
              <w:t>m</w:t>
            </w:r>
            <w:r w:rsidRPr="00DB2A66">
              <w:rPr>
                <w:rFonts w:ascii="Times New Roman" w:hAnsi="Times New Roman" w:cs="Times New Roman"/>
                <w:bCs/>
              </w:rPr>
              <w:t>iary</w:t>
            </w:r>
          </w:p>
        </w:tc>
        <w:tc>
          <w:tcPr>
            <w:tcW w:w="1319" w:type="dxa"/>
          </w:tcPr>
          <w:p w14:paraId="0B355D88" w14:textId="400A2CDE" w:rsidR="00DA4D1D" w:rsidRPr="00DB2A66" w:rsidRDefault="00DA4D1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 xml:space="preserve">Wymóg karty </w:t>
            </w:r>
            <w:r w:rsidR="008B68D5" w:rsidRPr="00DB2A66">
              <w:rPr>
                <w:rFonts w:ascii="Times New Roman" w:hAnsi="Times New Roman" w:cs="Times New Roman"/>
                <w:bCs/>
              </w:rPr>
              <w:t>katalogowej</w:t>
            </w:r>
          </w:p>
        </w:tc>
      </w:tr>
      <w:tr w:rsidR="008B68D5" w:rsidRPr="00DB2A66" w14:paraId="6E442934" w14:textId="77777777" w:rsidTr="00FC516B">
        <w:trPr>
          <w:trHeight w:val="5782"/>
        </w:trPr>
        <w:tc>
          <w:tcPr>
            <w:tcW w:w="575" w:type="dxa"/>
          </w:tcPr>
          <w:p w14:paraId="26CA1451" w14:textId="77777777" w:rsidR="008B68D5" w:rsidRPr="00DB2A66" w:rsidRDefault="008B68D5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</w:p>
          <w:p w14:paraId="62CA8B9E" w14:textId="317A3FEB" w:rsidR="00D45A7F" w:rsidRPr="00DB2A66" w:rsidRDefault="00D45A7F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2397" w:type="dxa"/>
          </w:tcPr>
          <w:p w14:paraId="0F5B23FD" w14:textId="64EC2AE2" w:rsidR="008B68D5" w:rsidRPr="00DB2A66" w:rsidRDefault="00A047A2" w:rsidP="00527D47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Konsola oświetleniowa</w:t>
            </w:r>
          </w:p>
        </w:tc>
        <w:tc>
          <w:tcPr>
            <w:tcW w:w="4253" w:type="dxa"/>
          </w:tcPr>
          <w:p w14:paraId="48EB7EC6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Sterowanie w czasie rzeczywistym do minimum 250 000 parametrów na sesję w połączeniu z dedykowanymi procesorami</w:t>
            </w:r>
          </w:p>
          <w:p w14:paraId="0D6B5211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Minimum 6 wyjść DMX i minimum 1 wejście DMX</w:t>
            </w:r>
          </w:p>
          <w:p w14:paraId="69380B5F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Minimum 2 wbudowane, składane monitory wielodotykowe</w:t>
            </w:r>
          </w:p>
          <w:p w14:paraId="26193A5E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Minimum 2 wbudowane ekrany wielodotykowe,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niskoprofilowe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typu „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letterbox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>”</w:t>
            </w:r>
          </w:p>
          <w:p w14:paraId="30E0EF7B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Minimum 2 wbudowane ekrany wielodotykowe podglądowe</w:t>
            </w:r>
          </w:p>
          <w:p w14:paraId="40501887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Możliwość podłączenia minimum 2 zewnętrznych monitorów wielodotykowych</w:t>
            </w:r>
          </w:p>
          <w:p w14:paraId="5BC9BA86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Minimum 41 obrotowych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encoderów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z podświetleniem RGB</w:t>
            </w:r>
          </w:p>
          <w:p w14:paraId="65058B75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lastRenderedPageBreak/>
              <w:t xml:space="preserve">Minimum 5 podwójnych podświetlanych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enkoderów</w:t>
            </w:r>
            <w:proofErr w:type="spellEnd"/>
          </w:p>
          <w:p w14:paraId="20C3ED1C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Minimum 15 zmotoryzowanych podświetlanych suwaków długości 60mm</w:t>
            </w:r>
          </w:p>
          <w:p w14:paraId="176C0A57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Minimum 60 niezależnych playbacków</w:t>
            </w:r>
          </w:p>
          <w:p w14:paraId="26D563CE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Minimum 16 konfigurowalnych przycisków</w:t>
            </w:r>
          </w:p>
          <w:p w14:paraId="63629227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Zintegrowana szuflada na klawiaturę</w:t>
            </w:r>
          </w:p>
          <w:p w14:paraId="578DC479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Wbudowany zasilacz awaryjny UPS</w:t>
            </w:r>
          </w:p>
          <w:p w14:paraId="74B73BC8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Minimum 3 złącza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etherCON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oraz minimum 6 złącz USB</w:t>
            </w:r>
          </w:p>
          <w:p w14:paraId="347D6217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Minimum 2 podświetlane zmotoryzowane suwaki A/B długości 100mm</w:t>
            </w:r>
          </w:p>
          <w:p w14:paraId="4928DEB4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Indywidualnie podświetlane ciche przyciski z regulacją intensywności podświetlenia</w:t>
            </w:r>
          </w:p>
          <w:p w14:paraId="3FF46AC5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Oferowana konsoleta ma zapewniać co najmniej 16 384 parametry sterujące HTP/LTP</w:t>
            </w:r>
          </w:p>
          <w:p w14:paraId="1EB0D711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Minimum 1 złącze zasilające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powerCON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TRUE 1</w:t>
            </w:r>
          </w:p>
          <w:p w14:paraId="0137764E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Minimum 3 złącza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etherCON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>/RJ45</w:t>
            </w:r>
          </w:p>
          <w:p w14:paraId="47C23A9E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Minimum 6 wyjść DMX 512-A</w:t>
            </w:r>
          </w:p>
          <w:p w14:paraId="014FA6A8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Minimum 1 wejście DMX 512-A</w:t>
            </w:r>
          </w:p>
          <w:p w14:paraId="67B91F25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Minimum 1 wejście MIDI</w:t>
            </w:r>
          </w:p>
          <w:p w14:paraId="43ECBD69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Minimum 1 wyjście MIDI</w:t>
            </w:r>
          </w:p>
          <w:p w14:paraId="6C2B4AD2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Minimum 1 złącze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Linear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Timecode</w:t>
            </w:r>
            <w:proofErr w:type="spellEnd"/>
          </w:p>
          <w:p w14:paraId="53E246C9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Minimum 1 wejście Audio</w:t>
            </w:r>
          </w:p>
          <w:p w14:paraId="2AC26776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Minimum 1 złącze GPI</w:t>
            </w:r>
          </w:p>
          <w:p w14:paraId="7F07D68E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Minimum 2 złącza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DisplayPort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1.2 dla zewnętrznych monitorów</w:t>
            </w:r>
          </w:p>
          <w:p w14:paraId="6ABF0ABB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Minimum 2 złącza S/PDIF wejście i wyjście</w:t>
            </w:r>
          </w:p>
          <w:p w14:paraId="3E0B9F98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Minimum 3 złącza USB 2.0</w:t>
            </w:r>
          </w:p>
          <w:p w14:paraId="5EF66721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Minimum 3 złącza USB 3.0</w:t>
            </w:r>
          </w:p>
          <w:p w14:paraId="2DDF3FD2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Minimum 2 złącza dla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ledowych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lampek oświetlenia konsolety</w:t>
            </w:r>
          </w:p>
          <w:p w14:paraId="68A0252B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Wymiary konsolety przy rozłożonych ekranach w pozycji roboczej nie </w:t>
            </w:r>
            <w:r w:rsidRPr="00C6228D">
              <w:rPr>
                <w:rFonts w:cstheme="minorHAnsi"/>
                <w:sz w:val="24"/>
                <w:szCs w:val="24"/>
              </w:rPr>
              <w:lastRenderedPageBreak/>
              <w:t>większe niż: 854 x 584 x 409 mm / szerokość x głębokość x wysokość</w:t>
            </w:r>
          </w:p>
          <w:p w14:paraId="62BEC034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Waga konsolety nie większa niż 33kg</w:t>
            </w:r>
          </w:p>
          <w:p w14:paraId="4AE08613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Pokrowiec</w:t>
            </w:r>
          </w:p>
          <w:p w14:paraId="2284520F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Minimum 2 lampki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ledowe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oświetlenia konsolety</w:t>
            </w:r>
          </w:p>
          <w:p w14:paraId="494CC40B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Minimum 1 magnetyczna nakładka opisowa suwaków</w:t>
            </w:r>
          </w:p>
          <w:p w14:paraId="2109B57C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Obsługa formatu MVR (My Virtual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Rig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>) umożliwiającego dwukierunkową wymianę danych projektu sceny/oświetlenia pomiędzy konsoletą oświetleniową a oprogramowaniem do wizualizacji, programami CAD itp.</w:t>
            </w:r>
          </w:p>
          <w:p w14:paraId="0C842793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Obsługa matryc w trybie siatki umożliwiająca identyfikację położenia urządzeń w przestrzeni 3D. Każde urządzenie powinno posiadać możliwość identyfikacji jako obiekt w siatce przestrzennej.</w:t>
            </w:r>
          </w:p>
          <w:p w14:paraId="44EED77E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Wbudowany edytor efektów umożliwiający automatyczne tworzenie efektów po dodaniu drugiego, lub większej ilości kroków dla wartości danego atrybutu.</w:t>
            </w:r>
          </w:p>
          <w:p w14:paraId="19CDD33E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Obsługa plików opisowych w formacie GDTF (General Device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Type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Format).</w:t>
            </w:r>
          </w:p>
          <w:p w14:paraId="082DBC88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Praca w trybie Multi-User (wielu niezależnych użytkowników) który pozwala na jednoczesna pracę nad tym samym spektaklem z wykorzystaniem kilku konsolet w czasie rzeczywistym.</w:t>
            </w:r>
          </w:p>
          <w:p w14:paraId="5DA65A10" w14:textId="77777777" w:rsidR="00A047A2" w:rsidRPr="00C6228D" w:rsidRDefault="00A047A2" w:rsidP="00FC516B">
            <w:pPr>
              <w:pStyle w:val="Akapitzlist"/>
              <w:numPr>
                <w:ilvl w:val="0"/>
                <w:numId w:val="13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Wbudowany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wizualizer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w formie okna 3D z możliwością pozycjonowania i obracania urządzeń w wirtualnej przestrzeni.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Wizualizer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powinien umożliwiać wyświetlanie wiązki światła, która porusza się i zmienia kolor, gdy zmieniane są wartości parametrów urządzeń.</w:t>
            </w:r>
          </w:p>
          <w:p w14:paraId="3680507E" w14:textId="51D9FB8B" w:rsidR="008B68D5" w:rsidRPr="00DB2A66" w:rsidRDefault="00A047A2" w:rsidP="00FC516B">
            <w:pPr>
              <w:pStyle w:val="Akapitzlist"/>
              <w:suppressAutoHyphens w:val="0"/>
              <w:spacing w:after="0" w:line="240" w:lineRule="auto"/>
              <w:ind w:left="0"/>
              <w:rPr>
                <w:rFonts w:ascii="Times New Roman" w:hAnsi="Times New Roman" w:cs="Times New Roman"/>
                <w:b/>
                <w:bCs/>
              </w:rPr>
            </w:pPr>
            <w:r w:rsidRPr="00C6228D">
              <w:rPr>
                <w:rFonts w:cstheme="minorHAnsi"/>
                <w:sz w:val="24"/>
                <w:szCs w:val="24"/>
              </w:rPr>
              <w:t>Obsługa skryptów tekstowych LUA</w:t>
            </w:r>
          </w:p>
        </w:tc>
        <w:tc>
          <w:tcPr>
            <w:tcW w:w="650" w:type="dxa"/>
          </w:tcPr>
          <w:p w14:paraId="739CB25C" w14:textId="781BAB2E" w:rsidR="008B68D5" w:rsidRPr="00DB2A66" w:rsidRDefault="00A047A2" w:rsidP="00D45A7F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1</w:t>
            </w:r>
          </w:p>
        </w:tc>
        <w:tc>
          <w:tcPr>
            <w:tcW w:w="754" w:type="dxa"/>
          </w:tcPr>
          <w:p w14:paraId="5D73634A" w14:textId="07D48598" w:rsidR="008B68D5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s</w:t>
            </w:r>
            <w:r w:rsidR="008B68D5" w:rsidRPr="00DB2A66">
              <w:rPr>
                <w:rFonts w:ascii="Times New Roman" w:hAnsi="Times New Roman" w:cs="Times New Roman"/>
                <w:bCs/>
              </w:rPr>
              <w:t>zt.</w:t>
            </w:r>
          </w:p>
        </w:tc>
        <w:tc>
          <w:tcPr>
            <w:tcW w:w="1319" w:type="dxa"/>
          </w:tcPr>
          <w:p w14:paraId="2EB4EF11" w14:textId="335C0A80" w:rsidR="008B68D5" w:rsidRPr="00DB2A66" w:rsidRDefault="008B68D5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TAK</w:t>
            </w:r>
          </w:p>
        </w:tc>
      </w:tr>
      <w:tr w:rsidR="008B68D5" w:rsidRPr="00DB2A66" w14:paraId="3B2E4D58" w14:textId="77777777" w:rsidTr="00FC516B">
        <w:tc>
          <w:tcPr>
            <w:tcW w:w="575" w:type="dxa"/>
          </w:tcPr>
          <w:p w14:paraId="6A4937B3" w14:textId="2EA1AEBC" w:rsidR="008B68D5" w:rsidRPr="00DB2A66" w:rsidRDefault="00D45A7F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lastRenderedPageBreak/>
              <w:t>2</w:t>
            </w:r>
          </w:p>
        </w:tc>
        <w:tc>
          <w:tcPr>
            <w:tcW w:w="2397" w:type="dxa"/>
          </w:tcPr>
          <w:p w14:paraId="15EAC1A5" w14:textId="10BDDECA" w:rsidR="008B68D5" w:rsidRPr="00DB2A66" w:rsidRDefault="00A047A2" w:rsidP="00527D47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Flip Case – skrzynia na konsoletę oświetleniową</w:t>
            </w:r>
          </w:p>
        </w:tc>
        <w:tc>
          <w:tcPr>
            <w:tcW w:w="4253" w:type="dxa"/>
          </w:tcPr>
          <w:p w14:paraId="33A72A2C" w14:textId="77777777" w:rsidR="00A047A2" w:rsidRPr="00C6228D" w:rsidRDefault="00A047A2" w:rsidP="00FC516B">
            <w:pPr>
              <w:pStyle w:val="Akapitzlist"/>
              <w:numPr>
                <w:ilvl w:val="1"/>
                <w:numId w:val="1"/>
              </w:numPr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Regulowana wysokość pracy w zakresie 85–100 cm</w:t>
            </w:r>
          </w:p>
          <w:p w14:paraId="2F09B327" w14:textId="77777777" w:rsidR="00A047A2" w:rsidRPr="00C6228D" w:rsidRDefault="00A047A2" w:rsidP="00FC516B">
            <w:pPr>
              <w:pStyle w:val="Akapitzlist"/>
              <w:numPr>
                <w:ilvl w:val="1"/>
                <w:numId w:val="1"/>
              </w:numPr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lastRenderedPageBreak/>
              <w:t>System amortyzujący</w:t>
            </w:r>
          </w:p>
          <w:p w14:paraId="222A987E" w14:textId="77777777" w:rsidR="00A047A2" w:rsidRPr="00C6228D" w:rsidRDefault="00A047A2" w:rsidP="00FC516B">
            <w:pPr>
              <w:pStyle w:val="Akapitzlist"/>
              <w:numPr>
                <w:ilvl w:val="1"/>
                <w:numId w:val="1"/>
              </w:numPr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1x 2U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rack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19" przestrzeni pod konsolą -dostęp z przodu</w:t>
            </w:r>
          </w:p>
          <w:p w14:paraId="5728CB86" w14:textId="77777777" w:rsidR="00A047A2" w:rsidRPr="00C6228D" w:rsidRDefault="00A047A2" w:rsidP="00FC516B">
            <w:pPr>
              <w:pStyle w:val="Akapitzlist"/>
              <w:numPr>
                <w:ilvl w:val="1"/>
                <w:numId w:val="1"/>
              </w:numPr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Schowek zamontowany w drzwiach</w:t>
            </w:r>
          </w:p>
          <w:p w14:paraId="5314C4E5" w14:textId="77777777" w:rsidR="00A047A2" w:rsidRPr="00C6228D" w:rsidRDefault="00A047A2" w:rsidP="00FC516B">
            <w:pPr>
              <w:pStyle w:val="Akapitzlist"/>
              <w:numPr>
                <w:ilvl w:val="1"/>
                <w:numId w:val="1"/>
              </w:numPr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Cztery obrotowe koła z blokadami</w:t>
            </w:r>
          </w:p>
          <w:p w14:paraId="5ED270A3" w14:textId="77777777" w:rsidR="00A047A2" w:rsidRPr="00C6228D" w:rsidRDefault="00A047A2" w:rsidP="00FC516B">
            <w:pPr>
              <w:pStyle w:val="Akapitzlist"/>
              <w:numPr>
                <w:ilvl w:val="1"/>
                <w:numId w:val="1"/>
              </w:numPr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Waga pustej skrzyni nie więcej niż 91 kg</w:t>
            </w:r>
          </w:p>
          <w:p w14:paraId="6A1394D4" w14:textId="77777777" w:rsidR="008B68D5" w:rsidRPr="00A047A2" w:rsidRDefault="008B68D5" w:rsidP="008C1BCA">
            <w:pPr>
              <w:suppressAutoHyphens w:val="0"/>
              <w:spacing w:before="240" w:after="0" w:line="240" w:lineRule="auto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50" w:type="dxa"/>
          </w:tcPr>
          <w:p w14:paraId="0C418A92" w14:textId="10026274" w:rsidR="008B68D5" w:rsidRPr="00DB2A66" w:rsidRDefault="00A047A2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1</w:t>
            </w:r>
          </w:p>
        </w:tc>
        <w:tc>
          <w:tcPr>
            <w:tcW w:w="754" w:type="dxa"/>
          </w:tcPr>
          <w:p w14:paraId="496DB8B0" w14:textId="5CBE76FE" w:rsidR="008B68D5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szt.</w:t>
            </w:r>
          </w:p>
        </w:tc>
        <w:tc>
          <w:tcPr>
            <w:tcW w:w="1319" w:type="dxa"/>
          </w:tcPr>
          <w:p w14:paraId="115313E1" w14:textId="5E00A9DE" w:rsidR="008B68D5" w:rsidRPr="00DB2A66" w:rsidRDefault="00A047A2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NIE</w:t>
            </w:r>
          </w:p>
        </w:tc>
      </w:tr>
      <w:tr w:rsidR="0012208D" w:rsidRPr="00DB2A66" w14:paraId="6025EDB1" w14:textId="77777777" w:rsidTr="00FC516B">
        <w:tc>
          <w:tcPr>
            <w:tcW w:w="575" w:type="dxa"/>
          </w:tcPr>
          <w:p w14:paraId="71009AB7" w14:textId="1CA76964" w:rsidR="0012208D" w:rsidRPr="00DB2A66" w:rsidRDefault="0012208D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3.</w:t>
            </w:r>
          </w:p>
        </w:tc>
        <w:tc>
          <w:tcPr>
            <w:tcW w:w="2397" w:type="dxa"/>
          </w:tcPr>
          <w:p w14:paraId="3F3C4402" w14:textId="728702A0" w:rsidR="0012208D" w:rsidRPr="00DB2A66" w:rsidRDefault="00A047A2" w:rsidP="00527D47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C6228D">
              <w:rPr>
                <w:rFonts w:cstheme="minorHAnsi"/>
                <w:b/>
                <w:bCs/>
                <w:sz w:val="24"/>
                <w:szCs w:val="24"/>
              </w:rPr>
              <w:t xml:space="preserve">Kompaktowa głowa ruchoma typu WASH IP65 oparta na </w:t>
            </w:r>
            <w:proofErr w:type="spellStart"/>
            <w:r w:rsidRPr="00C6228D">
              <w:rPr>
                <w:rFonts w:cstheme="minorHAnsi"/>
                <w:b/>
                <w:bCs/>
                <w:sz w:val="24"/>
                <w:szCs w:val="24"/>
              </w:rPr>
              <w:t>ledowym</w:t>
            </w:r>
            <w:proofErr w:type="spellEnd"/>
            <w:r w:rsidRPr="00C6228D">
              <w:rPr>
                <w:rFonts w:cstheme="minorHAnsi"/>
                <w:b/>
                <w:bCs/>
                <w:sz w:val="24"/>
                <w:szCs w:val="24"/>
              </w:rPr>
              <w:t xml:space="preserve"> źródle światła</w:t>
            </w:r>
          </w:p>
        </w:tc>
        <w:tc>
          <w:tcPr>
            <w:tcW w:w="4253" w:type="dxa"/>
          </w:tcPr>
          <w:p w14:paraId="41689218" w14:textId="77777777" w:rsidR="00A047A2" w:rsidRPr="00C6228D" w:rsidRDefault="00A047A2" w:rsidP="00FC516B">
            <w:pPr>
              <w:pStyle w:val="Akapitzlist"/>
              <w:numPr>
                <w:ilvl w:val="0"/>
                <w:numId w:val="14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Źródło światła minimum 19 diod LED RGBW mocy minimum 45W każda</w:t>
            </w:r>
          </w:p>
          <w:p w14:paraId="63B96FBE" w14:textId="77777777" w:rsidR="00A047A2" w:rsidRPr="00C6228D" w:rsidRDefault="00A047A2" w:rsidP="00FC516B">
            <w:pPr>
              <w:pStyle w:val="Akapitzlist"/>
              <w:numPr>
                <w:ilvl w:val="0"/>
                <w:numId w:val="14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Dodatkowe źródło światła: 144 diody LED RGB mocy minimum 0.2W w kształcie okręgu wokół centralnej soczewki osłonięte dedykowanym filtrem</w:t>
            </w:r>
          </w:p>
          <w:p w14:paraId="5C00C1BC" w14:textId="77777777" w:rsidR="00A047A2" w:rsidRPr="00C6228D" w:rsidRDefault="00A047A2" w:rsidP="00FC516B">
            <w:pPr>
              <w:pStyle w:val="Akapitzlist"/>
              <w:numPr>
                <w:ilvl w:val="0"/>
                <w:numId w:val="14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Wbudowane programy dla zewnętrznego pierścienia LED z podziałem na minimum 12 sekcji</w:t>
            </w:r>
          </w:p>
          <w:p w14:paraId="241530DA" w14:textId="77777777" w:rsidR="00A047A2" w:rsidRPr="00C6228D" w:rsidRDefault="00A047A2" w:rsidP="00FC516B">
            <w:pPr>
              <w:pStyle w:val="Akapitzlist"/>
              <w:numPr>
                <w:ilvl w:val="0"/>
                <w:numId w:val="14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Płynnie regulowany zoom w zakresie od nie więcej niż 3.6° do minimum 53°</w:t>
            </w:r>
          </w:p>
          <w:p w14:paraId="5BFFCFB8" w14:textId="77777777" w:rsidR="00A047A2" w:rsidRPr="00C6228D" w:rsidRDefault="00A047A2" w:rsidP="00FC516B">
            <w:pPr>
              <w:pStyle w:val="Akapitzlist"/>
              <w:numPr>
                <w:ilvl w:val="0"/>
                <w:numId w:val="14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Strumień świetlny na wyjściu minimum 9 900 lumenów</w:t>
            </w:r>
          </w:p>
          <w:p w14:paraId="7FD0AC58" w14:textId="77777777" w:rsidR="00A047A2" w:rsidRPr="00C6228D" w:rsidRDefault="00A047A2" w:rsidP="00FC516B">
            <w:pPr>
              <w:pStyle w:val="Akapitzlist"/>
              <w:numPr>
                <w:ilvl w:val="0"/>
                <w:numId w:val="14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Przełączalna modulacja PWM z poziomu menu urządzenia w zakresie minimum 600Hz – 15 000Hz</w:t>
            </w:r>
          </w:p>
          <w:p w14:paraId="03709865" w14:textId="77777777" w:rsidR="00A047A2" w:rsidRPr="00C6228D" w:rsidRDefault="00A047A2" w:rsidP="00FC516B">
            <w:pPr>
              <w:pStyle w:val="Akapitzlist"/>
              <w:numPr>
                <w:ilvl w:val="0"/>
                <w:numId w:val="14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Zakres ruchu Pan/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Tilt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nie mniejszy niż 540/260°</w:t>
            </w:r>
          </w:p>
          <w:p w14:paraId="119307E0" w14:textId="77777777" w:rsidR="00A047A2" w:rsidRPr="00C6228D" w:rsidRDefault="00A047A2" w:rsidP="00FC516B">
            <w:pPr>
              <w:pStyle w:val="Akapitzlist"/>
              <w:numPr>
                <w:ilvl w:val="0"/>
                <w:numId w:val="14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Płynnie regulowana częstotliwość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strobo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od nie więcej niż 0 do minimum 20Hz</w:t>
            </w:r>
          </w:p>
          <w:p w14:paraId="50A1E428" w14:textId="77777777" w:rsidR="00A047A2" w:rsidRPr="00C6228D" w:rsidRDefault="00A047A2" w:rsidP="00FC516B">
            <w:pPr>
              <w:pStyle w:val="Akapitzlist"/>
              <w:numPr>
                <w:ilvl w:val="0"/>
                <w:numId w:val="14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Minimum 4 krzywe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dimmera</w:t>
            </w:r>
            <w:proofErr w:type="spellEnd"/>
          </w:p>
          <w:p w14:paraId="6DBAACD1" w14:textId="77777777" w:rsidR="00A047A2" w:rsidRPr="00C6228D" w:rsidRDefault="00A047A2" w:rsidP="00FC516B">
            <w:pPr>
              <w:pStyle w:val="Akapitzlist"/>
              <w:numPr>
                <w:ilvl w:val="0"/>
                <w:numId w:val="14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Zasilanie realizowane za pomocą złącza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Seetronic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IP65</w:t>
            </w:r>
          </w:p>
          <w:p w14:paraId="2D84C969" w14:textId="77777777" w:rsidR="00A047A2" w:rsidRPr="00C6228D" w:rsidRDefault="00A047A2" w:rsidP="00FC516B">
            <w:pPr>
              <w:pStyle w:val="Akapitzlist"/>
              <w:numPr>
                <w:ilvl w:val="0"/>
                <w:numId w:val="14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Wbudowane złącza DMX XLR 5-pin</w:t>
            </w:r>
          </w:p>
          <w:p w14:paraId="5A2F81CE" w14:textId="77777777" w:rsidR="00A047A2" w:rsidRPr="00C6228D" w:rsidRDefault="00A047A2" w:rsidP="00FC516B">
            <w:pPr>
              <w:pStyle w:val="Akapitzlist"/>
              <w:numPr>
                <w:ilvl w:val="0"/>
                <w:numId w:val="14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Wbudowane złącza Ethernet in/out</w:t>
            </w:r>
          </w:p>
          <w:p w14:paraId="6B93B2AB" w14:textId="77777777" w:rsidR="00A047A2" w:rsidRPr="00C6228D" w:rsidRDefault="00A047A2" w:rsidP="00FC516B">
            <w:pPr>
              <w:pStyle w:val="Akapitzlist"/>
              <w:numPr>
                <w:ilvl w:val="0"/>
                <w:numId w:val="14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Praca w protokołach: DMX, RDM, Art.-net,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sACN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>, Kling-Net, W-DMX</w:t>
            </w:r>
          </w:p>
          <w:p w14:paraId="1C3A4D79" w14:textId="77777777" w:rsidR="00A047A2" w:rsidRPr="00C6228D" w:rsidRDefault="00A047A2" w:rsidP="00FC516B">
            <w:pPr>
              <w:pStyle w:val="Akapitzlist"/>
              <w:numPr>
                <w:ilvl w:val="0"/>
                <w:numId w:val="14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Całkowity pobór mocy nie większy niż 1100W przy napięciu 230V </w:t>
            </w:r>
          </w:p>
          <w:p w14:paraId="03BADE79" w14:textId="77777777" w:rsidR="00A047A2" w:rsidRPr="00C6228D" w:rsidRDefault="00A047A2" w:rsidP="00FC516B">
            <w:pPr>
              <w:pStyle w:val="Akapitzlist"/>
              <w:numPr>
                <w:ilvl w:val="0"/>
                <w:numId w:val="14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lastRenderedPageBreak/>
              <w:t>Wbudowane złącze USB do aktualizacji oprogramowania</w:t>
            </w:r>
          </w:p>
          <w:p w14:paraId="32F56E52" w14:textId="77777777" w:rsidR="00A047A2" w:rsidRPr="00C6228D" w:rsidRDefault="00A047A2" w:rsidP="00FC516B">
            <w:pPr>
              <w:pStyle w:val="Akapitzlist"/>
              <w:numPr>
                <w:ilvl w:val="0"/>
                <w:numId w:val="14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Szczelność całego urządzenia minimum IP65</w:t>
            </w:r>
          </w:p>
          <w:p w14:paraId="0C9619A2" w14:textId="77777777" w:rsidR="00A047A2" w:rsidRPr="00C6228D" w:rsidRDefault="00A047A2" w:rsidP="00FC516B">
            <w:pPr>
              <w:pStyle w:val="Akapitzlist"/>
              <w:numPr>
                <w:ilvl w:val="0"/>
                <w:numId w:val="14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Waga urządzenia nie większa niż 23,8kg</w:t>
            </w:r>
          </w:p>
          <w:p w14:paraId="75620728" w14:textId="77777777" w:rsidR="00A047A2" w:rsidRPr="00C6228D" w:rsidRDefault="00A047A2" w:rsidP="00FC516B">
            <w:pPr>
              <w:pStyle w:val="Akapitzlist"/>
              <w:numPr>
                <w:ilvl w:val="0"/>
                <w:numId w:val="14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uchwyt typu „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quick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trigger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>” na rurę 50mm – 12 szt.</w:t>
            </w:r>
          </w:p>
          <w:p w14:paraId="4CB98949" w14:textId="77777777" w:rsidR="00A047A2" w:rsidRPr="00C6228D" w:rsidRDefault="00A047A2" w:rsidP="00FC516B">
            <w:pPr>
              <w:pStyle w:val="Akapitzlist"/>
              <w:numPr>
                <w:ilvl w:val="0"/>
                <w:numId w:val="14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linka zabezpieczająca – 6 szt.</w:t>
            </w:r>
          </w:p>
          <w:p w14:paraId="0609DF5D" w14:textId="06FA7B3E" w:rsidR="0012208D" w:rsidRPr="00A047A2" w:rsidRDefault="0012208D" w:rsidP="008C1BCA">
            <w:pPr>
              <w:suppressAutoHyphens w:val="0"/>
              <w:spacing w:before="240" w:after="0" w:line="240" w:lineRule="auto"/>
              <w:rPr>
                <w:rStyle w:val="normaltextrun"/>
                <w:rFonts w:ascii="Times New Roman" w:eastAsiaTheme="majorEastAsia" w:hAnsi="Times New Roman" w:cs="Times New Roman"/>
              </w:rPr>
            </w:pPr>
          </w:p>
        </w:tc>
        <w:tc>
          <w:tcPr>
            <w:tcW w:w="650" w:type="dxa"/>
          </w:tcPr>
          <w:p w14:paraId="43CAB612" w14:textId="5BE0FD2B" w:rsidR="0012208D" w:rsidRPr="00DB2A66" w:rsidRDefault="00A047A2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6</w:t>
            </w:r>
          </w:p>
        </w:tc>
        <w:tc>
          <w:tcPr>
            <w:tcW w:w="754" w:type="dxa"/>
          </w:tcPr>
          <w:p w14:paraId="52B7AEB9" w14:textId="0EB86BCE" w:rsidR="0012208D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szt.</w:t>
            </w:r>
          </w:p>
        </w:tc>
        <w:tc>
          <w:tcPr>
            <w:tcW w:w="1319" w:type="dxa"/>
          </w:tcPr>
          <w:p w14:paraId="6BB6D568" w14:textId="43519F6C" w:rsidR="0012208D" w:rsidRPr="00DB2A66" w:rsidRDefault="00A047A2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TAK</w:t>
            </w:r>
          </w:p>
        </w:tc>
      </w:tr>
      <w:tr w:rsidR="0012208D" w:rsidRPr="00DB2A66" w14:paraId="142B215B" w14:textId="77777777" w:rsidTr="00FC516B">
        <w:tc>
          <w:tcPr>
            <w:tcW w:w="575" w:type="dxa"/>
          </w:tcPr>
          <w:p w14:paraId="58D00DC9" w14:textId="27FE4876" w:rsidR="0012208D" w:rsidRPr="00DB2A66" w:rsidRDefault="0012208D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4.</w:t>
            </w:r>
          </w:p>
        </w:tc>
        <w:tc>
          <w:tcPr>
            <w:tcW w:w="2397" w:type="dxa"/>
          </w:tcPr>
          <w:p w14:paraId="40ADC557" w14:textId="4DEFA044" w:rsidR="0012208D" w:rsidRPr="00DB2A66" w:rsidRDefault="00A047A2" w:rsidP="00527D47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C6228D">
              <w:rPr>
                <w:rFonts w:cstheme="minorHAnsi"/>
                <w:b/>
                <w:sz w:val="24"/>
                <w:szCs w:val="24"/>
              </w:rPr>
              <w:t xml:space="preserve">Naświetlacz liniowy. Liniowa oprawa LED wyposażona w minimum 10 niezależnie sterowanych </w:t>
            </w:r>
            <w:proofErr w:type="spellStart"/>
            <w:r w:rsidRPr="00C6228D">
              <w:rPr>
                <w:rFonts w:cstheme="minorHAnsi"/>
                <w:b/>
                <w:sz w:val="24"/>
                <w:szCs w:val="24"/>
              </w:rPr>
              <w:t>pixeli</w:t>
            </w:r>
            <w:proofErr w:type="spellEnd"/>
          </w:p>
        </w:tc>
        <w:tc>
          <w:tcPr>
            <w:tcW w:w="4253" w:type="dxa"/>
          </w:tcPr>
          <w:p w14:paraId="768CB5AA" w14:textId="77777777" w:rsidR="00A047A2" w:rsidRPr="00B126F1" w:rsidRDefault="00A047A2" w:rsidP="00FC516B">
            <w:pPr>
              <w:pStyle w:val="Akapitzlist"/>
              <w:numPr>
                <w:ilvl w:val="0"/>
                <w:numId w:val="20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  <w:lang w:val="en-US"/>
              </w:rPr>
            </w:pPr>
            <w:r w:rsidRPr="00B126F1">
              <w:rPr>
                <w:rFonts w:cstheme="minorHAnsi"/>
                <w:sz w:val="24"/>
                <w:szCs w:val="24"/>
                <w:lang w:val="en-US"/>
              </w:rPr>
              <w:t xml:space="preserve">Minimum 10 </w:t>
            </w:r>
            <w:proofErr w:type="spellStart"/>
            <w:r w:rsidRPr="00B126F1">
              <w:rPr>
                <w:rFonts w:cstheme="minorHAnsi"/>
                <w:sz w:val="24"/>
                <w:szCs w:val="24"/>
                <w:lang w:val="en-US"/>
              </w:rPr>
              <w:t>dwukolorowych</w:t>
            </w:r>
            <w:proofErr w:type="spellEnd"/>
            <w:r w:rsidRPr="00B126F1">
              <w:rPr>
                <w:rFonts w:cstheme="minorHAnsi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B126F1">
              <w:rPr>
                <w:rFonts w:cstheme="minorHAnsi"/>
                <w:sz w:val="24"/>
                <w:szCs w:val="24"/>
                <w:lang w:val="en-US"/>
              </w:rPr>
              <w:t>źródeł</w:t>
            </w:r>
            <w:proofErr w:type="spellEnd"/>
            <w:r w:rsidRPr="00B126F1">
              <w:rPr>
                <w:rFonts w:cstheme="minorHAnsi"/>
                <w:sz w:val="24"/>
                <w:szCs w:val="24"/>
                <w:lang w:val="en-US"/>
              </w:rPr>
              <w:t xml:space="preserve"> LED Warm White/Amber</w:t>
            </w:r>
          </w:p>
          <w:p w14:paraId="0F2223A9" w14:textId="77777777" w:rsidR="00A047A2" w:rsidRPr="00C6228D" w:rsidRDefault="00A047A2" w:rsidP="00FC516B">
            <w:pPr>
              <w:pStyle w:val="Akapitzlist"/>
              <w:numPr>
                <w:ilvl w:val="0"/>
                <w:numId w:val="20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Temperatura barwowa przy wysterowaniu na 100% nie większa niż 2800K</w:t>
            </w:r>
          </w:p>
          <w:p w14:paraId="2BBEC943" w14:textId="77777777" w:rsidR="00A047A2" w:rsidRPr="00C6228D" w:rsidRDefault="00A047A2" w:rsidP="00FC516B">
            <w:pPr>
              <w:pStyle w:val="Akapitzlist"/>
              <w:numPr>
                <w:ilvl w:val="0"/>
                <w:numId w:val="20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CRI źródła światła minimum 92</w:t>
            </w:r>
          </w:p>
          <w:p w14:paraId="513BD206" w14:textId="77777777" w:rsidR="00A047A2" w:rsidRPr="00C6228D" w:rsidRDefault="00A047A2" w:rsidP="00FC516B">
            <w:pPr>
              <w:pStyle w:val="Akapitzlist"/>
              <w:numPr>
                <w:ilvl w:val="0"/>
                <w:numId w:val="20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Funkcja emulacji przesunięcia barwy w kierunku czerwieni podczas ściemniania, odwzorowująca zachowanie tradycyjnego źródła żarowego</w:t>
            </w:r>
          </w:p>
          <w:p w14:paraId="7EF52357" w14:textId="77777777" w:rsidR="00A047A2" w:rsidRPr="00C6228D" w:rsidRDefault="00A047A2" w:rsidP="00FC516B">
            <w:pPr>
              <w:pStyle w:val="Akapitzlist"/>
              <w:numPr>
                <w:ilvl w:val="0"/>
                <w:numId w:val="20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Natężenia światła nie mniejsze niż 1600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luxów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z odległości 5m</w:t>
            </w:r>
          </w:p>
          <w:p w14:paraId="1D59C7C7" w14:textId="77777777" w:rsidR="00A047A2" w:rsidRPr="00C6228D" w:rsidRDefault="00A047A2" w:rsidP="00FC516B">
            <w:pPr>
              <w:pStyle w:val="Akapitzlist"/>
              <w:numPr>
                <w:ilvl w:val="0"/>
                <w:numId w:val="20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Regulowana modulacja szerokości impulsu (PWM) w zakresie minimum 600-25,000Hz</w:t>
            </w:r>
          </w:p>
          <w:p w14:paraId="1851EAD9" w14:textId="77777777" w:rsidR="00A047A2" w:rsidRPr="00C6228D" w:rsidRDefault="00A047A2" w:rsidP="00FC516B">
            <w:pPr>
              <w:pStyle w:val="Akapitzlist"/>
              <w:numPr>
                <w:ilvl w:val="0"/>
                <w:numId w:val="20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Minimum 4 krzywe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dimmera</w:t>
            </w:r>
            <w:proofErr w:type="spellEnd"/>
          </w:p>
          <w:p w14:paraId="19AB3A3C" w14:textId="77777777" w:rsidR="00A047A2" w:rsidRPr="00C6228D" w:rsidRDefault="00A047A2" w:rsidP="00FC516B">
            <w:pPr>
              <w:pStyle w:val="Akapitzlist"/>
              <w:numPr>
                <w:ilvl w:val="0"/>
                <w:numId w:val="20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Złącza DMX XLR 5-Pin</w:t>
            </w:r>
          </w:p>
          <w:p w14:paraId="58E5DA80" w14:textId="77777777" w:rsidR="00A047A2" w:rsidRPr="00C6228D" w:rsidRDefault="00A047A2" w:rsidP="00FC516B">
            <w:pPr>
              <w:pStyle w:val="Akapitzlist"/>
              <w:numPr>
                <w:ilvl w:val="0"/>
                <w:numId w:val="20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Możliwość sterowania każdą z 10 diod oddzielnie z poziomu konsolety oświetleniowej</w:t>
            </w:r>
          </w:p>
          <w:p w14:paraId="04FC3E04" w14:textId="77777777" w:rsidR="00A047A2" w:rsidRPr="00C6228D" w:rsidRDefault="00A047A2" w:rsidP="00FC516B">
            <w:pPr>
              <w:pStyle w:val="Akapitzlist"/>
              <w:numPr>
                <w:ilvl w:val="0"/>
                <w:numId w:val="20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Praca w protokołach DMX 512 oraz RDM</w:t>
            </w:r>
          </w:p>
          <w:p w14:paraId="5BE3C6F0" w14:textId="77777777" w:rsidR="00A047A2" w:rsidRPr="00C6228D" w:rsidRDefault="00A047A2" w:rsidP="00FC516B">
            <w:pPr>
              <w:pStyle w:val="Akapitzlist"/>
              <w:numPr>
                <w:ilvl w:val="0"/>
                <w:numId w:val="20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Funkcja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strobo</w:t>
            </w:r>
            <w:proofErr w:type="spellEnd"/>
          </w:p>
          <w:p w14:paraId="4C53DAD3" w14:textId="77777777" w:rsidR="00A047A2" w:rsidRPr="00C6228D" w:rsidRDefault="00A047A2" w:rsidP="00FC516B">
            <w:pPr>
              <w:pStyle w:val="Akapitzlist"/>
              <w:numPr>
                <w:ilvl w:val="0"/>
                <w:numId w:val="20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Pobór mocy nie większy niż 180W przy napięciu 230V</w:t>
            </w:r>
          </w:p>
          <w:p w14:paraId="47FEB13C" w14:textId="77777777" w:rsidR="00A047A2" w:rsidRPr="00C6228D" w:rsidRDefault="00A047A2" w:rsidP="00FC516B">
            <w:pPr>
              <w:pStyle w:val="Akapitzlist"/>
              <w:numPr>
                <w:ilvl w:val="0"/>
                <w:numId w:val="20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Szczelność urządzenia minimum IP65</w:t>
            </w:r>
          </w:p>
          <w:p w14:paraId="10E229CF" w14:textId="77777777" w:rsidR="00A047A2" w:rsidRPr="00C6228D" w:rsidRDefault="00A047A2" w:rsidP="00FC516B">
            <w:pPr>
              <w:pStyle w:val="Akapitzlist"/>
              <w:numPr>
                <w:ilvl w:val="0"/>
                <w:numId w:val="20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proofErr w:type="spellStart"/>
            <w:r w:rsidRPr="00C6228D">
              <w:rPr>
                <w:rFonts w:cstheme="minorHAnsi"/>
                <w:sz w:val="24"/>
                <w:szCs w:val="24"/>
              </w:rPr>
              <w:t>Beznarzędziowy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system umożliwiający szybkie łączenie kolejnych opraw bezpośrednio ze sobą</w:t>
            </w:r>
          </w:p>
          <w:p w14:paraId="4F6AA9F6" w14:textId="77777777" w:rsidR="00A047A2" w:rsidRPr="00C6228D" w:rsidRDefault="00A047A2" w:rsidP="00FC516B">
            <w:pPr>
              <w:pStyle w:val="Akapitzlist"/>
              <w:numPr>
                <w:ilvl w:val="0"/>
                <w:numId w:val="20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Waga urządzenia nie większa niż 8kg</w:t>
            </w:r>
          </w:p>
          <w:p w14:paraId="4A07324F" w14:textId="77777777" w:rsidR="00A047A2" w:rsidRPr="00C6228D" w:rsidRDefault="00A047A2" w:rsidP="00FC516B">
            <w:pPr>
              <w:pStyle w:val="Akapitzlist"/>
              <w:numPr>
                <w:ilvl w:val="0"/>
                <w:numId w:val="20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lastRenderedPageBreak/>
              <w:t>uchwyt typu „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quick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trigger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>” na rurę 50mm - 12 szt.</w:t>
            </w:r>
          </w:p>
          <w:p w14:paraId="1121E8C7" w14:textId="77777777" w:rsidR="00A047A2" w:rsidRPr="00C6228D" w:rsidRDefault="00A047A2" w:rsidP="00FC516B">
            <w:pPr>
              <w:pStyle w:val="Akapitzlist"/>
              <w:numPr>
                <w:ilvl w:val="0"/>
                <w:numId w:val="20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linka zabezpieczająca – 6 szt.</w:t>
            </w:r>
          </w:p>
          <w:p w14:paraId="657874F8" w14:textId="77777777" w:rsidR="0012208D" w:rsidRPr="00FC516B" w:rsidRDefault="0012208D" w:rsidP="00FC516B">
            <w:pPr>
              <w:pStyle w:val="Akapitzlist"/>
              <w:numPr>
                <w:ilvl w:val="0"/>
                <w:numId w:val="20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50" w:type="dxa"/>
          </w:tcPr>
          <w:p w14:paraId="592C2A2E" w14:textId="31365E93" w:rsidR="0012208D" w:rsidRPr="00DB2A66" w:rsidRDefault="00A047A2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6</w:t>
            </w:r>
          </w:p>
        </w:tc>
        <w:tc>
          <w:tcPr>
            <w:tcW w:w="754" w:type="dxa"/>
          </w:tcPr>
          <w:p w14:paraId="0E5B099F" w14:textId="49E6DC27" w:rsidR="0012208D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szt.</w:t>
            </w:r>
          </w:p>
        </w:tc>
        <w:tc>
          <w:tcPr>
            <w:tcW w:w="1319" w:type="dxa"/>
          </w:tcPr>
          <w:p w14:paraId="558CC33F" w14:textId="63E4947E" w:rsidR="0012208D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TAK</w:t>
            </w:r>
          </w:p>
        </w:tc>
      </w:tr>
      <w:tr w:rsidR="0012208D" w:rsidRPr="00DB2A66" w14:paraId="1EFEFD68" w14:textId="77777777" w:rsidTr="00FC516B">
        <w:tc>
          <w:tcPr>
            <w:tcW w:w="575" w:type="dxa"/>
          </w:tcPr>
          <w:p w14:paraId="12E884D6" w14:textId="056F6EC4" w:rsidR="0012208D" w:rsidRPr="00DB2A66" w:rsidRDefault="0012208D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5.</w:t>
            </w:r>
          </w:p>
        </w:tc>
        <w:tc>
          <w:tcPr>
            <w:tcW w:w="2397" w:type="dxa"/>
          </w:tcPr>
          <w:p w14:paraId="4A5FB19B" w14:textId="76E22B1C" w:rsidR="00A047A2" w:rsidRPr="00527D47" w:rsidRDefault="00A047A2" w:rsidP="00527D4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27D47">
              <w:rPr>
                <w:rFonts w:cstheme="minorHAnsi"/>
                <w:b/>
                <w:bCs/>
                <w:sz w:val="24"/>
                <w:szCs w:val="24"/>
              </w:rPr>
              <w:t xml:space="preserve">Hybryda stroboskopu/naświetlacza. Ruchoma oprawa hybrydowa typu WASH/STROBE IP65 oparta na </w:t>
            </w:r>
            <w:proofErr w:type="spellStart"/>
            <w:r w:rsidRPr="00527D47">
              <w:rPr>
                <w:rFonts w:cstheme="minorHAnsi"/>
                <w:b/>
                <w:bCs/>
                <w:sz w:val="24"/>
                <w:szCs w:val="24"/>
              </w:rPr>
              <w:t>ledowym</w:t>
            </w:r>
            <w:proofErr w:type="spellEnd"/>
            <w:r w:rsidRPr="00527D47">
              <w:rPr>
                <w:rFonts w:cstheme="minorHAnsi"/>
                <w:b/>
                <w:bCs/>
                <w:sz w:val="24"/>
                <w:szCs w:val="24"/>
              </w:rPr>
              <w:t xml:space="preserve"> źródle światła</w:t>
            </w:r>
          </w:p>
          <w:p w14:paraId="7D3CC055" w14:textId="0DD6F38A" w:rsidR="0012208D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3" w:type="dxa"/>
          </w:tcPr>
          <w:p w14:paraId="582F4EEB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Źródło światła minimum 896 diod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tricolor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SMD mocy minimum 0,78W każda</w:t>
            </w:r>
          </w:p>
          <w:p w14:paraId="29F36317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Dodatkowe źródło światła: minimum 432 diody LED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zimnobiałe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mocy minimum 1,5W każda</w:t>
            </w:r>
          </w:p>
          <w:p w14:paraId="792D3B66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Żywotność źródeł światła minimum 50 000h</w:t>
            </w:r>
          </w:p>
          <w:p w14:paraId="574CB449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Podział źródeł światła na minimum 14 sterowanych sekcji diod RGB oraz minimum 28 sekcji sterowania białymi diodami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zimnobiałymi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– stroboskopowymi</w:t>
            </w:r>
          </w:p>
          <w:p w14:paraId="34AD34A7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Możliwość montażu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adaptorów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w podstawie dla wieszania w pozycji poziomej</w:t>
            </w:r>
          </w:p>
          <w:p w14:paraId="73C9C63A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Możliwość montażu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adaptorów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na ramieniu urządzenia dla wieszania w pozycji pionowej</w:t>
            </w:r>
          </w:p>
          <w:p w14:paraId="1EC69DED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Wbudowane piny wyrównujące do tworzenia idealnych aranżacji liniowych</w:t>
            </w:r>
          </w:p>
          <w:p w14:paraId="44A55481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CRI minimum 90</w:t>
            </w:r>
          </w:p>
          <w:p w14:paraId="15A7B6AD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Ruch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tilt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zakresie minimum 180°</w:t>
            </w:r>
          </w:p>
          <w:p w14:paraId="5E17CE35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Strumień świetlny dla obu źródeł minimum 71 000 lumenów</w:t>
            </w:r>
          </w:p>
          <w:p w14:paraId="524EAC68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Płynnie regulowana częstotliwość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strobo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od nie więcej niż 0 do minimum 30Hz</w:t>
            </w:r>
          </w:p>
          <w:p w14:paraId="2F38F3DD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Minimum 4 krzywe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dimmera</w:t>
            </w:r>
            <w:proofErr w:type="spellEnd"/>
          </w:p>
          <w:p w14:paraId="36F03635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Zasilanie realizowane za pomocą złącza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Seetronic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IP65</w:t>
            </w:r>
          </w:p>
          <w:p w14:paraId="385C6FB0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Wbudowane złącza DMX XLR 5-pin</w:t>
            </w:r>
          </w:p>
          <w:p w14:paraId="4D358402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Praca w protokołach Art.Net,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Sacn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>, DMX, RDM</w:t>
            </w:r>
          </w:p>
          <w:p w14:paraId="19162F19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Całkowity pobór mocy nie większy niż 696W przy napięciu 230V </w:t>
            </w:r>
          </w:p>
          <w:p w14:paraId="03199AEB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lastRenderedPageBreak/>
              <w:t>Wbudowane złącze USB do aktualizacji oprogramowania</w:t>
            </w:r>
          </w:p>
          <w:p w14:paraId="0858CBC4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Szczelność całego urządzenia minimum IP65</w:t>
            </w:r>
          </w:p>
          <w:p w14:paraId="518DDFFE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Waga urządzenia nie większa niż 12,5kg</w:t>
            </w:r>
          </w:p>
          <w:p w14:paraId="4AD6F02D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uchwyt typu „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quick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trigger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” na rurę 50mm </w:t>
            </w:r>
            <w:r w:rsidRPr="00C6228D">
              <w:rPr>
                <w:rFonts w:cstheme="minorHAnsi"/>
                <w:color w:val="EE0000"/>
                <w:sz w:val="24"/>
                <w:szCs w:val="24"/>
              </w:rPr>
              <w:t>- 6 szt.</w:t>
            </w:r>
          </w:p>
          <w:p w14:paraId="32C8C1E5" w14:textId="77777777" w:rsidR="00A047A2" w:rsidRPr="00C6228D" w:rsidRDefault="00A047A2" w:rsidP="00FC516B">
            <w:pPr>
              <w:pStyle w:val="Akapitzlist"/>
              <w:numPr>
                <w:ilvl w:val="0"/>
                <w:numId w:val="17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linka zabezpieczająca – 1 szt.</w:t>
            </w:r>
          </w:p>
          <w:p w14:paraId="1EAB8A3C" w14:textId="77777777" w:rsidR="0012208D" w:rsidRPr="00DB2A66" w:rsidRDefault="0012208D" w:rsidP="00FC516B">
            <w:pPr>
              <w:pStyle w:val="Akapitzlist"/>
              <w:suppressAutoHyphens w:val="0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650" w:type="dxa"/>
          </w:tcPr>
          <w:p w14:paraId="35E2D9B8" w14:textId="2A76597F" w:rsidR="0012208D" w:rsidRPr="00DB2A66" w:rsidRDefault="00A047A2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6</w:t>
            </w:r>
          </w:p>
        </w:tc>
        <w:tc>
          <w:tcPr>
            <w:tcW w:w="754" w:type="dxa"/>
          </w:tcPr>
          <w:p w14:paraId="5AC72AFA" w14:textId="744187DB" w:rsidR="0012208D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szt.</w:t>
            </w:r>
          </w:p>
        </w:tc>
        <w:tc>
          <w:tcPr>
            <w:tcW w:w="1319" w:type="dxa"/>
          </w:tcPr>
          <w:p w14:paraId="25C8AF6F" w14:textId="76FB2359" w:rsidR="0012208D" w:rsidRPr="00DB2A66" w:rsidRDefault="00A047A2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TAK</w:t>
            </w:r>
          </w:p>
        </w:tc>
      </w:tr>
      <w:tr w:rsidR="0012208D" w:rsidRPr="00DB2A66" w14:paraId="043E868B" w14:textId="77777777" w:rsidTr="00FC516B">
        <w:tc>
          <w:tcPr>
            <w:tcW w:w="575" w:type="dxa"/>
          </w:tcPr>
          <w:p w14:paraId="3ABF3AA9" w14:textId="6AC82819" w:rsidR="0012208D" w:rsidRPr="00DB2A66" w:rsidRDefault="0012208D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6.</w:t>
            </w:r>
          </w:p>
        </w:tc>
        <w:tc>
          <w:tcPr>
            <w:tcW w:w="2397" w:type="dxa"/>
          </w:tcPr>
          <w:p w14:paraId="638E6A3C" w14:textId="77777777" w:rsidR="00A047A2" w:rsidRPr="00527D47" w:rsidRDefault="00A047A2" w:rsidP="00527D4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527D47">
              <w:rPr>
                <w:rFonts w:cstheme="minorHAnsi"/>
                <w:b/>
                <w:bCs/>
                <w:sz w:val="24"/>
                <w:szCs w:val="24"/>
              </w:rPr>
              <w:t xml:space="preserve">Stroboskop. Naświetlacz hybrydowy typu WASH/STROBE IP65 oparta na </w:t>
            </w:r>
            <w:proofErr w:type="spellStart"/>
            <w:r w:rsidRPr="00527D47">
              <w:rPr>
                <w:rFonts w:cstheme="minorHAnsi"/>
                <w:b/>
                <w:bCs/>
                <w:sz w:val="24"/>
                <w:szCs w:val="24"/>
              </w:rPr>
              <w:t>ledowym</w:t>
            </w:r>
            <w:proofErr w:type="spellEnd"/>
            <w:r w:rsidRPr="00527D47">
              <w:rPr>
                <w:rFonts w:cstheme="minorHAnsi"/>
                <w:b/>
                <w:bCs/>
                <w:sz w:val="24"/>
                <w:szCs w:val="24"/>
              </w:rPr>
              <w:t xml:space="preserve"> źródle światła – 3 sztuki</w:t>
            </w:r>
          </w:p>
          <w:p w14:paraId="553A4740" w14:textId="4A34B847" w:rsidR="0012208D" w:rsidRPr="00DB2A66" w:rsidRDefault="0012208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4253" w:type="dxa"/>
          </w:tcPr>
          <w:p w14:paraId="3C4E716F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Źródło światła minimum 66 diod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quadcolor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SMD mocy minimum 0,9W każda</w:t>
            </w:r>
          </w:p>
          <w:p w14:paraId="28628C89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Dodatkowe źródło światła: minimum 392 diody LED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zimnobiałe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mocy minimum 1,5W każdy</w:t>
            </w:r>
          </w:p>
          <w:p w14:paraId="67B63C1C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Żywotność źródeł światła minimum 50 000h</w:t>
            </w:r>
          </w:p>
          <w:p w14:paraId="552CDDEE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Wbudowane piny wyrównujące do tworzenia idealnych aranżacji liniowych</w:t>
            </w:r>
          </w:p>
          <w:p w14:paraId="354AD28C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CRI minimum 89</w:t>
            </w:r>
          </w:p>
          <w:p w14:paraId="127C0B98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Strumień świetlny dla obu źródeł minimum 20 000 lumenów</w:t>
            </w:r>
          </w:p>
          <w:p w14:paraId="3BD58BAE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Płynnie regulowana częstotliwość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strobo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od nie więcej niż 0 do minimum 30Hz</w:t>
            </w:r>
          </w:p>
          <w:p w14:paraId="0A5C544D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Minimum 4 krzywe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dimmera</w:t>
            </w:r>
            <w:proofErr w:type="spellEnd"/>
          </w:p>
          <w:p w14:paraId="131AC965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Zasilanie realizowane za pomocą złącza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Seetronic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IP65</w:t>
            </w:r>
          </w:p>
          <w:p w14:paraId="05ACDCBF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Wbudowane złącza DMX XLR 5-pin</w:t>
            </w:r>
          </w:p>
          <w:p w14:paraId="539D2F94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Praca w protokołach DMX, RDM</w:t>
            </w:r>
          </w:p>
          <w:p w14:paraId="50371057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Całkowity pobór mocy nie większy niż 330W przy napięciu 230V </w:t>
            </w:r>
          </w:p>
          <w:p w14:paraId="6B7AAFB2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Wbudowane złącze USB do aktualizacji oprogramowania</w:t>
            </w:r>
          </w:p>
          <w:p w14:paraId="5CB3348D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Szczelność całego urządzenia minimum IP65</w:t>
            </w:r>
          </w:p>
          <w:p w14:paraId="61F3ECD9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 xml:space="preserve">Wbudowany elektronicznie sterowany filtr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frost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>, umożliwiający zmianę charakteru światła pomiędzy intensywnym efektem stroboskopowym a rozproszonym efektem kolorowym</w:t>
            </w:r>
          </w:p>
          <w:p w14:paraId="65D222B0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lastRenderedPageBreak/>
              <w:t>Regulowana częstotliwość PWM, obejmująca częstotliwość minimum 25 kHz</w:t>
            </w:r>
          </w:p>
          <w:p w14:paraId="49899C51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Urządzenie musi posiadać zintegrowane elementy umożliwiające stabilne ustawienie na podłożu bez konieczności stosowania dodatkowej podstawy lub uchwytu</w:t>
            </w:r>
          </w:p>
          <w:p w14:paraId="3F3EBC39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Waga urządzenia nie większa niż 8,9kg</w:t>
            </w:r>
          </w:p>
          <w:p w14:paraId="64C7A6A7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uchwyt typu „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quick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C6228D">
              <w:rPr>
                <w:rFonts w:cstheme="minorHAnsi"/>
                <w:sz w:val="24"/>
                <w:szCs w:val="24"/>
              </w:rPr>
              <w:t>trigger</w:t>
            </w:r>
            <w:proofErr w:type="spellEnd"/>
            <w:r w:rsidRPr="00C6228D">
              <w:rPr>
                <w:rFonts w:cstheme="minorHAnsi"/>
                <w:sz w:val="24"/>
                <w:szCs w:val="24"/>
              </w:rPr>
              <w:t>” na rurę 50mm - 6 szt.</w:t>
            </w:r>
          </w:p>
          <w:p w14:paraId="5A514D9A" w14:textId="77777777" w:rsidR="00A047A2" w:rsidRPr="00C6228D" w:rsidRDefault="00A047A2" w:rsidP="00FC516B">
            <w:pPr>
              <w:pStyle w:val="Akapitzlist"/>
              <w:numPr>
                <w:ilvl w:val="0"/>
                <w:numId w:val="19"/>
              </w:numPr>
              <w:suppressAutoHyphens w:val="0"/>
              <w:ind w:left="0" w:firstLine="0"/>
              <w:rPr>
                <w:rFonts w:cstheme="minorHAnsi"/>
                <w:sz w:val="24"/>
                <w:szCs w:val="24"/>
              </w:rPr>
            </w:pPr>
            <w:r w:rsidRPr="00C6228D">
              <w:rPr>
                <w:rFonts w:cstheme="minorHAnsi"/>
                <w:sz w:val="24"/>
                <w:szCs w:val="24"/>
              </w:rPr>
              <w:t>linka zabezpieczająca – 3 szt.</w:t>
            </w:r>
          </w:p>
          <w:p w14:paraId="37CC44A2" w14:textId="77777777" w:rsidR="0012208D" w:rsidRPr="00DB2A66" w:rsidRDefault="0012208D" w:rsidP="00FC516B">
            <w:pPr>
              <w:pStyle w:val="Akapitzlist"/>
              <w:suppressAutoHyphens w:val="0"/>
              <w:spacing w:after="0" w:line="240" w:lineRule="auto"/>
              <w:ind w:left="0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</w:tcPr>
          <w:p w14:paraId="3271C149" w14:textId="4F75D076" w:rsidR="0012208D" w:rsidRPr="00DB2A66" w:rsidRDefault="00A047A2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lastRenderedPageBreak/>
              <w:t>3</w:t>
            </w:r>
          </w:p>
        </w:tc>
        <w:tc>
          <w:tcPr>
            <w:tcW w:w="754" w:type="dxa"/>
          </w:tcPr>
          <w:p w14:paraId="5110DD78" w14:textId="2249D8D4" w:rsidR="0012208D" w:rsidRPr="00DB2A66" w:rsidRDefault="00DB2A66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Szt.</w:t>
            </w:r>
          </w:p>
        </w:tc>
        <w:tc>
          <w:tcPr>
            <w:tcW w:w="1319" w:type="dxa"/>
          </w:tcPr>
          <w:p w14:paraId="0F0D172B" w14:textId="16C6A48A" w:rsidR="0012208D" w:rsidRPr="00DB2A66" w:rsidRDefault="00DB2A66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DB2A66">
              <w:rPr>
                <w:rFonts w:ascii="Times New Roman" w:hAnsi="Times New Roman" w:cs="Times New Roman"/>
                <w:bCs/>
              </w:rPr>
              <w:t>TAK</w:t>
            </w:r>
          </w:p>
        </w:tc>
      </w:tr>
      <w:tr w:rsidR="00437BFD" w:rsidRPr="00DB2A66" w14:paraId="5CCF39C2" w14:textId="77777777" w:rsidTr="00FC516B">
        <w:tc>
          <w:tcPr>
            <w:tcW w:w="575" w:type="dxa"/>
          </w:tcPr>
          <w:p w14:paraId="43DF3156" w14:textId="123E25E5" w:rsidR="00437BFD" w:rsidRPr="00DB2A66" w:rsidRDefault="00FB2E6B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7</w:t>
            </w:r>
            <w:r w:rsidR="00437BFD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397" w:type="dxa"/>
          </w:tcPr>
          <w:p w14:paraId="64747E9E" w14:textId="5C26FF74" w:rsidR="00437BFD" w:rsidRPr="00FC516B" w:rsidRDefault="00437BFD" w:rsidP="00FC516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C516B">
              <w:rPr>
                <w:rFonts w:cstheme="minorHAnsi"/>
                <w:b/>
                <w:bCs/>
                <w:sz w:val="24"/>
                <w:szCs w:val="24"/>
              </w:rPr>
              <w:t>Okablowanie</w:t>
            </w:r>
          </w:p>
        </w:tc>
        <w:tc>
          <w:tcPr>
            <w:tcW w:w="4253" w:type="dxa"/>
          </w:tcPr>
          <w:p w14:paraId="642A4D16" w14:textId="20543260" w:rsidR="00437BFD" w:rsidRPr="00437BFD" w:rsidRDefault="008C1BCA" w:rsidP="00FC516B">
            <w:pPr>
              <w:suppressAutoHyphens w:val="0"/>
              <w:spacing w:before="240"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N</w:t>
            </w:r>
            <w:r w:rsidR="00437BFD">
              <w:rPr>
                <w:rFonts w:ascii="Times New Roman" w:hAnsi="Times New Roman" w:cs="Times New Roman"/>
              </w:rPr>
              <w:t xml:space="preserve">iezbędne do </w:t>
            </w:r>
            <w:r>
              <w:rPr>
                <w:rFonts w:ascii="Times New Roman" w:hAnsi="Times New Roman" w:cs="Times New Roman"/>
              </w:rPr>
              <w:t xml:space="preserve">prawidłowego </w:t>
            </w:r>
            <w:r w:rsidR="00437BFD">
              <w:rPr>
                <w:rFonts w:ascii="Times New Roman" w:hAnsi="Times New Roman" w:cs="Times New Roman"/>
              </w:rPr>
              <w:t xml:space="preserve">uruchomienia </w:t>
            </w:r>
            <w:r>
              <w:rPr>
                <w:rFonts w:ascii="Times New Roman" w:hAnsi="Times New Roman" w:cs="Times New Roman"/>
              </w:rPr>
              <w:t xml:space="preserve">ww. </w:t>
            </w:r>
            <w:r w:rsidR="00E170D0">
              <w:rPr>
                <w:rFonts w:ascii="Times New Roman" w:hAnsi="Times New Roman" w:cs="Times New Roman"/>
              </w:rPr>
              <w:t xml:space="preserve">urządzeń </w:t>
            </w:r>
            <w:r w:rsidR="00527D47">
              <w:rPr>
                <w:rFonts w:ascii="Times New Roman" w:hAnsi="Times New Roman" w:cs="Times New Roman"/>
              </w:rPr>
              <w:t>(kable zasilające)</w:t>
            </w:r>
          </w:p>
        </w:tc>
        <w:tc>
          <w:tcPr>
            <w:tcW w:w="650" w:type="dxa"/>
          </w:tcPr>
          <w:p w14:paraId="45DC2F17" w14:textId="3E2E3623" w:rsidR="00437BFD" w:rsidRPr="00DB2A66" w:rsidRDefault="00437BF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54" w:type="dxa"/>
          </w:tcPr>
          <w:p w14:paraId="2B0766FD" w14:textId="67CAB95A" w:rsidR="00437BFD" w:rsidRPr="00DB2A66" w:rsidRDefault="00437BF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Kpl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319" w:type="dxa"/>
          </w:tcPr>
          <w:p w14:paraId="5606C563" w14:textId="429B9D82" w:rsidR="00437BFD" w:rsidRPr="00DB2A66" w:rsidRDefault="00437BF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NIE</w:t>
            </w:r>
          </w:p>
        </w:tc>
      </w:tr>
      <w:tr w:rsidR="00437BFD" w:rsidRPr="00DB2A66" w14:paraId="64C48B2C" w14:textId="77777777" w:rsidTr="00FC516B">
        <w:tc>
          <w:tcPr>
            <w:tcW w:w="575" w:type="dxa"/>
          </w:tcPr>
          <w:p w14:paraId="1C34AE03" w14:textId="5AEBBC02" w:rsidR="00437BFD" w:rsidRPr="00DB2A66" w:rsidRDefault="00FB2E6B" w:rsidP="00DA4D1D">
            <w:pPr>
              <w:spacing w:after="0" w:line="276" w:lineRule="auto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8</w:t>
            </w:r>
            <w:r w:rsidR="00437BFD"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2397" w:type="dxa"/>
          </w:tcPr>
          <w:p w14:paraId="2C04730C" w14:textId="38B17F08" w:rsidR="00437BFD" w:rsidRPr="00FC516B" w:rsidRDefault="00437BFD" w:rsidP="00FC516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C516B">
              <w:rPr>
                <w:rFonts w:cstheme="minorHAnsi"/>
                <w:b/>
                <w:bCs/>
                <w:sz w:val="24"/>
                <w:szCs w:val="24"/>
              </w:rPr>
              <w:t>Szkolenie pracowników</w:t>
            </w:r>
            <w:r w:rsidR="00527D47" w:rsidRPr="00FC516B">
              <w:rPr>
                <w:rFonts w:cstheme="minorHAnsi"/>
                <w:b/>
                <w:bCs/>
                <w:sz w:val="24"/>
                <w:szCs w:val="24"/>
              </w:rPr>
              <w:t xml:space="preserve"> DK SŁOWIANIN</w:t>
            </w:r>
            <w:r w:rsidRPr="00FC516B">
              <w:rPr>
                <w:rFonts w:cstheme="minorHAnsi"/>
                <w:b/>
                <w:bCs/>
                <w:sz w:val="24"/>
                <w:szCs w:val="24"/>
              </w:rPr>
              <w:t xml:space="preserve"> (2 osoby)</w:t>
            </w:r>
          </w:p>
        </w:tc>
        <w:tc>
          <w:tcPr>
            <w:tcW w:w="4253" w:type="dxa"/>
          </w:tcPr>
          <w:p w14:paraId="41BE518D" w14:textId="77777777" w:rsidR="00437BFD" w:rsidRDefault="00437BFD" w:rsidP="008C1BCA">
            <w:pPr>
              <w:suppressAutoHyphens w:val="0"/>
              <w:spacing w:before="240"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650" w:type="dxa"/>
          </w:tcPr>
          <w:p w14:paraId="3D4B5EEC" w14:textId="59682D7E" w:rsidR="00437BFD" w:rsidRDefault="00437BF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754" w:type="dxa"/>
          </w:tcPr>
          <w:p w14:paraId="0F854F44" w14:textId="2667394A" w:rsidR="00437BFD" w:rsidRDefault="00437BFD" w:rsidP="002503D1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proofErr w:type="spellStart"/>
            <w:r>
              <w:rPr>
                <w:rFonts w:ascii="Times New Roman" w:hAnsi="Times New Roman" w:cs="Times New Roman"/>
                <w:bCs/>
              </w:rPr>
              <w:t>Kpl</w:t>
            </w:r>
            <w:proofErr w:type="spellEnd"/>
            <w:r>
              <w:rPr>
                <w:rFonts w:ascii="Times New Roman" w:hAnsi="Times New Roman" w:cs="Times New Roman"/>
                <w:bCs/>
              </w:rPr>
              <w:t>.</w:t>
            </w:r>
          </w:p>
        </w:tc>
        <w:tc>
          <w:tcPr>
            <w:tcW w:w="1319" w:type="dxa"/>
          </w:tcPr>
          <w:p w14:paraId="083E9AC7" w14:textId="1E945FA2" w:rsidR="00437BFD" w:rsidRDefault="00437BFD" w:rsidP="00437BFD">
            <w:pPr>
              <w:spacing w:after="0" w:line="276" w:lineRule="auto"/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NIE</w:t>
            </w:r>
          </w:p>
        </w:tc>
      </w:tr>
    </w:tbl>
    <w:p w14:paraId="22CFFC2B" w14:textId="77777777" w:rsidR="003D5C46" w:rsidRPr="00A16E1E" w:rsidRDefault="003D5C46" w:rsidP="003D5C46">
      <w:pPr>
        <w:rPr>
          <w:rFonts w:cstheme="minorHAnsi"/>
          <w:sz w:val="24"/>
          <w:szCs w:val="24"/>
        </w:rPr>
      </w:pPr>
    </w:p>
    <w:p w14:paraId="6D267B36" w14:textId="77777777" w:rsidR="00A16E1E" w:rsidRPr="00A16E1E" w:rsidRDefault="00A16E1E" w:rsidP="00A16E1E">
      <w:pPr>
        <w:suppressAutoHyphens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415B7AF3" w14:textId="77777777" w:rsidR="00A16E1E" w:rsidRPr="00A16E1E" w:rsidRDefault="00A16E1E" w:rsidP="00A16E1E">
      <w:pPr>
        <w:suppressAutoHyphens w:val="0"/>
        <w:spacing w:after="0" w:line="240" w:lineRule="auto"/>
        <w:rPr>
          <w:rFonts w:cstheme="minorHAnsi"/>
          <w:b/>
          <w:bCs/>
          <w:sz w:val="24"/>
          <w:szCs w:val="24"/>
        </w:rPr>
      </w:pPr>
    </w:p>
    <w:p w14:paraId="76477D10" w14:textId="1C0E2107" w:rsidR="002503D1" w:rsidRPr="00A16E1E" w:rsidRDefault="002503D1">
      <w:pPr>
        <w:pStyle w:val="Akapitzlist"/>
        <w:numPr>
          <w:ilvl w:val="0"/>
          <w:numId w:val="1"/>
        </w:numPr>
        <w:suppressAutoHyphens w:val="0"/>
        <w:spacing w:after="0"/>
        <w:rPr>
          <w:rFonts w:cstheme="minorHAnsi"/>
          <w:b/>
          <w:sz w:val="24"/>
          <w:szCs w:val="24"/>
        </w:rPr>
      </w:pPr>
      <w:bookmarkStart w:id="0" w:name="_Hlk216180295"/>
      <w:r w:rsidRPr="00A16E1E">
        <w:rPr>
          <w:rFonts w:cstheme="minorHAnsi"/>
          <w:b/>
          <w:sz w:val="24"/>
          <w:szCs w:val="24"/>
        </w:rPr>
        <w:t>Okres gwarancji i rękojmi:</w:t>
      </w:r>
      <w:r w:rsidR="00437BFD">
        <w:rPr>
          <w:rFonts w:cstheme="minorHAnsi"/>
          <w:b/>
          <w:sz w:val="24"/>
          <w:szCs w:val="24"/>
        </w:rPr>
        <w:t xml:space="preserve"> </w:t>
      </w:r>
      <w:r w:rsidR="00437BFD">
        <w:rPr>
          <w:rFonts w:cstheme="minorHAnsi"/>
          <w:sz w:val="24"/>
          <w:szCs w:val="24"/>
        </w:rPr>
        <w:t xml:space="preserve"> ilość m</w:t>
      </w:r>
      <w:r w:rsidRPr="00A16E1E">
        <w:rPr>
          <w:rFonts w:cstheme="minorHAnsi"/>
          <w:sz w:val="24"/>
          <w:szCs w:val="24"/>
        </w:rPr>
        <w:t>iesięcy od dnia podpisania protokołu odbioru końcowego</w:t>
      </w:r>
      <w:r w:rsidR="00437BFD">
        <w:rPr>
          <w:rFonts w:cstheme="minorHAnsi"/>
          <w:sz w:val="24"/>
          <w:szCs w:val="24"/>
        </w:rPr>
        <w:t xml:space="preserve"> zgodnie z ofertą wykonawcy</w:t>
      </w:r>
      <w:r w:rsidRPr="00A16E1E">
        <w:rPr>
          <w:rFonts w:cstheme="minorHAnsi"/>
          <w:sz w:val="24"/>
          <w:szCs w:val="24"/>
        </w:rPr>
        <w:t>.</w:t>
      </w:r>
    </w:p>
    <w:p w14:paraId="2F95BD1C" w14:textId="77777777" w:rsidR="00284276" w:rsidRPr="00A16E1E" w:rsidRDefault="00284276" w:rsidP="00284276">
      <w:pPr>
        <w:pStyle w:val="Akapitzlist"/>
        <w:suppressAutoHyphens w:val="0"/>
        <w:spacing w:after="0"/>
        <w:rPr>
          <w:rFonts w:cstheme="minorHAnsi"/>
          <w:b/>
          <w:sz w:val="24"/>
          <w:szCs w:val="24"/>
        </w:rPr>
      </w:pPr>
    </w:p>
    <w:p w14:paraId="1E849D09" w14:textId="77777777" w:rsidR="002503D1" w:rsidRPr="00A16E1E" w:rsidRDefault="002503D1">
      <w:pPr>
        <w:pStyle w:val="Akapitzlist"/>
        <w:numPr>
          <w:ilvl w:val="0"/>
          <w:numId w:val="1"/>
        </w:numPr>
        <w:suppressAutoHyphens w:val="0"/>
        <w:spacing w:line="276" w:lineRule="auto"/>
        <w:jc w:val="both"/>
        <w:rPr>
          <w:rFonts w:cstheme="minorHAnsi"/>
          <w:b/>
          <w:bCs/>
          <w:sz w:val="24"/>
          <w:szCs w:val="24"/>
        </w:rPr>
      </w:pPr>
      <w:r w:rsidRPr="00A16E1E">
        <w:rPr>
          <w:rFonts w:cstheme="minorHAnsi"/>
          <w:b/>
          <w:bCs/>
          <w:sz w:val="24"/>
          <w:szCs w:val="24"/>
        </w:rPr>
        <w:t>Wymagania dotyczące sprzętu/urządzeń:</w:t>
      </w:r>
    </w:p>
    <w:p w14:paraId="60892F25" w14:textId="77777777" w:rsidR="002503D1" w:rsidRPr="00A16E1E" w:rsidRDefault="002503D1">
      <w:pPr>
        <w:pStyle w:val="Akapitzlist"/>
        <w:numPr>
          <w:ilvl w:val="1"/>
          <w:numId w:val="2"/>
        </w:numPr>
        <w:spacing w:line="276" w:lineRule="auto"/>
        <w:ind w:left="1434" w:hanging="357"/>
        <w:jc w:val="both"/>
        <w:rPr>
          <w:rFonts w:cstheme="minorHAnsi"/>
          <w:sz w:val="24"/>
          <w:szCs w:val="24"/>
        </w:rPr>
      </w:pPr>
      <w:r w:rsidRPr="00A16E1E">
        <w:rPr>
          <w:rFonts w:cstheme="minorHAnsi"/>
          <w:sz w:val="24"/>
          <w:szCs w:val="24"/>
        </w:rPr>
        <w:t xml:space="preserve">Wszystkie </w:t>
      </w:r>
      <w:r w:rsidRPr="00A16E1E">
        <w:rPr>
          <w:rFonts w:cstheme="minorHAnsi"/>
          <w:bCs/>
          <w:sz w:val="24"/>
          <w:szCs w:val="24"/>
        </w:rPr>
        <w:t>urządzenia muszą być fabrycznie nowe</w:t>
      </w:r>
      <w:r w:rsidR="00533928" w:rsidRPr="00A16E1E">
        <w:rPr>
          <w:rFonts w:cstheme="minorHAnsi"/>
          <w:bCs/>
          <w:sz w:val="24"/>
          <w:szCs w:val="24"/>
        </w:rPr>
        <w:t>.</w:t>
      </w:r>
    </w:p>
    <w:p w14:paraId="10531512" w14:textId="77777777" w:rsidR="002503D1" w:rsidRPr="00A16E1E" w:rsidRDefault="002503D1">
      <w:pPr>
        <w:pStyle w:val="Akapitzlist"/>
        <w:numPr>
          <w:ilvl w:val="1"/>
          <w:numId w:val="2"/>
        </w:numPr>
        <w:spacing w:line="276" w:lineRule="auto"/>
        <w:ind w:left="1434" w:hanging="357"/>
        <w:jc w:val="both"/>
        <w:rPr>
          <w:rFonts w:cstheme="minorHAnsi"/>
          <w:sz w:val="24"/>
          <w:szCs w:val="24"/>
        </w:rPr>
      </w:pPr>
      <w:r w:rsidRPr="00A16E1E">
        <w:rPr>
          <w:rFonts w:cstheme="minorHAnsi"/>
          <w:sz w:val="24"/>
          <w:szCs w:val="24"/>
        </w:rPr>
        <w:t>Urządzenia i ich komponenty muszą być oznakowane przez producentów w taki sposób, aby możliwa była identyfikacja zarówno produktu jak i producenta.</w:t>
      </w:r>
    </w:p>
    <w:p w14:paraId="5E5C1AB8" w14:textId="3220004D" w:rsidR="002503D1" w:rsidRPr="00A16E1E" w:rsidRDefault="002503D1">
      <w:pPr>
        <w:pStyle w:val="Akapitzlist"/>
        <w:numPr>
          <w:ilvl w:val="1"/>
          <w:numId w:val="2"/>
        </w:numPr>
        <w:spacing w:line="276" w:lineRule="auto"/>
        <w:ind w:left="1434" w:hanging="357"/>
        <w:jc w:val="both"/>
        <w:rPr>
          <w:rFonts w:cstheme="minorHAnsi"/>
          <w:sz w:val="24"/>
          <w:szCs w:val="24"/>
        </w:rPr>
      </w:pPr>
      <w:r w:rsidRPr="00A16E1E">
        <w:rPr>
          <w:rFonts w:cstheme="minorHAnsi"/>
          <w:sz w:val="24"/>
          <w:szCs w:val="24"/>
        </w:rPr>
        <w:t>Urządzenia muszą być dostarczone Zamawiającemu w oryginalnych opakowaniach fabrycznych</w:t>
      </w:r>
      <w:r w:rsidR="00437BFD">
        <w:rPr>
          <w:rFonts w:cstheme="minorHAnsi"/>
          <w:sz w:val="24"/>
          <w:szCs w:val="24"/>
        </w:rPr>
        <w:t>.</w:t>
      </w:r>
    </w:p>
    <w:p w14:paraId="7796CC41" w14:textId="77777777" w:rsidR="002503D1" w:rsidRPr="00A16E1E" w:rsidRDefault="002503D1">
      <w:pPr>
        <w:pStyle w:val="Akapitzlist"/>
        <w:numPr>
          <w:ilvl w:val="1"/>
          <w:numId w:val="2"/>
        </w:numPr>
        <w:spacing w:line="276" w:lineRule="auto"/>
        <w:ind w:left="1434" w:hanging="357"/>
        <w:jc w:val="both"/>
        <w:rPr>
          <w:rFonts w:cstheme="minorHAnsi"/>
          <w:sz w:val="24"/>
          <w:szCs w:val="24"/>
        </w:rPr>
      </w:pPr>
      <w:r w:rsidRPr="00A16E1E">
        <w:rPr>
          <w:rFonts w:cstheme="minorHAnsi"/>
          <w:sz w:val="24"/>
          <w:szCs w:val="24"/>
        </w:rPr>
        <w:t xml:space="preserve">Urządzenia powinny posiadać autoryzowany serwis na terenie Polski. </w:t>
      </w:r>
    </w:p>
    <w:p w14:paraId="4205E716" w14:textId="4C277DE6" w:rsidR="000C3592" w:rsidRPr="00A16E1E" w:rsidRDefault="002503D1">
      <w:pPr>
        <w:pStyle w:val="Akapitzlist"/>
        <w:numPr>
          <w:ilvl w:val="1"/>
          <w:numId w:val="2"/>
        </w:numPr>
        <w:spacing w:line="276" w:lineRule="auto"/>
        <w:ind w:left="1434" w:hanging="357"/>
        <w:jc w:val="both"/>
        <w:rPr>
          <w:rFonts w:cstheme="minorHAnsi"/>
          <w:sz w:val="24"/>
          <w:szCs w:val="24"/>
        </w:rPr>
      </w:pPr>
      <w:r w:rsidRPr="00A16E1E">
        <w:rPr>
          <w:rFonts w:cstheme="minorHAnsi"/>
          <w:sz w:val="24"/>
          <w:szCs w:val="24"/>
        </w:rPr>
        <w:t>Serwis i wsparcie techniczne w języku polskim.</w:t>
      </w:r>
    </w:p>
    <w:bookmarkEnd w:id="0"/>
    <w:p w14:paraId="777F000B" w14:textId="77777777" w:rsidR="002503D1" w:rsidRPr="00A16E1E" w:rsidRDefault="002503D1" w:rsidP="002503D1">
      <w:pPr>
        <w:pStyle w:val="Akapitzlist"/>
        <w:tabs>
          <w:tab w:val="left" w:pos="426"/>
        </w:tabs>
        <w:spacing w:after="0" w:line="278" w:lineRule="auto"/>
        <w:ind w:left="426"/>
        <w:jc w:val="both"/>
        <w:rPr>
          <w:rFonts w:cstheme="minorHAnsi"/>
          <w:b/>
          <w:sz w:val="24"/>
          <w:szCs w:val="24"/>
        </w:rPr>
      </w:pPr>
    </w:p>
    <w:p w14:paraId="5E31AA05" w14:textId="00542952" w:rsidR="002503D1" w:rsidRPr="00A16E1E" w:rsidRDefault="002503D1">
      <w:pPr>
        <w:pStyle w:val="Akapitzlist"/>
        <w:numPr>
          <w:ilvl w:val="0"/>
          <w:numId w:val="1"/>
        </w:numPr>
        <w:spacing w:after="0"/>
        <w:ind w:left="714" w:hanging="357"/>
        <w:jc w:val="both"/>
        <w:rPr>
          <w:rFonts w:cstheme="minorHAnsi"/>
          <w:sz w:val="24"/>
          <w:szCs w:val="24"/>
        </w:rPr>
      </w:pPr>
      <w:bookmarkStart w:id="1" w:name="_Hlk216180304"/>
      <w:r w:rsidRPr="00A16E1E">
        <w:rPr>
          <w:rFonts w:cstheme="minorHAnsi"/>
          <w:b/>
          <w:sz w:val="24"/>
          <w:szCs w:val="24"/>
        </w:rPr>
        <w:t xml:space="preserve">Termin dostawy sprzętu: </w:t>
      </w:r>
      <w:r w:rsidR="00AE51E0">
        <w:rPr>
          <w:rFonts w:cstheme="minorHAnsi"/>
          <w:b/>
          <w:sz w:val="24"/>
          <w:szCs w:val="24"/>
        </w:rPr>
        <w:t xml:space="preserve"> </w:t>
      </w:r>
      <w:r w:rsidR="00AE51E0" w:rsidRPr="00AE51E0">
        <w:rPr>
          <w:rFonts w:cstheme="minorHAnsi"/>
          <w:bCs/>
          <w:sz w:val="24"/>
          <w:szCs w:val="24"/>
        </w:rPr>
        <w:t xml:space="preserve">do </w:t>
      </w:r>
      <w:r w:rsidR="00AE51E0">
        <w:rPr>
          <w:rFonts w:cstheme="minorHAnsi"/>
          <w:sz w:val="24"/>
          <w:szCs w:val="24"/>
        </w:rPr>
        <w:t>21</w:t>
      </w:r>
      <w:r w:rsidR="000C3592" w:rsidRPr="00A16E1E">
        <w:rPr>
          <w:rFonts w:cstheme="minorHAnsi"/>
          <w:sz w:val="24"/>
          <w:szCs w:val="24"/>
        </w:rPr>
        <w:t xml:space="preserve"> </w:t>
      </w:r>
      <w:r w:rsidRPr="00A16E1E">
        <w:rPr>
          <w:rFonts w:cstheme="minorHAnsi"/>
          <w:sz w:val="24"/>
          <w:szCs w:val="24"/>
        </w:rPr>
        <w:t>dni kalendarzowych od dnia zawarcia umowy.</w:t>
      </w:r>
    </w:p>
    <w:p w14:paraId="32545DC1" w14:textId="77777777" w:rsidR="002503D1" w:rsidRPr="00A16E1E" w:rsidRDefault="002503D1" w:rsidP="002503D1">
      <w:pPr>
        <w:suppressAutoHyphens w:val="0"/>
        <w:spacing w:after="0"/>
        <w:rPr>
          <w:rFonts w:cstheme="minorHAnsi"/>
          <w:sz w:val="24"/>
          <w:szCs w:val="24"/>
        </w:rPr>
      </w:pPr>
    </w:p>
    <w:p w14:paraId="7693403E" w14:textId="29112D0C" w:rsidR="00DC5ECD" w:rsidRPr="00CE4CD1" w:rsidRDefault="002503D1">
      <w:pPr>
        <w:pStyle w:val="Akapitzlist"/>
        <w:numPr>
          <w:ilvl w:val="0"/>
          <w:numId w:val="1"/>
        </w:numPr>
        <w:spacing w:after="0"/>
        <w:ind w:left="714" w:hanging="357"/>
        <w:jc w:val="both"/>
        <w:rPr>
          <w:rFonts w:cstheme="minorHAnsi"/>
          <w:sz w:val="24"/>
          <w:szCs w:val="24"/>
        </w:rPr>
      </w:pPr>
      <w:r w:rsidRPr="00A16E1E">
        <w:rPr>
          <w:rFonts w:cstheme="minorHAnsi"/>
          <w:b/>
          <w:sz w:val="24"/>
          <w:szCs w:val="24"/>
        </w:rPr>
        <w:t>Miejsce dostawy wyposażenia</w:t>
      </w:r>
      <w:bookmarkEnd w:id="1"/>
      <w:r w:rsidRPr="00A16E1E">
        <w:rPr>
          <w:rFonts w:cstheme="minorHAnsi"/>
          <w:b/>
          <w:sz w:val="24"/>
          <w:szCs w:val="24"/>
        </w:rPr>
        <w:t xml:space="preserve">: </w:t>
      </w:r>
      <w:r w:rsidR="001E7387" w:rsidRPr="00A16E1E">
        <w:rPr>
          <w:rFonts w:cstheme="minorHAnsi"/>
          <w:sz w:val="24"/>
          <w:szCs w:val="24"/>
        </w:rPr>
        <w:t>Wykonawca ma dostarczyć sprzęt</w:t>
      </w:r>
      <w:r w:rsidRPr="00A16E1E">
        <w:rPr>
          <w:rFonts w:cstheme="minorHAnsi"/>
          <w:sz w:val="24"/>
          <w:szCs w:val="24"/>
        </w:rPr>
        <w:t xml:space="preserve"> </w:t>
      </w:r>
      <w:r w:rsidR="004878D3">
        <w:rPr>
          <w:rFonts w:cstheme="minorHAnsi"/>
          <w:sz w:val="24"/>
          <w:szCs w:val="24"/>
        </w:rPr>
        <w:t xml:space="preserve">do </w:t>
      </w:r>
      <w:r w:rsidR="00CE4CD1">
        <w:rPr>
          <w:rFonts w:cstheme="minorHAnsi"/>
          <w:sz w:val="24"/>
          <w:szCs w:val="24"/>
        </w:rPr>
        <w:t>Domu Kultury Słowianin w Szczecinie, ul. Korzeniowskiego 7, 70-211 Szczecin.</w:t>
      </w:r>
    </w:p>
    <w:sectPr w:rsidR="00DC5ECD" w:rsidRPr="00CE4CD1" w:rsidSect="00A16E1E">
      <w:headerReference w:type="default" r:id="rId8"/>
      <w:footerReference w:type="default" r:id="rId9"/>
      <w:pgSz w:w="11906" w:h="16838"/>
      <w:pgMar w:top="1417" w:right="851" w:bottom="1417" w:left="1417" w:header="0" w:footer="0" w:gutter="0"/>
      <w:cols w:space="708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DAF87C" w14:textId="77777777" w:rsidR="00AE7323" w:rsidRDefault="00AE7323" w:rsidP="00CA6357">
      <w:pPr>
        <w:spacing w:after="0" w:line="240" w:lineRule="auto"/>
      </w:pPr>
      <w:r>
        <w:separator/>
      </w:r>
    </w:p>
  </w:endnote>
  <w:endnote w:type="continuationSeparator" w:id="0">
    <w:p w14:paraId="50CE5663" w14:textId="77777777" w:rsidR="00AE7323" w:rsidRDefault="00AE7323" w:rsidP="00CA63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  <w:sz w:val="24"/>
      </w:rPr>
      <w:id w:val="-574899585"/>
      <w:docPartObj>
        <w:docPartGallery w:val="Page Numbers (Bottom of Page)"/>
        <w:docPartUnique/>
      </w:docPartObj>
    </w:sdtPr>
    <w:sdtContent>
      <w:p w14:paraId="476AE0B3" w14:textId="77777777" w:rsidR="002503D1" w:rsidRPr="002503D1" w:rsidRDefault="002503D1">
        <w:pPr>
          <w:pStyle w:val="Stopka"/>
          <w:jc w:val="right"/>
          <w:rPr>
            <w:rFonts w:ascii="Arial" w:hAnsi="Arial" w:cs="Arial"/>
            <w:sz w:val="24"/>
          </w:rPr>
        </w:pPr>
        <w:r w:rsidRPr="002503D1">
          <w:rPr>
            <w:rFonts w:ascii="Arial" w:hAnsi="Arial" w:cs="Arial"/>
            <w:sz w:val="24"/>
          </w:rPr>
          <w:fldChar w:fldCharType="begin"/>
        </w:r>
        <w:r w:rsidRPr="002503D1">
          <w:rPr>
            <w:rFonts w:ascii="Arial" w:hAnsi="Arial" w:cs="Arial"/>
            <w:sz w:val="24"/>
          </w:rPr>
          <w:instrText>PAGE   \* MERGEFORMAT</w:instrText>
        </w:r>
        <w:r w:rsidRPr="002503D1">
          <w:rPr>
            <w:rFonts w:ascii="Arial" w:hAnsi="Arial" w:cs="Arial"/>
            <w:sz w:val="24"/>
          </w:rPr>
          <w:fldChar w:fldCharType="separate"/>
        </w:r>
        <w:r w:rsidR="00477361">
          <w:rPr>
            <w:rFonts w:ascii="Arial" w:hAnsi="Arial" w:cs="Arial"/>
            <w:noProof/>
            <w:sz w:val="24"/>
          </w:rPr>
          <w:t>7</w:t>
        </w:r>
        <w:r w:rsidRPr="002503D1">
          <w:rPr>
            <w:rFonts w:ascii="Arial" w:hAnsi="Arial" w:cs="Arial"/>
            <w:sz w:val="24"/>
          </w:rPr>
          <w:fldChar w:fldCharType="end"/>
        </w:r>
      </w:p>
    </w:sdtContent>
  </w:sdt>
  <w:p w14:paraId="6A3B1C00" w14:textId="77777777" w:rsidR="002503D1" w:rsidRPr="002503D1" w:rsidRDefault="002503D1" w:rsidP="002503D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5AC74" w14:textId="77777777" w:rsidR="00AE7323" w:rsidRDefault="00AE7323" w:rsidP="00CA6357">
      <w:pPr>
        <w:spacing w:after="0" w:line="240" w:lineRule="auto"/>
      </w:pPr>
      <w:r>
        <w:separator/>
      </w:r>
    </w:p>
  </w:footnote>
  <w:footnote w:type="continuationSeparator" w:id="0">
    <w:p w14:paraId="0B07E195" w14:textId="77777777" w:rsidR="00AE7323" w:rsidRDefault="00AE7323" w:rsidP="00CA635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96689D" w14:textId="0AB77BEE" w:rsidR="00CA6357" w:rsidRPr="00BB1B7D" w:rsidRDefault="00BB1B7D" w:rsidP="00BB1B7D">
    <w:pPr>
      <w:pStyle w:val="Nagwek"/>
      <w:keepNext w:val="0"/>
      <w:widowControl w:val="0"/>
      <w:rPr>
        <w:rFonts w:asciiTheme="minorHAnsi" w:hAnsiTheme="minorHAnsi" w:cstheme="minorHAnsi"/>
        <w:sz w:val="22"/>
        <w:szCs w:val="22"/>
      </w:rPr>
    </w:pPr>
    <w:r w:rsidRPr="00BB1B7D">
      <w:rPr>
        <w:rFonts w:asciiTheme="minorHAnsi" w:hAnsiTheme="minorHAnsi" w:cstheme="minorHAnsi"/>
        <w:sz w:val="22"/>
        <w:szCs w:val="22"/>
      </w:rPr>
      <w:t>Nr sprawy DKS/1/26</w:t>
    </w:r>
    <w:r w:rsidRPr="00BB1B7D">
      <w:rPr>
        <w:rFonts w:asciiTheme="minorHAnsi" w:hAnsiTheme="minorHAnsi" w:cstheme="minorHAnsi"/>
        <w:sz w:val="22"/>
        <w:szCs w:val="22"/>
      </w:rPr>
      <w:tab/>
    </w:r>
    <w:r w:rsidRPr="00BB1B7D">
      <w:rPr>
        <w:rFonts w:asciiTheme="minorHAnsi" w:hAnsiTheme="minorHAnsi" w:cstheme="minorHAnsi"/>
        <w:sz w:val="22"/>
        <w:szCs w:val="22"/>
      </w:rPr>
      <w:tab/>
    </w:r>
    <w:r w:rsidRPr="00BB1B7D">
      <w:rPr>
        <w:rFonts w:asciiTheme="minorHAnsi" w:hAnsiTheme="minorHAnsi" w:cstheme="minorHAnsi"/>
        <w:sz w:val="22"/>
        <w:szCs w:val="22"/>
      </w:rPr>
      <w:tab/>
    </w:r>
    <w:r w:rsidRPr="00BB1B7D">
      <w:rPr>
        <w:rFonts w:asciiTheme="minorHAnsi" w:hAnsiTheme="minorHAnsi" w:cstheme="minorHAnsi"/>
        <w:sz w:val="22"/>
        <w:szCs w:val="22"/>
      </w:rPr>
      <w:tab/>
    </w:r>
  </w:p>
  <w:p w14:paraId="0075B9D9" w14:textId="3F677181" w:rsidR="00BB1B7D" w:rsidRPr="00BB1B7D" w:rsidRDefault="00BB1B7D" w:rsidP="00BB1B7D">
    <w:pPr>
      <w:pStyle w:val="Tekstpodstawowy"/>
    </w:pP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</w:r>
    <w:r>
      <w:tab/>
      <w:t>Załącznik nr 7 b 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multilevel"/>
    <w:tmpl w:val="C1C40146"/>
    <w:lvl w:ilvl="0">
      <w:start w:val="1"/>
      <w:numFmt w:val="lowerLetter"/>
      <w:lvlText w:val="%1)"/>
      <w:lvlJc w:val="left"/>
      <w:pPr>
        <w:tabs>
          <w:tab w:val="num" w:pos="-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-589"/>
        </w:tabs>
        <w:ind w:left="851" w:hanging="360"/>
      </w:pPr>
      <w:rPr>
        <w:rFonts w:ascii="Arial" w:hAnsi="Arial" w:cs="Arial" w:hint="default"/>
        <w:sz w:val="24"/>
        <w:szCs w:val="20"/>
      </w:rPr>
    </w:lvl>
    <w:lvl w:ilvl="2">
      <w:start w:val="1"/>
      <w:numFmt w:val="lowerRoman"/>
      <w:lvlText w:val="%3."/>
      <w:lvlJc w:val="right"/>
      <w:pPr>
        <w:tabs>
          <w:tab w:val="num" w:pos="-36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-36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-36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-3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-36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-36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-360"/>
        </w:tabs>
        <w:ind w:left="6120" w:hanging="180"/>
      </w:pPr>
    </w:lvl>
  </w:abstractNum>
  <w:abstractNum w:abstractNumId="1" w15:restartNumberingAfterBreak="0">
    <w:nsid w:val="00335E59"/>
    <w:multiLevelType w:val="hybridMultilevel"/>
    <w:tmpl w:val="5EFA2DA0"/>
    <w:lvl w:ilvl="0" w:tplc="FFFFFFFF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13555726"/>
    <w:multiLevelType w:val="hybridMultilevel"/>
    <w:tmpl w:val="F508BAB6"/>
    <w:lvl w:ilvl="0" w:tplc="558E827A">
      <w:start w:val="1"/>
      <w:numFmt w:val="upperRoman"/>
      <w:lvlText w:val="%1."/>
      <w:lvlJc w:val="right"/>
      <w:pPr>
        <w:ind w:left="720" w:hanging="360"/>
      </w:pPr>
      <w:rPr>
        <w:b/>
      </w:rPr>
    </w:lvl>
    <w:lvl w:ilvl="1" w:tplc="0415000F">
      <w:start w:val="1"/>
      <w:numFmt w:val="decimal"/>
      <w:lvlText w:val="%2."/>
      <w:lvlJc w:val="left"/>
      <w:pPr>
        <w:ind w:left="360" w:hanging="360"/>
      </w:pPr>
    </w:lvl>
    <w:lvl w:ilvl="2" w:tplc="84F87D46">
      <w:start w:val="1"/>
      <w:numFmt w:val="decimal"/>
      <w:lvlText w:val="%3)"/>
      <w:lvlJc w:val="left"/>
      <w:pPr>
        <w:ind w:left="2160" w:hanging="180"/>
      </w:pPr>
      <w:rPr>
        <w:b w:val="0"/>
      </w:rPr>
    </w:lvl>
    <w:lvl w:ilvl="3" w:tplc="04150017">
      <w:start w:val="1"/>
      <w:numFmt w:val="lowerLetter"/>
      <w:lvlText w:val="%4)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92C56C0"/>
    <w:multiLevelType w:val="hybridMultilevel"/>
    <w:tmpl w:val="3864CE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B1C2D37"/>
    <w:multiLevelType w:val="multilevel"/>
    <w:tmpl w:val="C048204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>
      <w:start w:val="1"/>
      <w:numFmt w:val="lowerLetter"/>
      <w:lvlText w:val="%3)"/>
      <w:lvlJc w:val="right"/>
      <w:pPr>
        <w:ind w:left="2160" w:hanging="180"/>
      </w:pPr>
      <w:rPr>
        <w:rFonts w:hint="default"/>
      </w:rPr>
    </w:lvl>
    <w:lvl w:ilvl="3">
      <w:start w:val="1"/>
      <w:numFmt w:val="none"/>
      <w:lvlText w:val="- 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22C40392"/>
    <w:multiLevelType w:val="hybridMultilevel"/>
    <w:tmpl w:val="3864CED6"/>
    <w:lvl w:ilvl="0" w:tplc="7B2A9F7A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8F46AA"/>
    <w:multiLevelType w:val="hybridMultilevel"/>
    <w:tmpl w:val="3384D3A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1C01D4"/>
    <w:multiLevelType w:val="hybridMultilevel"/>
    <w:tmpl w:val="3864CE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CA61A0B"/>
    <w:multiLevelType w:val="hybridMultilevel"/>
    <w:tmpl w:val="3864CED6"/>
    <w:lvl w:ilvl="0" w:tplc="FFFFFFFF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7B71D3"/>
    <w:multiLevelType w:val="hybridMultilevel"/>
    <w:tmpl w:val="9BC69F0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790D5E"/>
    <w:multiLevelType w:val="hybridMultilevel"/>
    <w:tmpl w:val="BB32EF5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0F4D93"/>
    <w:multiLevelType w:val="multilevel"/>
    <w:tmpl w:val="16088A2A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4DF16DDC"/>
    <w:multiLevelType w:val="hybridMultilevel"/>
    <w:tmpl w:val="249826CA"/>
    <w:lvl w:ilvl="0" w:tplc="6AD8763E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993AAC"/>
    <w:multiLevelType w:val="hybridMultilevel"/>
    <w:tmpl w:val="2460C754"/>
    <w:lvl w:ilvl="0" w:tplc="BDCE312E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DBE0FA3"/>
    <w:multiLevelType w:val="hybridMultilevel"/>
    <w:tmpl w:val="6574945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6650209"/>
    <w:multiLevelType w:val="hybridMultilevel"/>
    <w:tmpl w:val="5EFA2DA0"/>
    <w:lvl w:ilvl="0" w:tplc="C086492C">
      <w:start w:val="1"/>
      <w:numFmt w:val="decimal"/>
      <w:lvlText w:val="%1."/>
      <w:lvlJc w:val="left"/>
      <w:pPr>
        <w:ind w:left="644" w:hanging="360"/>
      </w:pPr>
      <w:rPr>
        <w:rFonts w:ascii="Arial" w:hAnsi="Arial" w:cs="Arial" w:hint="default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681545A1"/>
    <w:multiLevelType w:val="hybridMultilevel"/>
    <w:tmpl w:val="3604AB9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982768D"/>
    <w:multiLevelType w:val="hybridMultilevel"/>
    <w:tmpl w:val="200846B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D48355F"/>
    <w:multiLevelType w:val="hybridMultilevel"/>
    <w:tmpl w:val="18C48E08"/>
    <w:lvl w:ilvl="0" w:tplc="876E20C8">
      <w:start w:val="1"/>
      <w:numFmt w:val="decimal"/>
      <w:lvlText w:val="%1."/>
      <w:lvlJc w:val="left"/>
      <w:pPr>
        <w:ind w:left="720" w:hanging="360"/>
      </w:pPr>
      <w:rPr>
        <w:rFonts w:eastAsiaTheme="minorHAnsi" w:cstheme="minorBidi" w:hint="default"/>
        <w:sz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E80969"/>
    <w:multiLevelType w:val="hybridMultilevel"/>
    <w:tmpl w:val="28C8E04C"/>
    <w:lvl w:ilvl="0" w:tplc="255A6766">
      <w:start w:val="1"/>
      <w:numFmt w:val="decimal"/>
      <w:lvlText w:val="%1."/>
      <w:lvlJc w:val="left"/>
      <w:pPr>
        <w:ind w:left="720" w:hanging="360"/>
      </w:pPr>
      <w:rPr>
        <w:rFonts w:eastAsiaTheme="majorEastAsia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18405144">
    <w:abstractNumId w:val="2"/>
  </w:num>
  <w:num w:numId="2" w16cid:durableId="1531524976">
    <w:abstractNumId w:val="0"/>
  </w:num>
  <w:num w:numId="3" w16cid:durableId="1581939575">
    <w:abstractNumId w:val="11"/>
  </w:num>
  <w:num w:numId="4" w16cid:durableId="528955339">
    <w:abstractNumId w:val="19"/>
  </w:num>
  <w:num w:numId="5" w16cid:durableId="1777630127">
    <w:abstractNumId w:val="18"/>
  </w:num>
  <w:num w:numId="6" w16cid:durableId="660742138">
    <w:abstractNumId w:val="13"/>
  </w:num>
  <w:num w:numId="7" w16cid:durableId="1599562507">
    <w:abstractNumId w:val="10"/>
  </w:num>
  <w:num w:numId="8" w16cid:durableId="921337584">
    <w:abstractNumId w:val="17"/>
  </w:num>
  <w:num w:numId="9" w16cid:durableId="582765920">
    <w:abstractNumId w:val="14"/>
  </w:num>
  <w:num w:numId="10" w16cid:durableId="898898466">
    <w:abstractNumId w:val="9"/>
  </w:num>
  <w:num w:numId="11" w16cid:durableId="996032219">
    <w:abstractNumId w:val="16"/>
  </w:num>
  <w:num w:numId="12" w16cid:durableId="218439343">
    <w:abstractNumId w:val="4"/>
  </w:num>
  <w:num w:numId="13" w16cid:durableId="1834564482">
    <w:abstractNumId w:val="6"/>
  </w:num>
  <w:num w:numId="14" w16cid:durableId="1384937996">
    <w:abstractNumId w:val="5"/>
  </w:num>
  <w:num w:numId="15" w16cid:durableId="1649048109">
    <w:abstractNumId w:val="12"/>
  </w:num>
  <w:num w:numId="16" w16cid:durableId="219950171">
    <w:abstractNumId w:val="15"/>
  </w:num>
  <w:num w:numId="17" w16cid:durableId="1170102661">
    <w:abstractNumId w:val="7"/>
  </w:num>
  <w:num w:numId="18" w16cid:durableId="1212036073">
    <w:abstractNumId w:val="1"/>
  </w:num>
  <w:num w:numId="19" w16cid:durableId="1355226021">
    <w:abstractNumId w:val="3"/>
  </w:num>
  <w:num w:numId="20" w16cid:durableId="1023047890">
    <w:abstractNumId w:val="8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2A7"/>
    <w:rsid w:val="00003BA5"/>
    <w:rsid w:val="000402BC"/>
    <w:rsid w:val="000644A0"/>
    <w:rsid w:val="000B05FF"/>
    <w:rsid w:val="000B217B"/>
    <w:rsid w:val="000B4A09"/>
    <w:rsid w:val="000C3592"/>
    <w:rsid w:val="000D0F02"/>
    <w:rsid w:val="000E58C6"/>
    <w:rsid w:val="000F62CC"/>
    <w:rsid w:val="000F6BD2"/>
    <w:rsid w:val="000F7BD5"/>
    <w:rsid w:val="00112461"/>
    <w:rsid w:val="0011395E"/>
    <w:rsid w:val="00115E34"/>
    <w:rsid w:val="0012208D"/>
    <w:rsid w:val="00132CD1"/>
    <w:rsid w:val="001504B9"/>
    <w:rsid w:val="0016639C"/>
    <w:rsid w:val="0017453F"/>
    <w:rsid w:val="00174F35"/>
    <w:rsid w:val="00176D10"/>
    <w:rsid w:val="00177EA0"/>
    <w:rsid w:val="00182214"/>
    <w:rsid w:val="0019038F"/>
    <w:rsid w:val="0019105D"/>
    <w:rsid w:val="001A171D"/>
    <w:rsid w:val="001B051B"/>
    <w:rsid w:val="001E59F2"/>
    <w:rsid w:val="001E7387"/>
    <w:rsid w:val="001F483C"/>
    <w:rsid w:val="002038E9"/>
    <w:rsid w:val="0022186A"/>
    <w:rsid w:val="0022649A"/>
    <w:rsid w:val="002303F2"/>
    <w:rsid w:val="00230996"/>
    <w:rsid w:val="0024185D"/>
    <w:rsid w:val="002503D1"/>
    <w:rsid w:val="002559C5"/>
    <w:rsid w:val="00264F57"/>
    <w:rsid w:val="00266E0A"/>
    <w:rsid w:val="002773BC"/>
    <w:rsid w:val="00281107"/>
    <w:rsid w:val="00284276"/>
    <w:rsid w:val="002A17E8"/>
    <w:rsid w:val="002F1C52"/>
    <w:rsid w:val="00323684"/>
    <w:rsid w:val="00356C0D"/>
    <w:rsid w:val="003747A1"/>
    <w:rsid w:val="003A7F1A"/>
    <w:rsid w:val="003B71CC"/>
    <w:rsid w:val="003C34CB"/>
    <w:rsid w:val="003C636F"/>
    <w:rsid w:val="003C7337"/>
    <w:rsid w:val="003D3FE0"/>
    <w:rsid w:val="003D5C46"/>
    <w:rsid w:val="004018C8"/>
    <w:rsid w:val="004046BE"/>
    <w:rsid w:val="00410351"/>
    <w:rsid w:val="0041562F"/>
    <w:rsid w:val="004216C6"/>
    <w:rsid w:val="00437BFD"/>
    <w:rsid w:val="00444D70"/>
    <w:rsid w:val="00452BA3"/>
    <w:rsid w:val="00467348"/>
    <w:rsid w:val="00477361"/>
    <w:rsid w:val="00483766"/>
    <w:rsid w:val="004878D3"/>
    <w:rsid w:val="004967D0"/>
    <w:rsid w:val="004A0BB2"/>
    <w:rsid w:val="004B3A90"/>
    <w:rsid w:val="004D1754"/>
    <w:rsid w:val="004E7C82"/>
    <w:rsid w:val="005017D7"/>
    <w:rsid w:val="00527D47"/>
    <w:rsid w:val="00533928"/>
    <w:rsid w:val="0053518C"/>
    <w:rsid w:val="00537F18"/>
    <w:rsid w:val="00543658"/>
    <w:rsid w:val="005478F2"/>
    <w:rsid w:val="00562EBB"/>
    <w:rsid w:val="00574B46"/>
    <w:rsid w:val="00581CBA"/>
    <w:rsid w:val="00585A32"/>
    <w:rsid w:val="005949EB"/>
    <w:rsid w:val="00595E58"/>
    <w:rsid w:val="005B23EF"/>
    <w:rsid w:val="005B4736"/>
    <w:rsid w:val="005C043C"/>
    <w:rsid w:val="005D42A4"/>
    <w:rsid w:val="00627FD4"/>
    <w:rsid w:val="0066742E"/>
    <w:rsid w:val="00672E77"/>
    <w:rsid w:val="00682376"/>
    <w:rsid w:val="00695243"/>
    <w:rsid w:val="006C0FBC"/>
    <w:rsid w:val="006C29CC"/>
    <w:rsid w:val="00702509"/>
    <w:rsid w:val="00711972"/>
    <w:rsid w:val="007121EC"/>
    <w:rsid w:val="007153B6"/>
    <w:rsid w:val="00721C4B"/>
    <w:rsid w:val="00727D4F"/>
    <w:rsid w:val="00737C93"/>
    <w:rsid w:val="007557F9"/>
    <w:rsid w:val="00774E48"/>
    <w:rsid w:val="00787512"/>
    <w:rsid w:val="007970B9"/>
    <w:rsid w:val="007A713C"/>
    <w:rsid w:val="007B1641"/>
    <w:rsid w:val="007B2F1A"/>
    <w:rsid w:val="007B5A0F"/>
    <w:rsid w:val="007D6C5D"/>
    <w:rsid w:val="007D7E3D"/>
    <w:rsid w:val="007F79A3"/>
    <w:rsid w:val="008058D2"/>
    <w:rsid w:val="0080637A"/>
    <w:rsid w:val="008064A6"/>
    <w:rsid w:val="00862C13"/>
    <w:rsid w:val="00867432"/>
    <w:rsid w:val="00887038"/>
    <w:rsid w:val="008A2693"/>
    <w:rsid w:val="008B68D5"/>
    <w:rsid w:val="008B6F93"/>
    <w:rsid w:val="008C1BCA"/>
    <w:rsid w:val="008D22A7"/>
    <w:rsid w:val="008E73C3"/>
    <w:rsid w:val="008F2344"/>
    <w:rsid w:val="0090008A"/>
    <w:rsid w:val="00906217"/>
    <w:rsid w:val="00907ED5"/>
    <w:rsid w:val="00915F4B"/>
    <w:rsid w:val="00953FAB"/>
    <w:rsid w:val="009628AE"/>
    <w:rsid w:val="009875F6"/>
    <w:rsid w:val="009B5180"/>
    <w:rsid w:val="009D2D86"/>
    <w:rsid w:val="009D31D7"/>
    <w:rsid w:val="009E5834"/>
    <w:rsid w:val="00A047A2"/>
    <w:rsid w:val="00A05856"/>
    <w:rsid w:val="00A14C49"/>
    <w:rsid w:val="00A16389"/>
    <w:rsid w:val="00A16E1E"/>
    <w:rsid w:val="00A44339"/>
    <w:rsid w:val="00A50E8A"/>
    <w:rsid w:val="00A54E5D"/>
    <w:rsid w:val="00A75F53"/>
    <w:rsid w:val="00A77ED5"/>
    <w:rsid w:val="00AA0C3A"/>
    <w:rsid w:val="00AA467E"/>
    <w:rsid w:val="00AA5D36"/>
    <w:rsid w:val="00AB46AD"/>
    <w:rsid w:val="00AD100F"/>
    <w:rsid w:val="00AD721E"/>
    <w:rsid w:val="00AE51E0"/>
    <w:rsid w:val="00AE7323"/>
    <w:rsid w:val="00B02CDF"/>
    <w:rsid w:val="00B02E1D"/>
    <w:rsid w:val="00B06D2C"/>
    <w:rsid w:val="00B126F1"/>
    <w:rsid w:val="00B131E3"/>
    <w:rsid w:val="00B14904"/>
    <w:rsid w:val="00B2215C"/>
    <w:rsid w:val="00B3536F"/>
    <w:rsid w:val="00B45036"/>
    <w:rsid w:val="00B519E7"/>
    <w:rsid w:val="00B5662F"/>
    <w:rsid w:val="00B639C0"/>
    <w:rsid w:val="00B64E47"/>
    <w:rsid w:val="00B657E7"/>
    <w:rsid w:val="00B75A61"/>
    <w:rsid w:val="00B76FF5"/>
    <w:rsid w:val="00B9705F"/>
    <w:rsid w:val="00BA14E1"/>
    <w:rsid w:val="00BA2574"/>
    <w:rsid w:val="00BB1B7D"/>
    <w:rsid w:val="00BB439F"/>
    <w:rsid w:val="00BE15DB"/>
    <w:rsid w:val="00BE1D46"/>
    <w:rsid w:val="00BE50AB"/>
    <w:rsid w:val="00BE59DF"/>
    <w:rsid w:val="00BE6B5E"/>
    <w:rsid w:val="00BF3B7D"/>
    <w:rsid w:val="00C06297"/>
    <w:rsid w:val="00C214E2"/>
    <w:rsid w:val="00C233E4"/>
    <w:rsid w:val="00C61D04"/>
    <w:rsid w:val="00C72530"/>
    <w:rsid w:val="00C73CE5"/>
    <w:rsid w:val="00C80321"/>
    <w:rsid w:val="00C93202"/>
    <w:rsid w:val="00CA413A"/>
    <w:rsid w:val="00CA4157"/>
    <w:rsid w:val="00CA6357"/>
    <w:rsid w:val="00CB7902"/>
    <w:rsid w:val="00CD1AF7"/>
    <w:rsid w:val="00CD1EF5"/>
    <w:rsid w:val="00CE4CD1"/>
    <w:rsid w:val="00CE7819"/>
    <w:rsid w:val="00D07ABB"/>
    <w:rsid w:val="00D249F9"/>
    <w:rsid w:val="00D45A7F"/>
    <w:rsid w:val="00D4725D"/>
    <w:rsid w:val="00D521A1"/>
    <w:rsid w:val="00D73BAA"/>
    <w:rsid w:val="00DA4D1D"/>
    <w:rsid w:val="00DB2A66"/>
    <w:rsid w:val="00DC035F"/>
    <w:rsid w:val="00DC281D"/>
    <w:rsid w:val="00DC5ECD"/>
    <w:rsid w:val="00DE295E"/>
    <w:rsid w:val="00DF5492"/>
    <w:rsid w:val="00E04268"/>
    <w:rsid w:val="00E055DF"/>
    <w:rsid w:val="00E170D0"/>
    <w:rsid w:val="00E24E2C"/>
    <w:rsid w:val="00E33559"/>
    <w:rsid w:val="00E47382"/>
    <w:rsid w:val="00E5715B"/>
    <w:rsid w:val="00E86BC1"/>
    <w:rsid w:val="00EC5712"/>
    <w:rsid w:val="00EE0299"/>
    <w:rsid w:val="00F130F4"/>
    <w:rsid w:val="00F31069"/>
    <w:rsid w:val="00F3414A"/>
    <w:rsid w:val="00F3565F"/>
    <w:rsid w:val="00F54B0D"/>
    <w:rsid w:val="00F715F8"/>
    <w:rsid w:val="00F94BC2"/>
    <w:rsid w:val="00FB2E6B"/>
    <w:rsid w:val="00FC516B"/>
    <w:rsid w:val="00FD5F16"/>
    <w:rsid w:val="00FE77BA"/>
    <w:rsid w:val="00FF21EF"/>
    <w:rsid w:val="00FF5B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DE6D7B"/>
  <w15:docId w15:val="{86663699-D530-436B-9383-8C6E01E05D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A5B38"/>
    <w:pPr>
      <w:spacing w:after="160" w:line="259" w:lineRule="auto"/>
    </w:p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3D5C46"/>
    <w:pPr>
      <w:keepNext/>
      <w:keepLines/>
      <w:suppressAutoHyphens w:val="0"/>
      <w:spacing w:before="160" w:after="80" w:line="240" w:lineRule="auto"/>
      <w:outlineLvl w:val="1"/>
    </w:pPr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7B387F"/>
    <w:rPr>
      <w:rFonts w:ascii="Segoe UI" w:hAnsi="Segoe UI" w:cs="Segoe UI"/>
      <w:sz w:val="18"/>
      <w:szCs w:val="18"/>
    </w:rPr>
  </w:style>
  <w:style w:type="character" w:customStyle="1" w:styleId="InternetLink">
    <w:name w:val="Internet Link"/>
    <w:basedOn w:val="Domylnaczcionkaakapitu"/>
    <w:uiPriority w:val="99"/>
    <w:unhideWhenUsed/>
    <w:qFormat/>
    <w:rsid w:val="00755E47"/>
    <w:rPr>
      <w:color w:val="0563C1" w:themeColor="hyperlink"/>
      <w:u w:val="single"/>
    </w:rPr>
  </w:style>
  <w:style w:type="character" w:styleId="Hipercze">
    <w:name w:val="Hyperlink"/>
    <w:rsid w:val="001E59F2"/>
    <w:rPr>
      <w:color w:val="000080"/>
      <w:u w:val="single"/>
    </w:rPr>
  </w:style>
  <w:style w:type="paragraph" w:styleId="Nagwek">
    <w:name w:val="header"/>
    <w:basedOn w:val="Normalny"/>
    <w:next w:val="Tekstpodstawowy"/>
    <w:qFormat/>
    <w:rsid w:val="001E59F2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1E59F2"/>
    <w:pPr>
      <w:spacing w:after="140" w:line="276" w:lineRule="auto"/>
    </w:pPr>
  </w:style>
  <w:style w:type="paragraph" w:styleId="Lista">
    <w:name w:val="List"/>
    <w:basedOn w:val="Tekstpodstawowy"/>
    <w:rsid w:val="001E59F2"/>
    <w:rPr>
      <w:rFonts w:cs="Arial"/>
    </w:rPr>
  </w:style>
  <w:style w:type="paragraph" w:styleId="Legenda">
    <w:name w:val="caption"/>
    <w:basedOn w:val="Normalny"/>
    <w:qFormat/>
    <w:rsid w:val="001E59F2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rsid w:val="001E59F2"/>
    <w:pPr>
      <w:suppressLineNumbers/>
    </w:pPr>
    <w:rPr>
      <w:rFonts w:cs="Arial"/>
    </w:rPr>
  </w:style>
  <w:style w:type="paragraph" w:styleId="Akapitzlist">
    <w:name w:val="List Paragraph"/>
    <w:aliases w:val="Preambuła,L1,Numerowanie,List Paragraph,normalny tekst,CW_Lista,Wypunktowanie,Akapit z listą BS,Nag 1,lp1,Kolorowa lista — akcent 11,Dot pt,F5 List Paragraph,Recommendation,Normalny PDST,HŁ_Bullet1,List Paragraph11,Use Case List Paragraph"/>
    <w:basedOn w:val="Normalny"/>
    <w:link w:val="AkapitzlistZnak"/>
    <w:uiPriority w:val="34"/>
    <w:qFormat/>
    <w:rsid w:val="00571426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7B387F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4516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opka">
    <w:name w:val="footer"/>
    <w:basedOn w:val="Normalny"/>
    <w:link w:val="StopkaZnak"/>
    <w:uiPriority w:val="99"/>
    <w:unhideWhenUsed/>
    <w:rsid w:val="00CA635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A6357"/>
  </w:style>
  <w:style w:type="character" w:styleId="Odwoaniedokomentarza">
    <w:name w:val="annotation reference"/>
    <w:basedOn w:val="Domylnaczcionkaakapitu"/>
    <w:uiPriority w:val="99"/>
    <w:semiHidden/>
    <w:unhideWhenUsed/>
    <w:rsid w:val="00CA413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A413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A413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A413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A413A"/>
    <w:rPr>
      <w:b/>
      <w:bCs/>
      <w:sz w:val="20"/>
      <w:szCs w:val="20"/>
    </w:rPr>
  </w:style>
  <w:style w:type="character" w:customStyle="1" w:styleId="AkapitzlistZnak">
    <w:name w:val="Akapit z listą Znak"/>
    <w:aliases w:val="Preambuła Znak,L1 Znak,Numerowanie Znak,List Paragraph Znak,normalny tekst Znak,CW_Lista Znak,Wypunktowanie Znak,Akapit z listą BS Znak,Nag 1 Znak,lp1 Znak,Kolorowa lista — akcent 11 Znak,Dot pt Znak,F5 List Paragraph Znak"/>
    <w:link w:val="Akapitzlist"/>
    <w:uiPriority w:val="34"/>
    <w:qFormat/>
    <w:locked/>
    <w:rsid w:val="00356C0D"/>
  </w:style>
  <w:style w:type="character" w:customStyle="1" w:styleId="Nagwek2Znak">
    <w:name w:val="Nagłówek 2 Znak"/>
    <w:basedOn w:val="Domylnaczcionkaakapitu"/>
    <w:link w:val="Nagwek2"/>
    <w:uiPriority w:val="9"/>
    <w:semiHidden/>
    <w:rsid w:val="003D5C46"/>
    <w:rPr>
      <w:rFonts w:asciiTheme="majorHAnsi" w:eastAsiaTheme="majorEastAsia" w:hAnsiTheme="majorHAnsi" w:cstheme="majorBidi"/>
      <w:color w:val="2E74B5" w:themeColor="accent1" w:themeShade="BF"/>
      <w:kern w:val="2"/>
      <w:sz w:val="32"/>
      <w:szCs w:val="32"/>
      <w14:ligatures w14:val="standardContextual"/>
    </w:rPr>
  </w:style>
  <w:style w:type="character" w:customStyle="1" w:styleId="normaltextrun">
    <w:name w:val="normaltextrun"/>
    <w:basedOn w:val="Domylnaczcionkaakapitu"/>
    <w:rsid w:val="003D5C46"/>
  </w:style>
  <w:style w:type="character" w:customStyle="1" w:styleId="eop">
    <w:name w:val="eop"/>
    <w:basedOn w:val="Domylnaczcionkaakapitu"/>
    <w:rsid w:val="003D5C46"/>
  </w:style>
  <w:style w:type="paragraph" w:styleId="Bezodstpw">
    <w:name w:val="No Spacing"/>
    <w:aliases w:val="TABELKA"/>
    <w:link w:val="BezodstpwZnak"/>
    <w:uiPriority w:val="1"/>
    <w:qFormat/>
    <w:rsid w:val="003D5C46"/>
    <w:pPr>
      <w:suppressAutoHyphens w:val="0"/>
    </w:pPr>
    <w:rPr>
      <w:rFonts w:ascii="Verdana" w:hAnsi="Verdana"/>
      <w:kern w:val="2"/>
      <w:sz w:val="20"/>
      <w14:ligatures w14:val="standardContextual"/>
    </w:rPr>
  </w:style>
  <w:style w:type="character" w:customStyle="1" w:styleId="BezodstpwZnak">
    <w:name w:val="Bez odstępów Znak"/>
    <w:aliases w:val="TABELKA Znak"/>
    <w:link w:val="Bezodstpw"/>
    <w:uiPriority w:val="1"/>
    <w:qFormat/>
    <w:rsid w:val="003D5C46"/>
    <w:rPr>
      <w:rFonts w:ascii="Verdana" w:hAnsi="Verdana"/>
      <w:kern w:val="2"/>
      <w:sz w:val="20"/>
      <w14:ligatures w14:val="standardContextual"/>
    </w:rPr>
  </w:style>
  <w:style w:type="table" w:customStyle="1" w:styleId="TabelaST">
    <w:name w:val="Tabela_ST"/>
    <w:basedOn w:val="Standardowy"/>
    <w:uiPriority w:val="99"/>
    <w:rsid w:val="003D5C46"/>
    <w:pPr>
      <w:suppressAutoHyphens w:val="0"/>
    </w:pPr>
    <w:rPr>
      <w:rFonts w:ascii="Verdana" w:hAnsi="Verdana"/>
      <w:color w:val="000000" w:themeColor="text1"/>
      <w:kern w:val="2"/>
      <w:sz w:val="20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shd w:val="clear" w:color="auto" w:fill="auto"/>
      <w:vAlign w:val="center"/>
    </w:tcPr>
    <w:tblStylePr w:type="firstRow">
      <w:rPr>
        <w:rFonts w:ascii="Verdana" w:hAnsi="Verdana"/>
        <w:b/>
        <w:i w:val="0"/>
        <w:color w:val="1A1A1A"/>
        <w:sz w:val="20"/>
      </w:rPr>
      <w:tblPr/>
      <w:trPr>
        <w:tblHeader/>
      </w:trPr>
      <w:tcPr>
        <w:tcBorders>
          <w:top w:val="single" w:sz="4" w:space="0" w:color="auto"/>
          <w:left w:val="single" w:sz="4" w:space="0" w:color="auto"/>
          <w:bottom w:val="double" w:sz="4" w:space="0" w:color="E30611"/>
          <w:right w:val="single" w:sz="4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B68D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B68D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B68D5"/>
    <w:rPr>
      <w:vertAlign w:val="superscript"/>
    </w:rPr>
  </w:style>
  <w:style w:type="paragraph" w:styleId="Poprawka">
    <w:name w:val="Revision"/>
    <w:hidden/>
    <w:uiPriority w:val="99"/>
    <w:semiHidden/>
    <w:rsid w:val="004878D3"/>
    <w:pPr>
      <w:suppressAutoHyphens w:val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687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66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750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FC881E-3EB9-462C-8ACC-B6308FB8D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1451</Words>
  <Characters>8712</Characters>
  <Application>Microsoft Office Word</Application>
  <DocSecurity>0</DocSecurity>
  <Lines>72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Miller-Rutkowska Iwona</dc:creator>
  <dc:description/>
  <cp:lastModifiedBy>Tomasz Pietrzykowski</cp:lastModifiedBy>
  <cp:revision>2</cp:revision>
  <cp:lastPrinted>2026-10-20T10:01:00Z</cp:lastPrinted>
  <dcterms:created xsi:type="dcterms:W3CDTF">2026-10-28T17:14:00Z</dcterms:created>
  <dcterms:modified xsi:type="dcterms:W3CDTF">2026-10-28T17:14:00Z</dcterms:modified>
  <dc:language>pl-PL</dc:language>
</cp:coreProperties>
</file>