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B1171" w14:textId="77777777" w:rsidR="008D245F" w:rsidRPr="009B4752" w:rsidRDefault="00000000">
      <w:pPr>
        <w:jc w:val="center"/>
        <w:rPr>
          <w:rFonts w:cs="Arial"/>
          <w:szCs w:val="20"/>
          <w:lang w:val="pl-PL"/>
        </w:rPr>
      </w:pPr>
      <w:r w:rsidRPr="009B4752">
        <w:rPr>
          <w:rFonts w:cs="Arial"/>
          <w:b/>
          <w:color w:val="1F4E78"/>
          <w:szCs w:val="20"/>
          <w:lang w:val="pl-PL"/>
        </w:rPr>
        <w:t>PROJEKT UMOWY</w:t>
      </w:r>
    </w:p>
    <w:p w14:paraId="27D897E9" w14:textId="77777777" w:rsidR="008D245F" w:rsidRPr="009B4752" w:rsidRDefault="00000000">
      <w:pPr>
        <w:jc w:val="center"/>
        <w:rPr>
          <w:rFonts w:cs="Arial"/>
          <w:szCs w:val="20"/>
          <w:lang w:val="pl-PL"/>
        </w:rPr>
      </w:pPr>
      <w:r w:rsidRPr="009B4752">
        <w:rPr>
          <w:rFonts w:cs="Arial"/>
          <w:b/>
          <w:szCs w:val="20"/>
          <w:lang w:val="pl-PL"/>
        </w:rPr>
        <w:t xml:space="preserve">na dostawę i wdrożenie rozwiązań </w:t>
      </w:r>
      <w:proofErr w:type="spellStart"/>
      <w:r w:rsidRPr="009B4752">
        <w:rPr>
          <w:rFonts w:cs="Arial"/>
          <w:b/>
          <w:szCs w:val="20"/>
          <w:lang w:val="pl-PL"/>
        </w:rPr>
        <w:t>cyberbezpieczeństwa</w:t>
      </w:r>
      <w:proofErr w:type="spellEnd"/>
      <w:r w:rsidRPr="009B4752">
        <w:rPr>
          <w:rFonts w:cs="Arial"/>
          <w:b/>
          <w:szCs w:val="20"/>
          <w:lang w:val="pl-PL"/>
        </w:rPr>
        <w:t xml:space="preserve"> IT/OT/ICS</w:t>
      </w:r>
    </w:p>
    <w:p w14:paraId="58CEFD76" w14:textId="77777777" w:rsidR="008D245F" w:rsidRDefault="00000000">
      <w:pPr>
        <w:jc w:val="center"/>
        <w:rPr>
          <w:rFonts w:cs="Arial"/>
          <w:szCs w:val="20"/>
        </w:rPr>
      </w:pPr>
      <w:proofErr w:type="spellStart"/>
      <w:r>
        <w:rPr>
          <w:rFonts w:cs="Arial"/>
          <w:color w:val="666666"/>
          <w:szCs w:val="20"/>
        </w:rPr>
        <w:t>Załącznik</w:t>
      </w:r>
      <w:proofErr w:type="spellEnd"/>
      <w:r>
        <w:rPr>
          <w:rFonts w:cs="Arial"/>
          <w:color w:val="666666"/>
          <w:szCs w:val="20"/>
        </w:rPr>
        <w:t xml:space="preserve"> nr 9 do SWZ</w:t>
      </w:r>
    </w:p>
    <w:p>
      <w:pPr>
        <w:jc w:val="center"/>
      </w:pPr>
      <w:r>
        <w:rPr>
          <w:sz w:val="18"/>
        </w:rPr>
        <w:t>Znak postępowania: ZGK.2810.6.2026</w:t>
      </w:r>
    </w:p>
    <w:p w14:paraId="6C5DCF3F" w14:textId="77777777" w:rsidR="008D245F" w:rsidRDefault="008D245F">
      <w:pPr>
        <w:rPr>
          <w:rFonts w:cs="Arial"/>
          <w:szCs w:val="20"/>
        </w:rPr>
      </w:pP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986"/>
        <w:gridCol w:w="4986"/>
      </w:tblGrid>
      <w:tr w:rsidR="008D245F" w14:paraId="6A83F4C5" w14:textId="77777777">
        <w:trPr>
          <w:jc w:val="center"/>
        </w:trPr>
        <w:tc>
          <w:tcPr>
            <w:tcW w:w="4986" w:type="dxa"/>
            <w:shd w:val="clear" w:color="auto" w:fill="D9EAF7"/>
            <w:tcMar>
              <w:top w:w="100" w:type="dxa"/>
              <w:left w:w="120" w:type="dxa"/>
              <w:bottom w:w="100" w:type="dxa"/>
              <w:right w:w="120" w:type="dxa"/>
            </w:tcMar>
          </w:tcPr>
          <w:p w14:paraId="5CAD8951" w14:textId="77777777" w:rsidR="008D245F" w:rsidRDefault="00000000">
            <w:pPr>
              <w:rPr>
                <w:rFonts w:cs="Arial"/>
                <w:szCs w:val="20"/>
              </w:rPr>
            </w:pPr>
            <w:proofErr w:type="spellStart"/>
            <w:r>
              <w:rPr>
                <w:rFonts w:cs="Arial"/>
                <w:b/>
                <w:szCs w:val="20"/>
              </w:rPr>
              <w:t>Zamawiający</w:t>
            </w:r>
            <w:proofErr w:type="spellEnd"/>
          </w:p>
        </w:tc>
        <w:tc>
          <w:tcPr>
            <w:tcW w:w="4986" w:type="dxa"/>
            <w:tcMar>
              <w:top w:w="100" w:type="dxa"/>
              <w:left w:w="120" w:type="dxa"/>
              <w:bottom w:w="100" w:type="dxa"/>
              <w:right w:w="120" w:type="dxa"/>
            </w:tcMar>
          </w:tcPr>
          <w:p w14:paraId="58C9BB0A" w14:textId="77777777" w:rsidR="008D245F" w:rsidRDefault="00000000">
            <w:pPr>
              <w:rPr>
                <w:rFonts w:cs="Arial"/>
                <w:szCs w:val="20"/>
              </w:rPr>
            </w:pPr>
            <w:r w:rsidRPr="009B4752">
              <w:rPr>
                <w:rFonts w:cs="Arial"/>
                <w:szCs w:val="20"/>
                <w:lang w:val="pl-PL"/>
              </w:rPr>
              <w:t xml:space="preserve">Gmina Mrozy, ul. Adama Mickiewicza 35, 05-320 Mrozy, NIP: 822-21-47-185, reprezentowana przez Zakład Gospodarki Komunalnej w Mrozach, ul. </w:t>
            </w:r>
            <w:proofErr w:type="spellStart"/>
            <w:r>
              <w:rPr>
                <w:rFonts w:cs="Arial"/>
                <w:szCs w:val="20"/>
              </w:rPr>
              <w:t>Graniczna</w:t>
            </w:r>
            <w:proofErr w:type="spellEnd"/>
            <w:r>
              <w:rPr>
                <w:rFonts w:cs="Arial"/>
                <w:szCs w:val="20"/>
              </w:rPr>
              <w:t xml:space="preserve"> 1, 05-320 </w:t>
            </w:r>
            <w:proofErr w:type="spellStart"/>
            <w:r>
              <w:rPr>
                <w:rFonts w:cs="Arial"/>
                <w:szCs w:val="20"/>
              </w:rPr>
              <w:t>Mrozy</w:t>
            </w:r>
            <w:proofErr w:type="spellEnd"/>
          </w:p>
        </w:tc>
      </w:tr>
      <w:tr w:rsidR="008D245F" w:rsidRPr="009B4752" w14:paraId="1C8A5F80" w14:textId="77777777">
        <w:trPr>
          <w:jc w:val="center"/>
        </w:trPr>
        <w:tc>
          <w:tcPr>
            <w:tcW w:w="4986" w:type="dxa"/>
            <w:shd w:val="clear" w:color="auto" w:fill="D9EAF7"/>
            <w:tcMar>
              <w:top w:w="100" w:type="dxa"/>
              <w:left w:w="120" w:type="dxa"/>
              <w:bottom w:w="100" w:type="dxa"/>
              <w:right w:w="120" w:type="dxa"/>
            </w:tcMar>
          </w:tcPr>
          <w:p w14:paraId="6E468F2C" w14:textId="77777777" w:rsidR="008D245F" w:rsidRDefault="00000000">
            <w:pPr>
              <w:rPr>
                <w:rFonts w:cs="Arial"/>
                <w:szCs w:val="20"/>
              </w:rPr>
            </w:pPr>
            <w:r>
              <w:rPr>
                <w:rFonts w:cs="Arial"/>
                <w:b/>
                <w:szCs w:val="20"/>
              </w:rPr>
              <w:t>Projekt</w:t>
            </w:r>
          </w:p>
        </w:tc>
        <w:tc>
          <w:tcPr>
            <w:tcW w:w="4986" w:type="dxa"/>
            <w:tcMar>
              <w:top w:w="100" w:type="dxa"/>
              <w:left w:w="120" w:type="dxa"/>
              <w:bottom w:w="100" w:type="dxa"/>
              <w:right w:w="120" w:type="dxa"/>
            </w:tcMar>
          </w:tcPr>
          <w:p w14:paraId="0A65F5FA" w14:textId="77777777" w:rsidR="008D245F" w:rsidRPr="009B4752" w:rsidRDefault="00000000">
            <w:pPr>
              <w:rPr>
                <w:rFonts w:cs="Arial"/>
                <w:szCs w:val="20"/>
                <w:lang w:val="pl-PL"/>
              </w:rPr>
            </w:pPr>
            <w:proofErr w:type="spellStart"/>
            <w:r w:rsidRPr="009B4752">
              <w:rPr>
                <w:rFonts w:cs="Arial"/>
                <w:szCs w:val="20"/>
                <w:lang w:val="pl-PL"/>
              </w:rPr>
              <w:t>Cyberbezpieczny</w:t>
            </w:r>
            <w:proofErr w:type="spellEnd"/>
            <w:r w:rsidRPr="009B4752">
              <w:rPr>
                <w:rFonts w:cs="Arial"/>
                <w:szCs w:val="20"/>
                <w:lang w:val="pl-PL"/>
              </w:rPr>
              <w:t xml:space="preserve"> Zakład Gospodarki Komunalnej w Mrozach</w:t>
            </w:r>
          </w:p>
        </w:tc>
      </w:tr>
      <w:tr w:rsidR="008D245F" w:rsidRPr="009B4752" w14:paraId="08B758A6" w14:textId="77777777">
        <w:trPr>
          <w:jc w:val="center"/>
        </w:trPr>
        <w:tc>
          <w:tcPr>
            <w:tcW w:w="4986" w:type="dxa"/>
            <w:shd w:val="clear" w:color="auto" w:fill="D9EAF7"/>
            <w:tcMar>
              <w:top w:w="100" w:type="dxa"/>
              <w:left w:w="120" w:type="dxa"/>
              <w:bottom w:w="100" w:type="dxa"/>
              <w:right w:w="120" w:type="dxa"/>
            </w:tcMar>
          </w:tcPr>
          <w:p w14:paraId="68F3182F" w14:textId="77777777" w:rsidR="008D245F" w:rsidRDefault="00000000">
            <w:pPr>
              <w:rPr>
                <w:rFonts w:cs="Arial"/>
                <w:szCs w:val="20"/>
              </w:rPr>
            </w:pPr>
            <w:r>
              <w:rPr>
                <w:rFonts w:cs="Arial"/>
                <w:b/>
                <w:szCs w:val="20"/>
              </w:rPr>
              <w:t>Program</w:t>
            </w:r>
          </w:p>
        </w:tc>
        <w:tc>
          <w:tcPr>
            <w:tcW w:w="4986" w:type="dxa"/>
            <w:tcMar>
              <w:top w:w="100" w:type="dxa"/>
              <w:left w:w="120" w:type="dxa"/>
              <w:bottom w:w="100" w:type="dxa"/>
              <w:right w:w="120" w:type="dxa"/>
            </w:tcMar>
          </w:tcPr>
          <w:p w14:paraId="3389572B" w14:textId="77777777" w:rsidR="008D245F" w:rsidRPr="009B4752" w:rsidRDefault="00000000">
            <w:pPr>
              <w:rPr>
                <w:rFonts w:cs="Arial"/>
                <w:szCs w:val="20"/>
                <w:lang w:val="pl-PL"/>
              </w:rPr>
            </w:pPr>
            <w:r w:rsidRPr="009B4752">
              <w:rPr>
                <w:rFonts w:cs="Arial"/>
                <w:szCs w:val="20"/>
                <w:lang w:val="pl-PL"/>
              </w:rPr>
              <w:t xml:space="preserve">Krajowy Plan Odbudowy i Zwiększania Odporności, C3.1.1 </w:t>
            </w:r>
            <w:proofErr w:type="spellStart"/>
            <w:r w:rsidRPr="009B4752">
              <w:rPr>
                <w:rFonts w:cs="Arial"/>
                <w:szCs w:val="20"/>
                <w:lang w:val="pl-PL"/>
              </w:rPr>
              <w:t>Cyberbezpieczeństwo</w:t>
            </w:r>
            <w:proofErr w:type="spellEnd"/>
            <w:r w:rsidRPr="009B4752">
              <w:rPr>
                <w:rFonts w:cs="Arial"/>
                <w:szCs w:val="20"/>
                <w:lang w:val="pl-PL"/>
              </w:rPr>
              <w:t xml:space="preserve"> – </w:t>
            </w:r>
            <w:proofErr w:type="spellStart"/>
            <w:r w:rsidRPr="009B4752">
              <w:rPr>
                <w:rFonts w:cs="Arial"/>
                <w:szCs w:val="20"/>
                <w:lang w:val="pl-PL"/>
              </w:rPr>
              <w:t>CyberPL</w:t>
            </w:r>
            <w:proofErr w:type="spellEnd"/>
          </w:p>
        </w:tc>
      </w:tr>
      <w:tr w:rsidR="008D245F" w14:paraId="55E53F0A" w14:textId="77777777">
        <w:trPr>
          <w:jc w:val="center"/>
        </w:trPr>
        <w:tc>
          <w:tcPr>
            <w:tcW w:w="4986" w:type="dxa"/>
            <w:shd w:val="clear" w:color="auto" w:fill="D9EAF7"/>
            <w:tcMar>
              <w:top w:w="100" w:type="dxa"/>
              <w:left w:w="120" w:type="dxa"/>
              <w:bottom w:w="100" w:type="dxa"/>
              <w:right w:w="120" w:type="dxa"/>
            </w:tcMar>
          </w:tcPr>
          <w:p w14:paraId="4E46B02B" w14:textId="77777777" w:rsidR="008D245F" w:rsidRDefault="00000000">
            <w:pPr>
              <w:rPr>
                <w:rFonts w:cs="Arial"/>
                <w:szCs w:val="20"/>
              </w:rPr>
            </w:pPr>
            <w:proofErr w:type="spellStart"/>
            <w:r>
              <w:rPr>
                <w:rFonts w:cs="Arial"/>
                <w:b/>
                <w:szCs w:val="20"/>
              </w:rPr>
              <w:t>Nabór</w:t>
            </w:r>
            <w:proofErr w:type="spellEnd"/>
          </w:p>
        </w:tc>
        <w:tc>
          <w:tcPr>
            <w:tcW w:w="4986" w:type="dxa"/>
            <w:tcMar>
              <w:top w:w="100" w:type="dxa"/>
              <w:left w:w="120" w:type="dxa"/>
              <w:bottom w:w="100" w:type="dxa"/>
              <w:right w:w="120" w:type="dxa"/>
            </w:tcMar>
          </w:tcPr>
          <w:p w14:paraId="581A54C1" w14:textId="77777777" w:rsidR="008D245F" w:rsidRDefault="00000000">
            <w:pPr>
              <w:rPr>
                <w:rFonts w:cs="Arial"/>
                <w:szCs w:val="20"/>
              </w:rPr>
            </w:pPr>
            <w:r>
              <w:rPr>
                <w:rFonts w:cs="Arial"/>
                <w:szCs w:val="20"/>
              </w:rPr>
              <w:t>KPOD.05.10-CW.01-001/25</w:t>
            </w:r>
          </w:p>
        </w:tc>
      </w:tr>
    </w:tbl>
    <w:p w14:paraId="31C0C724" w14:textId="77777777" w:rsidR="008D245F" w:rsidRDefault="008D245F">
      <w:pPr>
        <w:rPr>
          <w:rFonts w:cs="Arial"/>
          <w:szCs w:val="20"/>
        </w:rPr>
      </w:pPr>
    </w:p>
    <w:p w14:paraId="6FA1A620" w14:textId="77777777" w:rsidR="008D245F" w:rsidRDefault="00000000">
      <w:pPr>
        <w:jc w:val="center"/>
        <w:rPr>
          <w:rFonts w:cs="Arial"/>
          <w:szCs w:val="20"/>
        </w:rPr>
      </w:pPr>
      <w:proofErr w:type="spellStart"/>
      <w:r>
        <w:rPr>
          <w:rFonts w:cs="Arial"/>
          <w:color w:val="666666"/>
          <w:szCs w:val="20"/>
        </w:rPr>
        <w:t>Mrozy</w:t>
      </w:r>
      <w:proofErr w:type="spellEnd"/>
      <w:r>
        <w:rPr>
          <w:rFonts w:cs="Arial"/>
          <w:color w:val="666666"/>
          <w:szCs w:val="20"/>
        </w:rPr>
        <w:t>, 2026</w:t>
      </w:r>
    </w:p>
    <w:p w14:paraId="2BF45375" w14:textId="77777777" w:rsidR="008D245F" w:rsidRDefault="00000000">
      <w:pPr>
        <w:rPr>
          <w:rFonts w:cs="Arial"/>
          <w:szCs w:val="20"/>
        </w:rPr>
      </w:pPr>
      <w:r>
        <w:rPr>
          <w:rFonts w:cs="Arial"/>
          <w:szCs w:val="20"/>
        </w:rPr>
        <w:br w:type="page"/>
      </w:r>
    </w:p>
    <w:p w14:paraId="0186170A" w14:textId="77777777" w:rsidR="008D245F" w:rsidRDefault="00000000">
      <w:pPr>
        <w:rPr>
          <w:rFonts w:cs="Arial"/>
          <w:szCs w:val="20"/>
        </w:rPr>
      </w:pPr>
      <w:r>
        <w:rPr>
          <w:rFonts w:cs="Arial"/>
          <w:szCs w:val="20"/>
        </w:rPr>
        <w:lastRenderedPageBreak/>
        <w:t>UMOWA nr [●]</w:t>
      </w:r>
    </w:p>
    <w:p w14:paraId="20C3AF5D" w14:textId="77777777" w:rsidR="008D245F" w:rsidRPr="009B4752" w:rsidRDefault="00000000">
      <w:pPr>
        <w:rPr>
          <w:rFonts w:cs="Arial"/>
          <w:szCs w:val="20"/>
          <w:lang w:val="pl-PL"/>
        </w:rPr>
      </w:pPr>
      <w:r w:rsidRPr="009B4752">
        <w:rPr>
          <w:rFonts w:cs="Arial"/>
          <w:szCs w:val="20"/>
          <w:lang w:val="pl-PL"/>
        </w:rPr>
        <w:t>zawarta w dniu [●] w Mrozach pomiędzy Gminą Mrozy, ul. Adama Mickiewicza 35, 05-320 Mrozy, NIP: 822-21-47-185, reprezentowaną przez Zakład Gospodarki Komunalnej w Mrozach, ul. Graniczna 1, 05-320 Mrozy, w imieniu której działa [imię i nazwisko, funkcja], na podstawie [podstawa umocowania – nazwa, numer i data dokumentu], zwaną dalej „Zamawiającym”, a:</w:t>
      </w:r>
    </w:p>
    <w:p w14:paraId="660685CC" w14:textId="77777777" w:rsidR="008D245F" w:rsidRPr="009B4752" w:rsidRDefault="00000000">
      <w:pPr>
        <w:rPr>
          <w:rFonts w:cs="Arial"/>
          <w:szCs w:val="20"/>
          <w:lang w:val="pl-PL"/>
        </w:rPr>
      </w:pPr>
      <w:r w:rsidRPr="009B4752">
        <w:rPr>
          <w:rFonts w:cs="Arial"/>
          <w:szCs w:val="20"/>
          <w:lang w:val="pl-PL"/>
        </w:rPr>
        <w:t>[dane Wykonawcy], zwanym dalej „Wykonawcą”.</w:t>
      </w:r>
    </w:p>
    <w:p w14:paraId="511C0E2E"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 Przedmiot Umowy</w:t>
      </w:r>
    </w:p>
    <w:p w14:paraId="22DB9C67" w14:textId="77777777" w:rsidR="008D245F" w:rsidRPr="009B4752" w:rsidRDefault="00000000">
      <w:pPr>
        <w:rPr>
          <w:rFonts w:cs="Arial"/>
          <w:szCs w:val="20"/>
          <w:lang w:val="pl-PL"/>
        </w:rPr>
      </w:pPr>
      <w:r w:rsidRPr="009B4752">
        <w:rPr>
          <w:rFonts w:cs="Arial"/>
          <w:szCs w:val="20"/>
          <w:lang w:val="pl-PL"/>
        </w:rPr>
        <w:t xml:space="preserve">1. Zamawiający zleca, a Wykonawca przyjmuje do wykonania kompleksową dostawę i wdrożenie rozwiązań </w:t>
      </w:r>
      <w:proofErr w:type="spellStart"/>
      <w:r w:rsidRPr="009B4752">
        <w:rPr>
          <w:rFonts w:cs="Arial"/>
          <w:szCs w:val="20"/>
          <w:lang w:val="pl-PL"/>
        </w:rPr>
        <w:t>cyberbezpieczeństwa</w:t>
      </w:r>
      <w:proofErr w:type="spellEnd"/>
      <w:r w:rsidRPr="009B4752">
        <w:rPr>
          <w:rFonts w:cs="Arial"/>
          <w:szCs w:val="20"/>
          <w:lang w:val="pl-PL"/>
        </w:rPr>
        <w:t xml:space="preserve"> IT/OT/ICS wraz z usługami organizacyjnymi i szkoleniowymi.</w:t>
      </w:r>
    </w:p>
    <w:p w14:paraId="1B3CB501" w14:textId="77777777" w:rsidR="008D245F" w:rsidRPr="009B4752" w:rsidRDefault="00000000">
      <w:pPr>
        <w:rPr>
          <w:rFonts w:cs="Arial"/>
          <w:szCs w:val="20"/>
          <w:lang w:val="pl-PL"/>
        </w:rPr>
      </w:pPr>
      <w:r w:rsidRPr="009B4752">
        <w:rPr>
          <w:rFonts w:cs="Arial"/>
          <w:szCs w:val="20"/>
          <w:lang w:val="pl-PL"/>
        </w:rPr>
        <w:t>2. Szczegółowy zakres określają, w kolejności pierwszeństwa:</w:t>
      </w:r>
    </w:p>
    <w:p w14:paraId="44940F7F" w14:textId="77777777" w:rsidR="008D245F" w:rsidRDefault="00000000">
      <w:pPr>
        <w:pStyle w:val="Listanumerowana"/>
        <w:rPr>
          <w:rFonts w:cs="Arial"/>
          <w:szCs w:val="20"/>
        </w:rPr>
      </w:pPr>
      <w:proofErr w:type="spellStart"/>
      <w:r>
        <w:rPr>
          <w:rFonts w:cs="Arial"/>
          <w:szCs w:val="20"/>
        </w:rPr>
        <w:t>niniejsza</w:t>
      </w:r>
      <w:proofErr w:type="spellEnd"/>
      <w:r>
        <w:rPr>
          <w:rFonts w:cs="Arial"/>
          <w:szCs w:val="20"/>
        </w:rPr>
        <w:t xml:space="preserve"> </w:t>
      </w:r>
      <w:proofErr w:type="spellStart"/>
      <w:r>
        <w:rPr>
          <w:rFonts w:cs="Arial"/>
          <w:szCs w:val="20"/>
        </w:rPr>
        <w:t>Umowa</w:t>
      </w:r>
      <w:proofErr w:type="spellEnd"/>
      <w:r>
        <w:rPr>
          <w:rFonts w:cs="Arial"/>
          <w:szCs w:val="20"/>
        </w:rPr>
        <w:t>;</w:t>
      </w:r>
    </w:p>
    <w:p w14:paraId="57610A13" w14:textId="77777777" w:rsidR="008D245F" w:rsidRPr="009B4752" w:rsidRDefault="00000000">
      <w:pPr>
        <w:pStyle w:val="Listanumerowana"/>
        <w:rPr>
          <w:rFonts w:cs="Arial"/>
          <w:szCs w:val="20"/>
          <w:lang w:val="pl-PL"/>
        </w:rPr>
      </w:pPr>
      <w:r w:rsidRPr="009B4752">
        <w:rPr>
          <w:rFonts w:cs="Arial"/>
          <w:szCs w:val="20"/>
          <w:lang w:val="pl-PL"/>
        </w:rPr>
        <w:t>SWZ wraz z wyjaśnieniami i zmianami;</w:t>
      </w:r>
    </w:p>
    <w:p w14:paraId="425E28CC" w14:textId="77777777" w:rsidR="008D245F" w:rsidRPr="009B4752" w:rsidRDefault="00000000">
      <w:pPr>
        <w:pStyle w:val="Listanumerowana"/>
        <w:rPr>
          <w:rFonts w:cs="Arial"/>
          <w:szCs w:val="20"/>
          <w:lang w:val="pl-PL"/>
        </w:rPr>
      </w:pPr>
      <w:r w:rsidRPr="009B4752">
        <w:rPr>
          <w:rFonts w:cs="Arial"/>
          <w:szCs w:val="20"/>
          <w:lang w:val="pl-PL"/>
        </w:rPr>
        <w:t>Załącznik nr 2 do SWZ – OPZ;</w:t>
      </w:r>
    </w:p>
    <w:p w14:paraId="2BECEA7D" w14:textId="77777777" w:rsidR="008D245F" w:rsidRPr="009B4752" w:rsidRDefault="00000000">
      <w:pPr>
        <w:pStyle w:val="Listanumerowana"/>
        <w:rPr>
          <w:rFonts w:cs="Arial"/>
          <w:szCs w:val="20"/>
          <w:lang w:val="pl-PL"/>
        </w:rPr>
      </w:pPr>
      <w:r w:rsidRPr="009B4752">
        <w:rPr>
          <w:rFonts w:cs="Arial"/>
          <w:szCs w:val="20"/>
          <w:lang w:val="pl-PL"/>
        </w:rPr>
        <w:t>oferta Wykonawcy, w tym Formularz cenowy i Formularz oferowanych rozwiązań.</w:t>
      </w:r>
    </w:p>
    <w:p w14:paraId="7235DFAD" w14:textId="77777777" w:rsidR="008D245F" w:rsidRPr="009B4752" w:rsidRDefault="00000000">
      <w:pPr>
        <w:rPr>
          <w:rFonts w:cs="Arial"/>
          <w:szCs w:val="20"/>
          <w:lang w:val="pl-PL"/>
        </w:rPr>
      </w:pPr>
      <w:r w:rsidRPr="009B4752">
        <w:rPr>
          <w:rFonts w:cs="Arial"/>
          <w:szCs w:val="20"/>
          <w:lang w:val="pl-PL"/>
        </w:rPr>
        <w:t>3. Wykonawca odpowiada za kompletność rozwiązania, jego integrację, kompatybilność, legalność licencji i subskrypcji oraz osiągnięcie funkcjonalności wymaganych w OPZ.</w:t>
      </w:r>
    </w:p>
    <w:p w14:paraId="61BB9CB5"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2. Termin i harmonogram</w:t>
      </w:r>
    </w:p>
    <w:p w14:paraId="0263F819" w14:textId="77777777" w:rsidR="008D245F" w:rsidRPr="009B4752" w:rsidRDefault="00000000">
      <w:pPr>
        <w:rPr>
          <w:rFonts w:cs="Arial"/>
          <w:szCs w:val="20"/>
          <w:lang w:val="pl-PL"/>
        </w:rPr>
      </w:pPr>
      <w:r w:rsidRPr="009B4752">
        <w:rPr>
          <w:rFonts w:cs="Arial"/>
          <w:szCs w:val="20"/>
          <w:lang w:val="pl-PL"/>
        </w:rPr>
        <w:t>1. Termin wykonania zakresu rzeczowego Umowy i dokonania odbioru końcowego: do dnia 14 grudnia 2026 r.</w:t>
      </w:r>
    </w:p>
    <w:p w14:paraId="103C2A7F" w14:textId="77777777" w:rsidR="008D245F" w:rsidRPr="009B4752" w:rsidRDefault="00000000">
      <w:pPr>
        <w:rPr>
          <w:rFonts w:cs="Arial"/>
          <w:szCs w:val="20"/>
          <w:lang w:val="pl-PL"/>
        </w:rPr>
      </w:pPr>
      <w:r>
        <w:t>2. W terminie 5 dni roboczych od zawarcia Umowy Wykonawca przedłoży harmonogram obejmujący dostawy, wdrożenie, konfigurację, usługi organizacyjne, szkolenia, dokumentację, testy i odbiory. Harmonogram zapewni odbiór końcowy do 14 grudnia 2026 r., doręczenie kompletnej faktury końcowej do 16 grudnia 2026 r. oraz przeprowadzenie rozliczeń umożliwiających zapłatę najpóźniej 31 grudnia 2026 r. Terminy te nie ograniczają zobowiązań gwarancyjnych i subskrypcyjnych trwających po odbiorze.</w:t>
      </w:r>
    </w:p>
    <w:p w14:paraId="13DBFD9D" w14:textId="77777777" w:rsidR="008D245F" w:rsidRPr="009B4752" w:rsidRDefault="00000000">
      <w:pPr>
        <w:rPr>
          <w:rFonts w:cs="Arial"/>
          <w:szCs w:val="20"/>
          <w:lang w:val="pl-PL"/>
        </w:rPr>
      </w:pPr>
      <w:r w:rsidRPr="009B4752">
        <w:rPr>
          <w:rFonts w:cs="Arial"/>
          <w:szCs w:val="20"/>
          <w:lang w:val="pl-PL"/>
        </w:rPr>
        <w:t>3. Aktywacja subskrypcji nastąpi w terminie uzgodnionym z Zamawiającym, tak aby nie skracać faktycznego okresu ich wykorzystania. Okresy gwarancji, serwisu, utrzymania i subskrypcji określone w OPZ lub zaoferowane przez Wykonawcę mogą wykraczać poza dzień 14 grudnia 2026 r.</w:t>
      </w:r>
    </w:p>
    <w:p w14:paraId="338DF3C4" w14:textId="77777777" w:rsidR="008D245F" w:rsidRDefault="00000000">
      <w:pPr>
        <w:pStyle w:val="Nagwek1"/>
        <w:rPr>
          <w:rFonts w:ascii="Arial" w:hAnsi="Arial" w:cs="Arial"/>
          <w:sz w:val="20"/>
          <w:szCs w:val="20"/>
        </w:rPr>
      </w:pPr>
      <w:r>
        <w:rPr>
          <w:rFonts w:ascii="Arial" w:hAnsi="Arial" w:cs="Arial"/>
          <w:sz w:val="20"/>
          <w:szCs w:val="20"/>
        </w:rPr>
        <w:t xml:space="preserve">§ 3. </w:t>
      </w:r>
      <w:proofErr w:type="spellStart"/>
      <w:r>
        <w:rPr>
          <w:rFonts w:ascii="Arial" w:hAnsi="Arial" w:cs="Arial"/>
          <w:sz w:val="20"/>
          <w:szCs w:val="20"/>
        </w:rPr>
        <w:t>Obowiązki</w:t>
      </w:r>
      <w:proofErr w:type="spellEnd"/>
      <w:r>
        <w:rPr>
          <w:rFonts w:ascii="Arial" w:hAnsi="Arial" w:cs="Arial"/>
          <w:sz w:val="20"/>
          <w:szCs w:val="20"/>
        </w:rPr>
        <w:t xml:space="preserve"> </w:t>
      </w:r>
      <w:proofErr w:type="spellStart"/>
      <w:r>
        <w:rPr>
          <w:rFonts w:ascii="Arial" w:hAnsi="Arial" w:cs="Arial"/>
          <w:sz w:val="20"/>
          <w:szCs w:val="20"/>
        </w:rPr>
        <w:t>Wykonawcy</w:t>
      </w:r>
      <w:proofErr w:type="spellEnd"/>
    </w:p>
    <w:p w14:paraId="65F87417" w14:textId="77777777" w:rsidR="008D245F" w:rsidRPr="009B4752" w:rsidRDefault="00000000" w:rsidP="009B4752">
      <w:pPr>
        <w:pStyle w:val="Listanumerowana"/>
        <w:numPr>
          <w:ilvl w:val="0"/>
          <w:numId w:val="15"/>
        </w:numPr>
        <w:rPr>
          <w:rFonts w:cs="Arial"/>
          <w:szCs w:val="20"/>
          <w:lang w:val="pl-PL"/>
        </w:rPr>
      </w:pPr>
      <w:r w:rsidRPr="009B4752">
        <w:rPr>
          <w:rFonts w:cs="Arial"/>
          <w:szCs w:val="20"/>
          <w:lang w:val="pl-PL"/>
        </w:rPr>
        <w:t xml:space="preserve">wykonanie zamówienia zgodnie z OPZ, ofertą, przepisami prawa i dobrymi praktykami </w:t>
      </w:r>
      <w:proofErr w:type="spellStart"/>
      <w:r w:rsidRPr="009B4752">
        <w:rPr>
          <w:rFonts w:cs="Arial"/>
          <w:szCs w:val="20"/>
          <w:lang w:val="pl-PL"/>
        </w:rPr>
        <w:t>cyberbezpieczeństwa</w:t>
      </w:r>
      <w:proofErr w:type="spellEnd"/>
      <w:r w:rsidRPr="009B4752">
        <w:rPr>
          <w:rFonts w:cs="Arial"/>
          <w:szCs w:val="20"/>
          <w:lang w:val="pl-PL"/>
        </w:rPr>
        <w:t>;</w:t>
      </w:r>
    </w:p>
    <w:p w14:paraId="3BB3EDF3" w14:textId="77777777" w:rsidR="008D245F" w:rsidRPr="009B4752" w:rsidRDefault="00000000">
      <w:pPr>
        <w:pStyle w:val="Listanumerowana"/>
        <w:rPr>
          <w:rFonts w:cs="Arial"/>
          <w:szCs w:val="20"/>
          <w:lang w:val="pl-PL"/>
        </w:rPr>
      </w:pPr>
      <w:r w:rsidRPr="009B4752">
        <w:rPr>
          <w:rFonts w:cs="Arial"/>
          <w:szCs w:val="20"/>
          <w:lang w:val="pl-PL"/>
        </w:rPr>
        <w:t>zapewnienie personelu o kwalifikacjach wymaganych w SWZ;</w:t>
      </w:r>
    </w:p>
    <w:p w14:paraId="164FCC98" w14:textId="77777777" w:rsidR="008D245F" w:rsidRPr="009B4752" w:rsidRDefault="00000000">
      <w:pPr>
        <w:pStyle w:val="Listanumerowana"/>
        <w:rPr>
          <w:rFonts w:cs="Arial"/>
          <w:szCs w:val="20"/>
          <w:lang w:val="pl-PL"/>
        </w:rPr>
      </w:pPr>
      <w:r w:rsidRPr="009B4752">
        <w:rPr>
          <w:rFonts w:cs="Arial"/>
          <w:szCs w:val="20"/>
          <w:lang w:val="pl-PL"/>
        </w:rPr>
        <w:t>koordynacja dostaw, konfiguracji i integracji oraz zapewnienie jednego punktu odpowiedzialności za rozwiązanie;</w:t>
      </w:r>
    </w:p>
    <w:p w14:paraId="18A04297" w14:textId="77777777" w:rsidR="008D245F" w:rsidRPr="009B4752" w:rsidRDefault="00000000">
      <w:pPr>
        <w:pStyle w:val="Listanumerowana"/>
        <w:rPr>
          <w:rFonts w:cs="Arial"/>
          <w:szCs w:val="20"/>
          <w:lang w:val="pl-PL"/>
        </w:rPr>
      </w:pPr>
      <w:r w:rsidRPr="009B4752">
        <w:rPr>
          <w:rFonts w:cs="Arial"/>
          <w:szCs w:val="20"/>
          <w:lang w:val="pl-PL"/>
        </w:rPr>
        <w:t>prowadzenie dokumentacji zmian i konfiguracji oraz przekazanie dokumentacji powykonawczej;</w:t>
      </w:r>
    </w:p>
    <w:p w14:paraId="56F6E481" w14:textId="77777777" w:rsidR="008D245F" w:rsidRPr="009B4752" w:rsidRDefault="00000000">
      <w:pPr>
        <w:pStyle w:val="Listanumerowana"/>
        <w:rPr>
          <w:rFonts w:cs="Arial"/>
          <w:szCs w:val="20"/>
          <w:lang w:val="pl-PL"/>
        </w:rPr>
      </w:pPr>
      <w:r w:rsidRPr="009B4752">
        <w:rPr>
          <w:rFonts w:cs="Arial"/>
          <w:szCs w:val="20"/>
          <w:lang w:val="pl-PL"/>
        </w:rPr>
        <w:t>niezwłoczne zgłaszanie zdarzeń mogących wpłynąć na bezpieczeństwo lub termin realizacji;</w:t>
      </w:r>
    </w:p>
    <w:p w14:paraId="3C0FFFD2" w14:textId="77777777" w:rsidR="008D245F" w:rsidRPr="009B4752" w:rsidRDefault="00000000">
      <w:pPr>
        <w:pStyle w:val="Listanumerowana"/>
        <w:rPr>
          <w:rFonts w:cs="Arial"/>
          <w:szCs w:val="20"/>
          <w:lang w:val="pl-PL"/>
        </w:rPr>
      </w:pPr>
      <w:r w:rsidRPr="009B4752">
        <w:rPr>
          <w:rFonts w:cs="Arial"/>
          <w:szCs w:val="20"/>
          <w:lang w:val="pl-PL"/>
        </w:rPr>
        <w:t>ochrona informacji o infrastrukturze Zamawiającego, danych uwierzytelniających i podatnościach;</w:t>
      </w:r>
    </w:p>
    <w:p w14:paraId="41E08DF6" w14:textId="77777777" w:rsidR="008D245F" w:rsidRPr="009B4752" w:rsidRDefault="00000000">
      <w:pPr>
        <w:pStyle w:val="Listanumerowana"/>
        <w:rPr>
          <w:rFonts w:cs="Arial"/>
          <w:szCs w:val="20"/>
          <w:lang w:val="pl-PL"/>
        </w:rPr>
      </w:pPr>
      <w:r w:rsidRPr="009B4752">
        <w:rPr>
          <w:rFonts w:cs="Arial"/>
          <w:szCs w:val="20"/>
          <w:lang w:val="pl-PL"/>
        </w:rPr>
        <w:t>przestrzeganie zasad bezpieczeństwa w środowisku OT/ICS i zakazu działań mogących wpływać na ciągłość procesu bez akceptacji Zamawiającego.</w:t>
      </w:r>
    </w:p>
    <w:p w14:paraId="7F963E69" w14:textId="77777777" w:rsidR="008D245F" w:rsidRDefault="00000000">
      <w:pPr>
        <w:pStyle w:val="Nagwek1"/>
        <w:rPr>
          <w:rFonts w:ascii="Arial" w:hAnsi="Arial" w:cs="Arial"/>
          <w:sz w:val="20"/>
          <w:szCs w:val="20"/>
        </w:rPr>
      </w:pPr>
      <w:r>
        <w:rPr>
          <w:rFonts w:ascii="Arial" w:hAnsi="Arial" w:cs="Arial"/>
          <w:sz w:val="20"/>
          <w:szCs w:val="20"/>
        </w:rPr>
        <w:t xml:space="preserve">§ 4. </w:t>
      </w:r>
      <w:proofErr w:type="spellStart"/>
      <w:r>
        <w:rPr>
          <w:rFonts w:ascii="Arial" w:hAnsi="Arial" w:cs="Arial"/>
          <w:sz w:val="20"/>
          <w:szCs w:val="20"/>
        </w:rPr>
        <w:t>Obowiązki</w:t>
      </w:r>
      <w:proofErr w:type="spellEnd"/>
      <w:r>
        <w:rPr>
          <w:rFonts w:ascii="Arial" w:hAnsi="Arial" w:cs="Arial"/>
          <w:sz w:val="20"/>
          <w:szCs w:val="20"/>
        </w:rPr>
        <w:t xml:space="preserve"> </w:t>
      </w:r>
      <w:proofErr w:type="spellStart"/>
      <w:r>
        <w:rPr>
          <w:rFonts w:ascii="Arial" w:hAnsi="Arial" w:cs="Arial"/>
          <w:sz w:val="20"/>
          <w:szCs w:val="20"/>
        </w:rPr>
        <w:t>Zamawiającego</w:t>
      </w:r>
      <w:proofErr w:type="spellEnd"/>
    </w:p>
    <w:p w14:paraId="041F194A" w14:textId="77777777" w:rsidR="008D245F" w:rsidRPr="009B4752" w:rsidRDefault="00000000" w:rsidP="009B4752">
      <w:pPr>
        <w:pStyle w:val="Listanumerowana"/>
        <w:numPr>
          <w:ilvl w:val="0"/>
          <w:numId w:val="16"/>
        </w:numPr>
        <w:rPr>
          <w:rFonts w:cs="Arial"/>
          <w:szCs w:val="20"/>
          <w:lang w:val="pl-PL"/>
        </w:rPr>
      </w:pPr>
      <w:r w:rsidRPr="009B4752">
        <w:rPr>
          <w:rFonts w:cs="Arial"/>
          <w:szCs w:val="20"/>
          <w:lang w:val="pl-PL"/>
        </w:rPr>
        <w:t>zapewnienie dostępu do lokalizacji i środowiska w zakresie niezbędnym do realizacji;</w:t>
      </w:r>
    </w:p>
    <w:p w14:paraId="10E0D17F" w14:textId="77777777" w:rsidR="008D245F" w:rsidRPr="009B4752" w:rsidRDefault="00000000">
      <w:pPr>
        <w:pStyle w:val="Listanumerowana"/>
        <w:rPr>
          <w:rFonts w:cs="Arial"/>
          <w:szCs w:val="20"/>
          <w:lang w:val="pl-PL"/>
        </w:rPr>
      </w:pPr>
      <w:r w:rsidRPr="009B4752">
        <w:rPr>
          <w:rFonts w:cs="Arial"/>
          <w:szCs w:val="20"/>
          <w:lang w:val="pl-PL"/>
        </w:rPr>
        <w:t>udostępnienie posiadanej dokumentacji i informacji niezbędnych do wdrożenia w dopuszczalnym zakresie;</w:t>
      </w:r>
    </w:p>
    <w:p w14:paraId="7ADBA60D" w14:textId="77777777" w:rsidR="008D245F" w:rsidRPr="009B4752" w:rsidRDefault="00000000">
      <w:pPr>
        <w:pStyle w:val="Listanumerowana"/>
        <w:rPr>
          <w:rFonts w:cs="Arial"/>
          <w:szCs w:val="20"/>
          <w:lang w:val="pl-PL"/>
        </w:rPr>
      </w:pPr>
      <w:r w:rsidRPr="009B4752">
        <w:rPr>
          <w:rFonts w:cs="Arial"/>
          <w:szCs w:val="20"/>
          <w:lang w:val="pl-PL"/>
        </w:rPr>
        <w:t>wyznaczenie osób do współpracy i odbiorów;</w:t>
      </w:r>
    </w:p>
    <w:p w14:paraId="733DBB3E" w14:textId="77777777" w:rsidR="008D245F" w:rsidRPr="009B4752" w:rsidRDefault="00000000">
      <w:pPr>
        <w:pStyle w:val="Listanumerowana"/>
        <w:rPr>
          <w:rFonts w:cs="Arial"/>
          <w:szCs w:val="20"/>
          <w:lang w:val="pl-PL"/>
        </w:rPr>
      </w:pPr>
      <w:r w:rsidRPr="009B4752">
        <w:rPr>
          <w:rFonts w:cs="Arial"/>
          <w:szCs w:val="20"/>
          <w:lang w:val="pl-PL"/>
        </w:rPr>
        <w:t>terminowe dokonywanie odbiorów oraz zapłata wynagrodzenia.</w:t>
      </w:r>
    </w:p>
    <w:p w14:paraId="04769C38"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5. Personel i podwykonawcy</w:t>
      </w:r>
    </w:p>
    <w:p w14:paraId="5C5E517A" w14:textId="77777777" w:rsidR="008D245F" w:rsidRPr="009B4752" w:rsidRDefault="00000000">
      <w:pPr>
        <w:rPr>
          <w:rFonts w:cs="Arial"/>
          <w:szCs w:val="20"/>
          <w:lang w:val="pl-PL"/>
        </w:rPr>
      </w:pPr>
      <w:r w:rsidRPr="009B4752">
        <w:rPr>
          <w:rFonts w:cs="Arial"/>
          <w:szCs w:val="20"/>
          <w:lang w:val="pl-PL"/>
        </w:rPr>
        <w:t>1. Wykonawca zapewni udział personelu spełniającego minimalne wymagania określone w pkt 6.4–6.7 SWZ oraz wskazanego w Wykazie osób.</w:t>
      </w:r>
    </w:p>
    <w:p w14:paraId="4A990614" w14:textId="77777777" w:rsidR="008D245F" w:rsidRPr="009B4752" w:rsidRDefault="00000000">
      <w:pPr>
        <w:rPr>
          <w:rFonts w:cs="Arial"/>
          <w:szCs w:val="20"/>
          <w:lang w:val="pl-PL"/>
        </w:rPr>
      </w:pPr>
      <w:r w:rsidRPr="009B4752">
        <w:rPr>
          <w:rFonts w:cs="Arial"/>
          <w:szCs w:val="20"/>
          <w:lang w:val="pl-PL"/>
        </w:rPr>
        <w:t>2. Jedna osoba może pełnić nie więcej niż 3 funkcje wskazane w SWZ, pod warunkiem spełnienia wszystkich wymagań dla każdej funkcji oraz zapewnienia realnej możliwości wykonywania tych funkcji zgodnie z harmonogramem.</w:t>
      </w:r>
    </w:p>
    <w:p w14:paraId="63EACAB7" w14:textId="77777777" w:rsidR="008D245F" w:rsidRPr="009B4752" w:rsidRDefault="00000000">
      <w:pPr>
        <w:rPr>
          <w:rFonts w:cs="Arial"/>
          <w:szCs w:val="20"/>
          <w:lang w:val="pl-PL"/>
        </w:rPr>
      </w:pPr>
      <w:r w:rsidRPr="009B4752">
        <w:rPr>
          <w:rFonts w:cs="Arial"/>
          <w:szCs w:val="20"/>
          <w:lang w:val="pl-PL"/>
        </w:rPr>
        <w:t>3. Osoby wykazane dla potwierdzenia warunków udziału muszą faktycznie uczestniczyć w realizacji zamówienia w zakresie odpowiadającym funkcjom, dla których zostały wskazane.</w:t>
      </w:r>
    </w:p>
    <w:p w14:paraId="7B371552" w14:textId="77777777" w:rsidR="008D245F" w:rsidRPr="009B4752" w:rsidRDefault="00000000">
      <w:pPr>
        <w:rPr>
          <w:rFonts w:cs="Arial"/>
          <w:szCs w:val="20"/>
          <w:lang w:val="pl-PL"/>
        </w:rPr>
      </w:pPr>
      <w:r w:rsidRPr="009B4752">
        <w:rPr>
          <w:rFonts w:cs="Arial"/>
          <w:szCs w:val="20"/>
          <w:lang w:val="pl-PL"/>
        </w:rPr>
        <w:lastRenderedPageBreak/>
        <w:t xml:space="preserve">4. Przed rozpoczęciem konfiguracji kluczowego systemu NGFW/UTM, SIEM, platformy </w:t>
      </w:r>
      <w:proofErr w:type="spellStart"/>
      <w:r w:rsidRPr="009B4752">
        <w:rPr>
          <w:rFonts w:cs="Arial"/>
          <w:szCs w:val="20"/>
          <w:lang w:val="pl-PL"/>
        </w:rPr>
        <w:t>wirtualizacyjnej</w:t>
      </w:r>
      <w:proofErr w:type="spellEnd"/>
      <w:r w:rsidRPr="009B4752">
        <w:rPr>
          <w:rFonts w:cs="Arial"/>
          <w:szCs w:val="20"/>
          <w:lang w:val="pl-PL"/>
        </w:rPr>
        <w:t xml:space="preserve"> albo systemu backupowego Wykonawca wskaże osobę wykonującą konfigurację, która spełnia wymagania produktowe określone w pkt 6.6 SWZ.</w:t>
      </w:r>
    </w:p>
    <w:p w14:paraId="7AB05D80" w14:textId="77777777" w:rsidR="008D245F" w:rsidRPr="009B4752" w:rsidRDefault="00000000">
      <w:pPr>
        <w:rPr>
          <w:rFonts w:cs="Arial"/>
          <w:szCs w:val="20"/>
          <w:lang w:val="pl-PL"/>
        </w:rPr>
      </w:pPr>
      <w:r w:rsidRPr="009B4752">
        <w:rPr>
          <w:rFonts w:cs="Arial"/>
          <w:szCs w:val="20"/>
          <w:lang w:val="pl-PL"/>
        </w:rPr>
        <w:t xml:space="preserve">5. Zmiana osoby wskazanej w Wykazie osób jest dopuszczalna z przyczyn obiektywnych po uprzednim wykazaniu, że osoba zastępująca spełnia minimalne wymagania dla danej funkcji. Zamawiający nie może wymagać kwalifikacji wyższych niż minimalne tylko dlatego, że osoba pierwotnie wskazana posiadała kwalifikacje </w:t>
      </w:r>
      <w:proofErr w:type="spellStart"/>
      <w:r w:rsidRPr="009B4752">
        <w:rPr>
          <w:rFonts w:cs="Arial"/>
          <w:szCs w:val="20"/>
          <w:lang w:val="pl-PL"/>
        </w:rPr>
        <w:t>ponadminimalne</w:t>
      </w:r>
      <w:proofErr w:type="spellEnd"/>
      <w:r w:rsidRPr="009B4752">
        <w:rPr>
          <w:rFonts w:cs="Arial"/>
          <w:szCs w:val="20"/>
          <w:lang w:val="pl-PL"/>
        </w:rPr>
        <w:t>.</w:t>
      </w:r>
    </w:p>
    <w:p w14:paraId="57DA4F4B" w14:textId="77777777" w:rsidR="008D245F" w:rsidRPr="009B4752" w:rsidRDefault="00000000">
      <w:pPr>
        <w:rPr>
          <w:rFonts w:cs="Arial"/>
          <w:szCs w:val="20"/>
          <w:lang w:val="pl-PL"/>
        </w:rPr>
      </w:pPr>
      <w:r w:rsidRPr="009B4752">
        <w:rPr>
          <w:rFonts w:cs="Arial"/>
          <w:szCs w:val="20"/>
          <w:lang w:val="pl-PL"/>
        </w:rPr>
        <w:t>6. Wykonawca ponosi pełną odpowiedzialność za działania i zaniechania podwykonawców oraz podmiotów udostępniających zasoby w zakresie realizowanego przez nich przedmiotu Umowy.</w:t>
      </w:r>
    </w:p>
    <w:p w14:paraId="6B339583" w14:textId="77777777" w:rsidR="008D245F" w:rsidRPr="009B4752" w:rsidRDefault="00000000">
      <w:pPr>
        <w:rPr>
          <w:rFonts w:cs="Arial"/>
          <w:szCs w:val="20"/>
          <w:lang w:val="pl-PL"/>
        </w:rPr>
      </w:pPr>
      <w:r w:rsidRPr="009B4752">
        <w:rPr>
          <w:rFonts w:cs="Arial"/>
          <w:szCs w:val="20"/>
          <w:lang w:val="pl-PL"/>
        </w:rPr>
        <w:t>7. Wykonawca zapewni podwykonawcom i personelowi obowiązki poufności i bezpieczeństwa co najmniej równoważne z obowiązkami wynikającymi z Umowy i OPZ.</w:t>
      </w:r>
    </w:p>
    <w:p w14:paraId="68F0E78F"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6. Wynagrodzenie i płatności</w:t>
      </w:r>
    </w:p>
    <w:p w14:paraId="10C10D9F" w14:textId="77777777" w:rsidR="008D245F" w:rsidRPr="009B4752" w:rsidRDefault="00000000">
      <w:pPr>
        <w:rPr>
          <w:rFonts w:cs="Arial"/>
          <w:szCs w:val="20"/>
          <w:lang w:val="pl-PL"/>
        </w:rPr>
      </w:pPr>
      <w:r w:rsidRPr="009B4752">
        <w:rPr>
          <w:rFonts w:cs="Arial"/>
          <w:szCs w:val="20"/>
          <w:lang w:val="pl-PL"/>
        </w:rPr>
        <w:t>1. Maksymalne wynagrodzenie Wykonawcy wynosi: netto [●] zł, VAT [●] zł, brutto [●] zł.</w:t>
      </w:r>
    </w:p>
    <w:p w14:paraId="773CE08B" w14:textId="77777777" w:rsidR="008D245F" w:rsidRPr="009B4752" w:rsidRDefault="00000000">
      <w:pPr>
        <w:rPr>
          <w:rFonts w:cs="Arial"/>
          <w:szCs w:val="20"/>
          <w:lang w:val="pl-PL"/>
        </w:rPr>
      </w:pPr>
      <w:r w:rsidRPr="009B4752">
        <w:rPr>
          <w:rFonts w:cs="Arial"/>
          <w:szCs w:val="20"/>
          <w:lang w:val="pl-PL"/>
        </w:rPr>
        <w:t>2. Wynagrodzenie obejmuje wszystkie koszty wykonania Umowy.</w:t>
      </w:r>
    </w:p>
    <w:p w14:paraId="19FD8562" w14:textId="77777777" w:rsidR="008D245F" w:rsidRPr="009B4752" w:rsidRDefault="00000000">
      <w:pPr>
        <w:rPr>
          <w:rFonts w:cs="Arial"/>
          <w:szCs w:val="20"/>
          <w:lang w:val="pl-PL"/>
        </w:rPr>
      </w:pPr>
      <w:r>
        <w:t>3. Rozliczenie częściowe dopuszcza się wyłącznie dla kompletnych, wyodrębnionych w formularzu cenowym pozycji lub etapów przypisanych do harmonogramu zaakceptowanego przez Zamawiającego, po podpisaniu protokołu odbioru częściowego bez wad krytycznych i istotnych. Protokół określa odebrany zakres, kody i wartości netto/brutto pozycji, wynik testów, dokumenty przekazane Zamawiającemu oraz stwierdzone wady nieistotne i termin ich usunięcia. Łączna wartość faktur częściowych i końcowej nie może przekroczyć wynagrodzenia umownego; nie wolno fakturować ponownie pozycji wcześniej rozliczonych.</w:t>
      </w:r>
    </w:p>
    <w:p w14:paraId="10B3D18B" w14:textId="77777777" w:rsidR="008D245F" w:rsidRPr="009B4752" w:rsidRDefault="00000000">
      <w:pPr>
        <w:rPr>
          <w:rFonts w:cs="Arial"/>
          <w:szCs w:val="20"/>
          <w:lang w:val="pl-PL"/>
        </w:rPr>
      </w:pPr>
      <w:r>
        <w:t>4. Faktura częściowa może zostać wystawiona wyłącznie na podstawie podpisanego protokołu odbioru częściowego i powinna zostać doręczona Zamawiającemu w terminie 2 dni roboczych od podpisania protokołu. Faktura końcowa może zostać wystawiona wyłącznie po podpisaniu protokołu odbioru końcowego; Wykonawca doręczy ją wraz z kompletem dokumentów rozliczeniowych nie później niż 16 grudnia 2026 r. Faktura końcowa obejmuje wyłącznie wartość nierozliczoną fakturami częściowymi. Do każdej faktury należy dołączyć protokół odbioru oraz zestawienie odebranych i rozliczanych pozycji z kodami, ilościami i wartościami netto oraz brutto. Termin zapłaty prawidłowo wystawionej i doręczonej faktury wraz z kompletem wymaganych dokumentów wynosi 7 dni kalendarzowych od dnia jej doręczenia Zamawiającemu, z zastrzeżeniem że dla faktur doręczonych zgodnie z terminami określonymi w niniejszej Umowie płatność nastąpi nie później niż 31 grudnia 2026 r. Zamawiający dąży do zapłaty faktury końcowej do 23 grudnia 2026 r. W przypadku faktury wadliwej lub niekompletnej Zamawiający niezwłocznie informuje Wykonawcę o konieczności poprawienia albo uzupełnienia dokumentów; termin zapłaty biegnie od doręczenia prawidłowej i kompletnej faktury, z uwzględnieniem bezwzględnie obowiązujących przepisów. Obowiązek usunięcia wad, dochowania terminów i doręczenia dokumentów obciąża Wykonawcę; późne doręczenie prawidłowej faktury nie oznacza zobowiązania Zamawiającego do zapłaty przed upływem 7 dni od doręczenia. Faktury przekazuje się w sposób zgodny z obowiązującymi przepisami, w tym dotyczącymi KSeF, jeżeli znajdują zastosowanie.</w:t>
      </w:r>
    </w:p>
    <w:p w14:paraId="01ABADC5" w14:textId="77777777" w:rsidR="008D245F" w:rsidRPr="009B4752" w:rsidRDefault="008D245F">
      <w:pPr>
        <w:rPr>
          <w:rFonts w:cs="Arial"/>
          <w:szCs w:val="20"/>
          <w:lang w:val="pl-PL"/>
        </w:rPr>
      </w:pPr>
    </w:p>
    <w:p w14:paraId="3A26A621" w14:textId="77777777" w:rsidR="008D245F" w:rsidRPr="009B4752" w:rsidRDefault="00000000">
      <w:pPr>
        <w:pStyle w:val="NormalnyWeb"/>
        <w:rPr>
          <w:rFonts w:ascii="Arial" w:hAnsi="Arial" w:cs="Arial"/>
          <w:color w:val="4F81BD" w:themeColor="accent1"/>
          <w:sz w:val="20"/>
          <w:szCs w:val="20"/>
        </w:rPr>
      </w:pPr>
      <w:r w:rsidRPr="009B4752">
        <w:rPr>
          <w:rStyle w:val="Pogrubienie"/>
          <w:rFonts w:ascii="Arial" w:hAnsi="Arial" w:cs="Arial"/>
          <w:color w:val="4F81BD" w:themeColor="accent1"/>
          <w:sz w:val="20"/>
          <w:szCs w:val="20"/>
        </w:rPr>
        <w:t xml:space="preserve">§ 7. </w:t>
      </w:r>
      <w:proofErr w:type="spellStart"/>
      <w:r w:rsidRPr="009B4752">
        <w:rPr>
          <w:rStyle w:val="Pogrubienie"/>
          <w:rFonts w:ascii="Arial" w:hAnsi="Arial" w:cs="Arial"/>
          <w:color w:val="4F81BD" w:themeColor="accent1"/>
          <w:sz w:val="20"/>
          <w:szCs w:val="20"/>
        </w:rPr>
        <w:t>Odbiory</w:t>
      </w:r>
      <w:proofErr w:type="spellEnd"/>
    </w:p>
    <w:p w14:paraId="7A321E8C"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t>Odbiór przedmiotu Umowy następuje na podstawie wymagań określonych w Umowie, SWZ, OPZ i ofercie Wykonawcy oraz testów odbiorowych przewidzianych w OPZ.</w:t>
      </w:r>
    </w:p>
    <w:p w14:paraId="716639A8"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t>Zamawiający w terminie 5 dni roboczych od zgłoszenia przez Wykonawcę gotowości do odbioru rozpocznie czynności odbiorowe albo wskaże przyczynę ich odroczenia.</w:t>
      </w:r>
    </w:p>
    <w:p>
      <w:pPr>
        <w:pStyle w:val="NormalnyWeb"/>
      </w:pPr>
      <w:r>
        <w:t>Zgłoszenie gotowości do odbioru wymaga przedstawienia listy pozycji objętych odbiorem, wyników wymaganych testów, dokumentacji, potwierdzeń licencji i subskrypcji oraz wymaganych danych dostępowych. Odbiór częściowy obejmuje wyłącznie zakres wskazany w zatwierdzonym harmonogramie; odbiór końcowy obejmuje całość przedmiotu Umowy, w tym usunięcie wad uniemożliwiających odbiór.</w:t>
      </w:r>
    </w:p>
    <w:p w14:paraId="006716BD"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t>Na potrzeby odbioru przyjmuje się następującą klasyfikację wad:</w:t>
      </w:r>
    </w:p>
    <w:p w14:paraId="6812D3D3" w14:textId="77777777" w:rsidR="008D245F" w:rsidRPr="009B4752" w:rsidRDefault="00000000">
      <w:pPr>
        <w:pStyle w:val="NormalnyWeb"/>
        <w:numPr>
          <w:ilvl w:val="0"/>
          <w:numId w:val="8"/>
        </w:numPr>
        <w:rPr>
          <w:rFonts w:ascii="Arial" w:hAnsi="Arial" w:cs="Arial"/>
          <w:sz w:val="20"/>
          <w:szCs w:val="20"/>
          <w:lang w:val="pl-PL"/>
        </w:rPr>
      </w:pPr>
      <w:r w:rsidRPr="009B4752">
        <w:rPr>
          <w:rStyle w:val="Pogrubienie"/>
          <w:rFonts w:ascii="Arial" w:hAnsi="Arial" w:cs="Arial"/>
          <w:sz w:val="20"/>
          <w:szCs w:val="20"/>
          <w:lang w:val="pl-PL"/>
        </w:rPr>
        <w:t>wada krytyczna</w:t>
      </w:r>
      <w:r w:rsidRPr="009B4752">
        <w:rPr>
          <w:rFonts w:ascii="Arial" w:hAnsi="Arial" w:cs="Arial"/>
          <w:sz w:val="20"/>
          <w:szCs w:val="20"/>
          <w:lang w:val="pl-PL"/>
        </w:rPr>
        <w:t xml:space="preserve"> – wada, brak lub niezgodność uniemożliwiająca korzystanie z całości rozwiązania lub jego istotnego elementu, powodująca istotne zagrożenie dla bezpieczeństwa lub ciągłości działania Zamawiającego albo polegająca na braku elementu lub funkcjonalności niezbędnej do prawidłowego działania rozwiązania;</w:t>
      </w:r>
    </w:p>
    <w:p w14:paraId="084A0A94" w14:textId="77777777" w:rsidR="008D245F" w:rsidRPr="009B4752" w:rsidRDefault="00000000">
      <w:pPr>
        <w:pStyle w:val="NormalnyWeb"/>
        <w:numPr>
          <w:ilvl w:val="0"/>
          <w:numId w:val="8"/>
        </w:numPr>
        <w:rPr>
          <w:rFonts w:ascii="Arial" w:hAnsi="Arial" w:cs="Arial"/>
          <w:sz w:val="20"/>
          <w:szCs w:val="20"/>
          <w:lang w:val="pl-PL"/>
        </w:rPr>
      </w:pPr>
      <w:r w:rsidRPr="009B4752">
        <w:rPr>
          <w:rStyle w:val="Pogrubienie"/>
          <w:rFonts w:ascii="Arial" w:hAnsi="Arial" w:cs="Arial"/>
          <w:sz w:val="20"/>
          <w:szCs w:val="20"/>
          <w:lang w:val="pl-PL"/>
        </w:rPr>
        <w:t>wada istotna</w:t>
      </w:r>
      <w:r w:rsidRPr="009B4752">
        <w:rPr>
          <w:rFonts w:ascii="Arial" w:hAnsi="Arial" w:cs="Arial"/>
          <w:sz w:val="20"/>
          <w:szCs w:val="20"/>
          <w:lang w:val="pl-PL"/>
        </w:rPr>
        <w:t xml:space="preserve"> – wada, brak lub niezgodność, która w istotny sposób ogranicza funkcjonalność, wydajność, bezpieczeństwo, interoperacyjność lub możliwość prawidłowej eksploatacji rozwiązania, lecz nie stanowi wady krytycznej;</w:t>
      </w:r>
    </w:p>
    <w:p w14:paraId="5A5213E7" w14:textId="77777777" w:rsidR="008D245F" w:rsidRPr="009B4752" w:rsidRDefault="00000000">
      <w:pPr>
        <w:pStyle w:val="NormalnyWeb"/>
        <w:numPr>
          <w:ilvl w:val="0"/>
          <w:numId w:val="8"/>
        </w:numPr>
        <w:rPr>
          <w:rFonts w:ascii="Arial" w:hAnsi="Arial" w:cs="Arial"/>
          <w:sz w:val="20"/>
          <w:szCs w:val="20"/>
          <w:lang w:val="pl-PL"/>
        </w:rPr>
      </w:pPr>
      <w:r w:rsidRPr="009B4752">
        <w:rPr>
          <w:rStyle w:val="Pogrubienie"/>
          <w:rFonts w:ascii="Arial" w:hAnsi="Arial" w:cs="Arial"/>
          <w:sz w:val="20"/>
          <w:szCs w:val="20"/>
          <w:lang w:val="pl-PL"/>
        </w:rPr>
        <w:t>wada nieistotna</w:t>
      </w:r>
      <w:r w:rsidRPr="009B4752">
        <w:rPr>
          <w:rFonts w:ascii="Arial" w:hAnsi="Arial" w:cs="Arial"/>
          <w:sz w:val="20"/>
          <w:szCs w:val="20"/>
          <w:lang w:val="pl-PL"/>
        </w:rPr>
        <w:t xml:space="preserve"> – wada, brak lub niezgodność, która nie uniemożliwia ani w istotny sposób nie ogranicza bezpiecznego i zgodnego z przeznaczeniem korzystania z rozwiązania.</w:t>
      </w:r>
    </w:p>
    <w:p w14:paraId="225D6014"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t>Stwierdzenie wady krytycznej uprawnia Zamawiającego do odmowy odbioru do czasu jej usunięcia. Stwierdzenie wady istotnej również może stanowić podstawę odmowy odbioru, jednak Zamawiający może dokonać odbioru z zastrzeżeniami, jeżeli wada nie uniemożliwia bezpiecznej eksploatacji rozwiązania. Wady nieistotne nie stanowią podstawy odmowy odbioru i podlegają wskazaniu w protokole wraz z terminem ich usunięcia.</w:t>
      </w:r>
    </w:p>
    <w:p w14:paraId="2C49048F"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t>Wykonawca usunie stwierdzone wady w terminie wyznaczonym przez Zamawiającego, odpowiednim do ich charakteru, nie dłuższym niż 7 dni roboczych, chyba że Strony uzgodnią inny termin. Usunięcie wad następuje na koszt Wykonawcy i obejmuje, jeżeli jest to konieczne, ponowne przeprowadzenie odpowiednich testów.</w:t>
      </w:r>
    </w:p>
    <w:p w14:paraId="2F545DD7"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t>Z czynności odbiorowych sporządza się protokół określający wynik odbioru, stwierdzone wady, ich klasyfikację oraz termin ich usunięcia. Odbiór końcowy wymaga wykonania całego zakresu rzeczowego Umowy oraz przekazania kompletnej dokumentacji powykonawczej, wymaganych licencji, subskrypcji, konfiguracji i danych dostępowych.</w:t>
      </w:r>
    </w:p>
    <w:p>
      <w:pPr>
        <w:pStyle w:val="NormalnyWeb"/>
      </w:pPr>
      <w:r>
        <w:t>Po usunięciu wad Wykonawca zgłasza ponownie gotowość do odbioru, a Zamawiający przeprowadza weryfikację w terminie 5 dni roboczych od otrzymania kompletnego zgłoszenia. Sam upływ terminu weryfikacji ani brak odpowiedzi Zamawiającego nie stanowią dorozumianego odbioru i nie uprawniają do wystawienia faktury. Każdy odbiór wymaga protokołu podpisanego przez upoważnionych przedstawicieli Stron.</w:t>
      </w:r>
    </w:p>
    <w:p w14:paraId="3577BA91" w14:textId="77777777" w:rsidR="008D245F" w:rsidRPr="009B4752" w:rsidRDefault="00000000">
      <w:pPr>
        <w:pStyle w:val="NormalnyWeb"/>
        <w:numPr>
          <w:ilvl w:val="0"/>
          <w:numId w:val="7"/>
        </w:numPr>
        <w:rPr>
          <w:rFonts w:ascii="Arial" w:hAnsi="Arial" w:cs="Arial"/>
          <w:sz w:val="20"/>
          <w:szCs w:val="20"/>
          <w:lang w:val="pl-PL"/>
        </w:rPr>
      </w:pPr>
      <w:r w:rsidRPr="009B4752">
        <w:rPr>
          <w:rStyle w:val="Pogrubienie"/>
          <w:rFonts w:ascii="Arial" w:hAnsi="Arial" w:cs="Arial"/>
          <w:b w:val="0"/>
          <w:bCs w:val="0"/>
          <w:sz w:val="20"/>
          <w:szCs w:val="20"/>
          <w:lang w:val="pl-PL"/>
        </w:rPr>
        <w:t>Podpisanie protokołu odbioru nie pozbawia Zamawiającego uprawnień z tytułu wad ukrytych ani wad, których wykrycie wymagało eksploatacji rozwiązania, jak również innych uprawnień wynikających z gwarancji, rękojmi, Umowy lub przepisów prawa.</w:t>
      </w:r>
    </w:p>
    <w:p w14:paraId="5CA9CFB9" w14:textId="77777777" w:rsidR="008D245F" w:rsidRPr="009B4752" w:rsidRDefault="00000000">
      <w:pPr>
        <w:pStyle w:val="NormalnyWeb"/>
        <w:numPr>
          <w:ilvl w:val="0"/>
          <w:numId w:val="7"/>
        </w:numPr>
        <w:rPr>
          <w:rFonts w:ascii="Arial" w:hAnsi="Arial" w:cs="Arial"/>
          <w:sz w:val="20"/>
          <w:szCs w:val="20"/>
          <w:lang w:val="pl-PL"/>
        </w:rPr>
      </w:pPr>
      <w:r w:rsidRPr="009B4752">
        <w:rPr>
          <w:rFonts w:ascii="Arial" w:hAnsi="Arial" w:cs="Arial"/>
          <w:sz w:val="20"/>
          <w:szCs w:val="20"/>
          <w:lang w:val="pl-PL"/>
        </w:rPr>
        <w:lastRenderedPageBreak/>
        <w:t>Dokonanie odbioru nie zwalnia Wykonawcy z odpowiedzialności za zgodność przedmiotu Umowy z OPZ, ofertą Wykonawcy oraz wymaganiami dotyczącymi bezpieczeństwa, licencji, gwarancji, wsparcia i subskrypcji.</w:t>
      </w:r>
    </w:p>
    <w:p w14:paraId="1660DC2B" w14:textId="77777777" w:rsidR="008D245F" w:rsidRPr="009B4752" w:rsidRDefault="008D245F">
      <w:pPr>
        <w:spacing w:beforeAutospacing="1" w:after="0" w:afterAutospacing="1"/>
        <w:ind w:left="1080"/>
        <w:rPr>
          <w:rFonts w:cs="Arial"/>
          <w:szCs w:val="20"/>
          <w:lang w:val="pl-PL"/>
        </w:rPr>
      </w:pPr>
    </w:p>
    <w:p w14:paraId="15465E7E" w14:textId="66524F9C" w:rsidR="008D245F" w:rsidRDefault="00000000" w:rsidP="009B4752">
      <w:pPr>
        <w:pStyle w:val="Nagwek1"/>
        <w:rPr>
          <w:rFonts w:ascii="Arial" w:hAnsi="Arial" w:cs="Arial"/>
          <w:sz w:val="20"/>
          <w:szCs w:val="20"/>
        </w:rPr>
      </w:pPr>
      <w:r w:rsidRPr="009B4752">
        <w:rPr>
          <w:rFonts w:ascii="Arial" w:hAnsi="Arial" w:cs="Arial"/>
          <w:sz w:val="20"/>
          <w:szCs w:val="20"/>
          <w:lang w:val="pl-PL"/>
        </w:rPr>
        <w:t xml:space="preserve">§ 8. </w:t>
      </w:r>
      <w:proofErr w:type="spellStart"/>
      <w:r>
        <w:rPr>
          <w:rStyle w:val="Pogrubienie"/>
          <w:rFonts w:ascii="Arial" w:hAnsi="Arial" w:cs="Arial"/>
          <w:sz w:val="20"/>
          <w:szCs w:val="20"/>
        </w:rPr>
        <w:t>Licencje</w:t>
      </w:r>
      <w:proofErr w:type="spellEnd"/>
      <w:r>
        <w:rPr>
          <w:rStyle w:val="Pogrubienie"/>
          <w:rFonts w:ascii="Arial" w:hAnsi="Arial" w:cs="Arial"/>
          <w:sz w:val="20"/>
          <w:szCs w:val="20"/>
        </w:rPr>
        <w:t xml:space="preserve"> </w:t>
      </w:r>
      <w:proofErr w:type="spellStart"/>
      <w:r>
        <w:rPr>
          <w:rStyle w:val="Pogrubienie"/>
          <w:rFonts w:ascii="Arial" w:hAnsi="Arial" w:cs="Arial"/>
          <w:sz w:val="20"/>
          <w:szCs w:val="20"/>
        </w:rPr>
        <w:t>i</w:t>
      </w:r>
      <w:proofErr w:type="spellEnd"/>
      <w:r>
        <w:rPr>
          <w:rStyle w:val="Pogrubienie"/>
          <w:rFonts w:ascii="Arial" w:hAnsi="Arial" w:cs="Arial"/>
          <w:sz w:val="20"/>
          <w:szCs w:val="20"/>
        </w:rPr>
        <w:t xml:space="preserve"> </w:t>
      </w:r>
      <w:proofErr w:type="spellStart"/>
      <w:r>
        <w:rPr>
          <w:rStyle w:val="Pogrubienie"/>
          <w:rFonts w:ascii="Arial" w:hAnsi="Arial" w:cs="Arial"/>
          <w:sz w:val="20"/>
          <w:szCs w:val="20"/>
        </w:rPr>
        <w:t>prawa</w:t>
      </w:r>
      <w:proofErr w:type="spellEnd"/>
      <w:r>
        <w:rPr>
          <w:rStyle w:val="Pogrubienie"/>
          <w:rFonts w:ascii="Arial" w:hAnsi="Arial" w:cs="Arial"/>
          <w:sz w:val="20"/>
          <w:szCs w:val="20"/>
        </w:rPr>
        <w:t xml:space="preserve"> </w:t>
      </w:r>
      <w:proofErr w:type="spellStart"/>
      <w:r>
        <w:rPr>
          <w:rStyle w:val="Pogrubienie"/>
          <w:rFonts w:ascii="Arial" w:hAnsi="Arial" w:cs="Arial"/>
          <w:sz w:val="20"/>
          <w:szCs w:val="20"/>
        </w:rPr>
        <w:t>autorskie</w:t>
      </w:r>
      <w:proofErr w:type="spellEnd"/>
    </w:p>
    <w:p w14:paraId="40650396" w14:textId="77777777" w:rsidR="008D245F" w:rsidRDefault="008D245F">
      <w:pPr>
        <w:spacing w:beforeAutospacing="1" w:after="0" w:afterAutospacing="1"/>
        <w:rPr>
          <w:rFonts w:cs="Arial"/>
          <w:szCs w:val="20"/>
        </w:rPr>
      </w:pPr>
    </w:p>
    <w:p w14:paraId="5BE96B8A"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Wykonawca zapewnia, że wszelkie oprogramowanie, licencje, subskrypcje oraz inne elementy dostarczone w ramach Umowy będą pochodziły z legalnych źródeł, a Zamawiający uzyska uprawnienia do korzystania z nich w zakresie i przez okres wymagany Umową, OPZ oraz ofertą Wykonawcy.</w:t>
      </w:r>
    </w:p>
    <w:p w14:paraId="3AE2E934"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W odniesieniu do standardowego oprogramowania producentów lub innych podmiotów trzecich Zamawiający korzysta z niego na zasadach licencyjnych określonych przez producenta lub uprawniony podmiot. Wykonawca zobowiązany jest zapewnić Zamawiającemu wszystkie licencje, subskrypcje i inne uprawnienia niezbędne do korzystania z rozwiązania zgodnie z jego przeznaczeniem i wymaganiami OPZ, bez konieczności ponoszenia przez Zamawiającego dodatkowych kosztów w okresie objętym Umową.</w:t>
      </w:r>
    </w:p>
    <w:p w14:paraId="067C6733"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Z chwilą odbioru odpowiedniej części przedmiotu Umowy Wykonawca przenosi na Zamawiającego, w ramach wynagrodzenia określonego w Umowie, autorskie prawa majątkowe do utworów wytworzonych specjalnie na potrzeby realizacji Umowy, w szczególności dokumentacji projektowej i powykonawczej, schematów, instrukcji, procedur, opracowań oraz innych materiałów przygotowanych indywidualnie dla Zamawiającego.</w:t>
      </w:r>
    </w:p>
    <w:p w14:paraId="376592AA"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Przeniesienie autorskich praw majątkowych następuje bez ograniczeń terytorialnych i czasowych, na następujących polach eksploatacji:</w:t>
      </w:r>
    </w:p>
    <w:p w14:paraId="520BC288" w14:textId="77777777" w:rsidR="008D245F" w:rsidRPr="009B4752" w:rsidRDefault="00000000">
      <w:pPr>
        <w:pStyle w:val="NormalnyWeb"/>
        <w:numPr>
          <w:ilvl w:val="0"/>
          <w:numId w:val="10"/>
        </w:numPr>
        <w:rPr>
          <w:rFonts w:ascii="Arial" w:hAnsi="Arial" w:cs="Arial"/>
          <w:sz w:val="20"/>
          <w:szCs w:val="20"/>
          <w:lang w:val="pl-PL"/>
        </w:rPr>
      </w:pPr>
      <w:r w:rsidRPr="009B4752">
        <w:rPr>
          <w:rFonts w:ascii="Arial" w:hAnsi="Arial" w:cs="Arial"/>
          <w:sz w:val="20"/>
          <w:szCs w:val="20"/>
          <w:lang w:val="pl-PL"/>
        </w:rPr>
        <w:t>utrwalanie i zwielokrotnianie dowolną techniką, w tym w postaci elektronicznej;</w:t>
      </w:r>
    </w:p>
    <w:p w14:paraId="0C6872D2" w14:textId="77777777" w:rsidR="008D245F" w:rsidRPr="009B4752" w:rsidRDefault="00000000">
      <w:pPr>
        <w:pStyle w:val="NormalnyWeb"/>
        <w:numPr>
          <w:ilvl w:val="0"/>
          <w:numId w:val="10"/>
        </w:numPr>
        <w:rPr>
          <w:rFonts w:ascii="Arial" w:hAnsi="Arial" w:cs="Arial"/>
          <w:sz w:val="20"/>
          <w:szCs w:val="20"/>
          <w:lang w:val="pl-PL"/>
        </w:rPr>
      </w:pPr>
      <w:r w:rsidRPr="009B4752">
        <w:rPr>
          <w:rFonts w:ascii="Arial" w:hAnsi="Arial" w:cs="Arial"/>
          <w:sz w:val="20"/>
          <w:szCs w:val="20"/>
          <w:lang w:val="pl-PL"/>
        </w:rPr>
        <w:t>wprowadzanie do pamięci komputerów, serwerów, systemów informatycznych i innych urządzeń Zamawiającego;</w:t>
      </w:r>
    </w:p>
    <w:p w14:paraId="05ACD54C" w14:textId="77777777" w:rsidR="008D245F" w:rsidRPr="009B4752" w:rsidRDefault="00000000">
      <w:pPr>
        <w:pStyle w:val="NormalnyWeb"/>
        <w:numPr>
          <w:ilvl w:val="0"/>
          <w:numId w:val="10"/>
        </w:numPr>
        <w:rPr>
          <w:rFonts w:ascii="Arial" w:hAnsi="Arial" w:cs="Arial"/>
          <w:sz w:val="20"/>
          <w:szCs w:val="20"/>
          <w:lang w:val="pl-PL"/>
        </w:rPr>
      </w:pPr>
      <w:r w:rsidRPr="009B4752">
        <w:rPr>
          <w:rFonts w:ascii="Arial" w:hAnsi="Arial" w:cs="Arial"/>
          <w:sz w:val="20"/>
          <w:szCs w:val="20"/>
          <w:lang w:val="pl-PL"/>
        </w:rPr>
        <w:t>korzystanie na potrzeby działalności Zamawiającego, w tym eksploatacji, utrzymania, serwisowania, rozwoju i modernizacji infrastruktury;</w:t>
      </w:r>
    </w:p>
    <w:p w14:paraId="44A4AAD1" w14:textId="77777777" w:rsidR="008D245F" w:rsidRPr="009B4752" w:rsidRDefault="00000000">
      <w:pPr>
        <w:pStyle w:val="NormalnyWeb"/>
        <w:numPr>
          <w:ilvl w:val="0"/>
          <w:numId w:val="10"/>
        </w:numPr>
        <w:rPr>
          <w:rFonts w:ascii="Arial" w:hAnsi="Arial" w:cs="Arial"/>
          <w:sz w:val="20"/>
          <w:szCs w:val="20"/>
          <w:lang w:val="pl-PL"/>
        </w:rPr>
      </w:pPr>
      <w:r w:rsidRPr="009B4752">
        <w:rPr>
          <w:rFonts w:ascii="Arial" w:hAnsi="Arial" w:cs="Arial"/>
          <w:sz w:val="20"/>
          <w:szCs w:val="20"/>
          <w:lang w:val="pl-PL"/>
        </w:rPr>
        <w:t>dokonywanie zmian, aktualizacji, uzupełnień, adaptacji i innych modyfikacji;</w:t>
      </w:r>
    </w:p>
    <w:p w14:paraId="7FDC455F" w14:textId="77777777" w:rsidR="008D245F" w:rsidRPr="009B4752" w:rsidRDefault="00000000">
      <w:pPr>
        <w:pStyle w:val="NormalnyWeb"/>
        <w:numPr>
          <w:ilvl w:val="0"/>
          <w:numId w:val="10"/>
        </w:numPr>
        <w:rPr>
          <w:rFonts w:ascii="Arial" w:hAnsi="Arial" w:cs="Arial"/>
          <w:sz w:val="20"/>
          <w:szCs w:val="20"/>
          <w:lang w:val="pl-PL"/>
        </w:rPr>
      </w:pPr>
      <w:r w:rsidRPr="009B4752">
        <w:rPr>
          <w:rFonts w:ascii="Arial" w:hAnsi="Arial" w:cs="Arial"/>
          <w:sz w:val="20"/>
          <w:szCs w:val="20"/>
          <w:lang w:val="pl-PL"/>
        </w:rPr>
        <w:t xml:space="preserve">udostępnianie pracownikom, współpracownikom, audytorom, podmiotom świadczącym usługi serwisowe, informatyczne lub </w:t>
      </w:r>
      <w:proofErr w:type="spellStart"/>
      <w:r w:rsidRPr="009B4752">
        <w:rPr>
          <w:rFonts w:ascii="Arial" w:hAnsi="Arial" w:cs="Arial"/>
          <w:sz w:val="20"/>
          <w:szCs w:val="20"/>
          <w:lang w:val="pl-PL"/>
        </w:rPr>
        <w:t>cyberbezpieczeństwa</w:t>
      </w:r>
      <w:proofErr w:type="spellEnd"/>
      <w:r w:rsidRPr="009B4752">
        <w:rPr>
          <w:rFonts w:ascii="Arial" w:hAnsi="Arial" w:cs="Arial"/>
          <w:sz w:val="20"/>
          <w:szCs w:val="20"/>
          <w:lang w:val="pl-PL"/>
        </w:rPr>
        <w:t xml:space="preserve"> oraz innym podmiotom działającym na rzecz Zamawiającego – w zakresie niezbędnym do realizacji ich zadań.</w:t>
      </w:r>
    </w:p>
    <w:p w14:paraId="27DBA4CF"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Wraz z przeniesieniem autorskich praw majątkowych Wykonawca zezwala Zamawiającemu na wykonywanie oraz zezwalanie osobom trzecim na wykonywanie praw zależnych do utworów, o których mowa w ust. 3, w szczególności na ich modyfikowanie, rozwijanie, aktualizowanie i dostosowywanie do potrzeb Zamawiającego oraz korzystanie z tak powstałych opracowań i rozporządzanie nimi.</w:t>
      </w:r>
    </w:p>
    <w:p w14:paraId="6F401E2E"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Wykonawca oświadcza, że posiada lub najpóźniej w chwili przekazania danego utworu będzie posiadał prawa i uprawnienia niezbędne do wykonania obowiązków określonych w niniejszym paragrafie oraz że korzystanie przez Zamawiającego z przekazanych utworów w zakresie określonym Umową nie będzie naruszało praw osób trzecich.</w:t>
      </w:r>
    </w:p>
    <w:p w14:paraId="23AD738F"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Postanowienia dotyczące przeniesienia autorskich praw majątkowych nie dotyczą standardowego oprogramowania, bibliotek, komponentów, materiałów producentów ani innych utworów osób trzecich, do których Wykonawca nie posiada autorskich praw majątkowych. W takim przypadku Wykonawca zapewni Zamawiającemu prawo do korzystania z nich w zakresie niezbędnym do prawidłowej eksploatacji przedmiotu Umowy, zgodnie z właściwymi warunkami licencyjnymi.</w:t>
      </w:r>
    </w:p>
    <w:p w14:paraId="0E4914F7" w14:textId="77777777" w:rsidR="008D245F" w:rsidRPr="009B4752" w:rsidRDefault="00000000">
      <w:pPr>
        <w:pStyle w:val="NormalnyWeb"/>
        <w:numPr>
          <w:ilvl w:val="0"/>
          <w:numId w:val="9"/>
        </w:numPr>
        <w:rPr>
          <w:rFonts w:ascii="Arial" w:hAnsi="Arial" w:cs="Arial"/>
          <w:sz w:val="20"/>
          <w:szCs w:val="20"/>
          <w:lang w:val="pl-PL"/>
        </w:rPr>
      </w:pPr>
      <w:r w:rsidRPr="009B4752">
        <w:rPr>
          <w:rFonts w:ascii="Arial" w:hAnsi="Arial" w:cs="Arial"/>
          <w:sz w:val="20"/>
          <w:szCs w:val="20"/>
          <w:lang w:val="pl-PL"/>
        </w:rPr>
        <w:t>Wykonawca nie może zastosować w przygotowanej dla Zamawiającego dokumentacji lub innych indywidualnie wykonanych elementach takich ograniczeń prawnych lub licencyjnych, które uniemożliwiałyby Zamawiającemu ich samodzielne wykorzystanie, modyfikację lub przekazanie innemu wykonawcy w celu utrzymania, serwisowania, audytu, rozwoju lub modernizacji rozwiązania.</w:t>
      </w:r>
    </w:p>
    <w:p w14:paraId="05908E8D" w14:textId="77777777" w:rsidR="008D245F" w:rsidRPr="009B4752" w:rsidRDefault="008D245F">
      <w:pPr>
        <w:rPr>
          <w:rFonts w:cs="Arial"/>
          <w:szCs w:val="20"/>
          <w:lang w:val="pl-PL"/>
        </w:rPr>
      </w:pPr>
    </w:p>
    <w:p w14:paraId="0286C09F"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9. Poufność i bezpieczeństwo informacji</w:t>
      </w:r>
    </w:p>
    <w:p w14:paraId="4B05D8B6" w14:textId="77777777" w:rsidR="008D245F" w:rsidRPr="009B4752" w:rsidRDefault="00000000">
      <w:pPr>
        <w:rPr>
          <w:rFonts w:cs="Arial"/>
          <w:szCs w:val="20"/>
          <w:lang w:val="pl-PL"/>
        </w:rPr>
      </w:pPr>
      <w:r w:rsidRPr="009B4752">
        <w:rPr>
          <w:rFonts w:cs="Arial"/>
          <w:szCs w:val="20"/>
          <w:lang w:val="pl-PL"/>
        </w:rPr>
        <w:t>1. Wykonawca zachowa w poufności wszelkie niepubliczne informacje o systemach, sieci, zabezpieczeniach, podatnościach, konfiguracji, danych, użytkownikach i incydentach Zamawiającego.</w:t>
      </w:r>
    </w:p>
    <w:p w14:paraId="4E56FC5F" w14:textId="77777777" w:rsidR="008D245F" w:rsidRPr="009B4752" w:rsidRDefault="00000000">
      <w:pPr>
        <w:rPr>
          <w:rFonts w:cs="Arial"/>
          <w:szCs w:val="20"/>
          <w:lang w:val="pl-PL"/>
        </w:rPr>
      </w:pPr>
      <w:r w:rsidRPr="009B4752">
        <w:rPr>
          <w:rFonts w:cs="Arial"/>
          <w:szCs w:val="20"/>
          <w:lang w:val="pl-PL"/>
        </w:rPr>
        <w:lastRenderedPageBreak/>
        <w:t>2. Obowiązek poufności obowiązuje przez 5 lat po zakończeniu Umowy, a dla tajemnic prawnie chronionych – przez okres wynikający z przepisów.</w:t>
      </w:r>
    </w:p>
    <w:p w14:paraId="17F105BA" w14:textId="77777777" w:rsidR="008D245F" w:rsidRPr="009B4752" w:rsidRDefault="00000000">
      <w:pPr>
        <w:rPr>
          <w:rFonts w:cs="Arial"/>
          <w:szCs w:val="20"/>
          <w:lang w:val="pl-PL"/>
        </w:rPr>
      </w:pPr>
      <w:r w:rsidRPr="009B4752">
        <w:rPr>
          <w:rFonts w:cs="Arial"/>
          <w:szCs w:val="20"/>
          <w:lang w:val="pl-PL"/>
        </w:rPr>
        <w:t>3. Wykonawca zgłosi Zamawiającemu niezwłocznie, nie później niż w ciągu 4 godzin od stwierdzenia, incydent bezpieczeństwa związany z realizacją Umowy.</w:t>
      </w:r>
    </w:p>
    <w:p w14:paraId="06659F53"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10. Ochrona danych osobowych</w:t>
      </w:r>
    </w:p>
    <w:p w14:paraId="016F0D17" w14:textId="77777777" w:rsidR="008D245F" w:rsidRPr="009B4752" w:rsidRDefault="00000000">
      <w:pPr>
        <w:rPr>
          <w:rFonts w:cs="Arial"/>
          <w:szCs w:val="20"/>
          <w:lang w:val="pl-PL"/>
        </w:rPr>
      </w:pPr>
      <w:r w:rsidRPr="009B4752">
        <w:rPr>
          <w:rFonts w:cs="Arial"/>
          <w:szCs w:val="20"/>
          <w:lang w:val="pl-PL"/>
        </w:rPr>
        <w:t>Jeżeli realizacja Umowy będzie wymagała powierzenia przetwarzania danych osobowych, Strony zawrą odrębną umowę powierzenia zgodną z art. 28 RODO.</w:t>
      </w:r>
    </w:p>
    <w:p w14:paraId="6FBE5086"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11. Gwarancja, serwis i wsparcie</w:t>
      </w:r>
    </w:p>
    <w:p w14:paraId="01977567" w14:textId="77777777" w:rsidR="008D245F" w:rsidRPr="009B4752" w:rsidRDefault="00000000">
      <w:pPr>
        <w:rPr>
          <w:rFonts w:cs="Arial"/>
          <w:szCs w:val="20"/>
          <w:lang w:val="pl-PL"/>
        </w:rPr>
      </w:pPr>
      <w:r w:rsidRPr="009B4752">
        <w:rPr>
          <w:rFonts w:cs="Arial"/>
          <w:szCs w:val="20"/>
          <w:lang w:val="pl-PL"/>
        </w:rPr>
        <w:t>1. Okresy gwarancji i wsparcia wynikają z OPZ oraz oferty Wykonawcy.</w:t>
      </w:r>
    </w:p>
    <w:p w14:paraId="46CE3D5F" w14:textId="77777777" w:rsidR="008D245F" w:rsidRPr="009B4752" w:rsidRDefault="00000000">
      <w:pPr>
        <w:rPr>
          <w:rFonts w:cs="Arial"/>
          <w:szCs w:val="20"/>
          <w:lang w:val="pl-PL"/>
        </w:rPr>
      </w:pPr>
      <w:r w:rsidRPr="009B4752">
        <w:rPr>
          <w:rFonts w:cs="Arial"/>
          <w:szCs w:val="20"/>
          <w:lang w:val="pl-PL"/>
        </w:rPr>
        <w:t>2. Gwarancja dla serwera fizycznego wynosi [●] miesięcy, nie mniej niż 24 miesiące.</w:t>
      </w:r>
    </w:p>
    <w:p w14:paraId="0E60D317" w14:textId="77777777" w:rsidR="008D245F" w:rsidRPr="009B4752" w:rsidRDefault="00000000">
      <w:pPr>
        <w:rPr>
          <w:rFonts w:cs="Arial"/>
          <w:szCs w:val="20"/>
          <w:lang w:val="pl-PL"/>
        </w:rPr>
      </w:pPr>
      <w:r w:rsidRPr="009B4752">
        <w:rPr>
          <w:rFonts w:cs="Arial"/>
          <w:szCs w:val="20"/>
          <w:lang w:val="pl-PL"/>
        </w:rPr>
        <w:t>3. Pełne wsparcie producenta/subskrypcje dla UTM/NGFW wynoszą [●] miesięcy, nie mniej niż 36 miesięcy.</w:t>
      </w:r>
    </w:p>
    <w:p>
      <w:pPr/>
      <w:r>
        <w:t>4. Okres gwarancji na serwer i inne elementy sprzętowe, a także okres wsparcia producenta, rozpoczyna bieg w dniu podpisania protokołu odbioru końcowego; dla sprzętu objętego odmiennym, korzystniejszym terminem określonym w OPZ stosuje się ten termin. Minimalne okresy wynikające z OPZ pozostają wiążące, w tym gwarancje dłuższe niż 24 miesiące oraz gwarancje lifetime.</w:t>
      </w:r>
    </w:p>
    <w:p>
      <w:pPr/>
      <w:r>
        <w:t>5. Pełny okres subskrypcji i licencji terminowych, w tym deklarowane wsparcie dla wszystkich UTM/NGFW, musi przysługiwać Zamawiającemu od dnia podpisania protokołu odbioru końcowego. Aktywację techniczną uzgadnia się z Zamawiającym; wcześniejsza aktywacja nie może uszczuplać tego okresu i wymaga zapewnienia na koszt Wykonawcy odpowiedniego przedłużenia. Wykonawca przedkłada dokumenty producenta lub inne wiarygodne potwierdzenia początku i końca obowiązywania uprawnień.</w:t>
      </w:r>
    </w:p>
    <w:p w14:paraId="41EEF2C2"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12. Kary umowne</w:t>
      </w:r>
    </w:p>
    <w:p w14:paraId="2895B9E0" w14:textId="77777777" w:rsidR="008D245F" w:rsidRPr="009B4752" w:rsidRDefault="00000000">
      <w:pPr>
        <w:rPr>
          <w:rFonts w:cs="Arial"/>
          <w:szCs w:val="20"/>
          <w:lang w:val="pl-PL"/>
        </w:rPr>
      </w:pPr>
      <w:r w:rsidRPr="009B4752">
        <w:rPr>
          <w:rFonts w:cs="Arial"/>
          <w:szCs w:val="20"/>
          <w:lang w:val="pl-PL"/>
        </w:rPr>
        <w:t>1. Wykonawca zapłaci Zamawiającemu kary umowne:</w:t>
      </w:r>
    </w:p>
    <w:p w14:paraId="1364E13F" w14:textId="77777777" w:rsidR="008D245F" w:rsidRPr="009B4752" w:rsidRDefault="00000000">
      <w:pPr>
        <w:pStyle w:val="Listapunktowana"/>
        <w:rPr>
          <w:rFonts w:cs="Arial"/>
          <w:szCs w:val="20"/>
          <w:lang w:val="pl-PL"/>
        </w:rPr>
      </w:pPr>
      <w:r w:rsidRPr="009B4752">
        <w:rPr>
          <w:rFonts w:cs="Arial"/>
          <w:szCs w:val="20"/>
          <w:lang w:val="pl-PL"/>
        </w:rPr>
        <w:t>za zwłokę w wykonaniu terminu końcowego – 0,05% wynagrodzenia brutto za każdy rozpoczęty dzień zwłoki;</w:t>
      </w:r>
    </w:p>
    <w:p w14:paraId="33446F3E" w14:textId="77777777" w:rsidR="008D245F" w:rsidRPr="009B4752" w:rsidRDefault="00000000">
      <w:pPr>
        <w:pStyle w:val="Listapunktowana"/>
        <w:rPr>
          <w:rFonts w:cs="Arial"/>
          <w:szCs w:val="20"/>
          <w:lang w:val="pl-PL"/>
        </w:rPr>
      </w:pPr>
      <w:r>
        <w:t>za zwłokę w usunięciu wad zgłoszonych w protokole odbioru lub w okresie gwarancji albo rękojmi – 0,03% wynagrodzenia brutto za każdy rozpoczęty dzień zwłoki, liczony od dnia następującego po upływie terminu usunięcia danej wady wyznaczonego zgodnie z § 7 (postanowienia o usuwaniu wad) albo terminów wynikających z OPZ lub dokumentu gwarancyjnego; jeżeli termin określono w dniach roboczych, bieg zwłoki rozpoczyna się po upływie ostatniego dnia roboczego tego terminu;</w:t>
      </w:r>
    </w:p>
    <w:p w14:paraId="7F9F6AE3" w14:textId="77777777" w:rsidR="008D245F" w:rsidRPr="009B4752" w:rsidRDefault="00000000">
      <w:pPr>
        <w:pStyle w:val="Listapunktowana"/>
        <w:rPr>
          <w:rFonts w:cs="Arial"/>
          <w:szCs w:val="20"/>
          <w:lang w:val="pl-PL"/>
        </w:rPr>
      </w:pPr>
      <w:r w:rsidRPr="009B4752">
        <w:rPr>
          <w:rFonts w:cs="Arial"/>
          <w:szCs w:val="20"/>
          <w:lang w:val="pl-PL"/>
        </w:rPr>
        <w:t>za odstąpienie od Umowy z przyczyn leżących po stronie Wykonawcy – 10% wynagrodzenia brutto;</w:t>
      </w:r>
    </w:p>
    <w:p w14:paraId="2A70A5D5" w14:textId="77777777" w:rsidR="008D245F" w:rsidRPr="009B4752" w:rsidRDefault="00000000">
      <w:pPr>
        <w:pStyle w:val="Listapunktowana"/>
        <w:rPr>
          <w:rFonts w:cs="Arial"/>
          <w:szCs w:val="20"/>
          <w:lang w:val="pl-PL"/>
        </w:rPr>
      </w:pPr>
      <w:r w:rsidRPr="009B4752">
        <w:rPr>
          <w:rFonts w:cs="Arial"/>
          <w:szCs w:val="20"/>
          <w:lang w:val="pl-PL"/>
        </w:rPr>
        <w:t>za naruszenie obowiązków poufności lub bezpieczeństwa informacji – 5 000 zł za każde stwierdzone naruszenie.</w:t>
      </w:r>
    </w:p>
    <w:p w14:paraId="3ECC57A8" w14:textId="77777777" w:rsidR="008D245F" w:rsidRDefault="00000000">
      <w:pPr>
        <w:numPr>
          <w:ilvl w:val="0"/>
          <w:numId w:val="11"/>
        </w:numPr>
        <w:rPr>
          <w:rFonts w:cs="Arial"/>
          <w:szCs w:val="20"/>
        </w:rPr>
      </w:pPr>
      <w:r w:rsidRPr="009B4752">
        <w:rPr>
          <w:rFonts w:cs="Arial"/>
          <w:szCs w:val="20"/>
          <w:lang w:val="pl-PL"/>
        </w:rPr>
        <w:t xml:space="preserve">Łączna wysokość kar nie może przekroczyć 20% wynagrodzenia brutto. </w:t>
      </w:r>
      <w:proofErr w:type="spellStart"/>
      <w:r>
        <w:rPr>
          <w:rFonts w:cs="Arial"/>
          <w:szCs w:val="20"/>
        </w:rPr>
        <w:t>Zamawiający</w:t>
      </w:r>
      <w:proofErr w:type="spellEnd"/>
      <w:r>
        <w:rPr>
          <w:rFonts w:cs="Arial"/>
          <w:szCs w:val="20"/>
        </w:rPr>
        <w:t xml:space="preserve"> </w:t>
      </w:r>
      <w:proofErr w:type="spellStart"/>
      <w:r>
        <w:rPr>
          <w:rFonts w:cs="Arial"/>
          <w:szCs w:val="20"/>
        </w:rPr>
        <w:t>może</w:t>
      </w:r>
      <w:proofErr w:type="spellEnd"/>
      <w:r>
        <w:rPr>
          <w:rFonts w:cs="Arial"/>
          <w:szCs w:val="20"/>
        </w:rPr>
        <w:t xml:space="preserve"> </w:t>
      </w:r>
      <w:proofErr w:type="spellStart"/>
      <w:r>
        <w:rPr>
          <w:rFonts w:cs="Arial"/>
          <w:szCs w:val="20"/>
        </w:rPr>
        <w:t>dochodzić</w:t>
      </w:r>
      <w:proofErr w:type="spellEnd"/>
      <w:r>
        <w:rPr>
          <w:rFonts w:cs="Arial"/>
          <w:szCs w:val="20"/>
        </w:rPr>
        <w:t xml:space="preserve"> </w:t>
      </w:r>
      <w:proofErr w:type="spellStart"/>
      <w:r>
        <w:rPr>
          <w:rFonts w:cs="Arial"/>
          <w:szCs w:val="20"/>
        </w:rPr>
        <w:t>odszkodowania</w:t>
      </w:r>
      <w:proofErr w:type="spellEnd"/>
      <w:r>
        <w:rPr>
          <w:rFonts w:cs="Arial"/>
          <w:szCs w:val="20"/>
        </w:rPr>
        <w:t xml:space="preserve"> </w:t>
      </w:r>
      <w:proofErr w:type="spellStart"/>
      <w:r>
        <w:rPr>
          <w:rFonts w:cs="Arial"/>
          <w:szCs w:val="20"/>
        </w:rPr>
        <w:t>przewyższającego</w:t>
      </w:r>
      <w:proofErr w:type="spellEnd"/>
      <w:r>
        <w:rPr>
          <w:rFonts w:cs="Arial"/>
          <w:szCs w:val="20"/>
        </w:rPr>
        <w:t xml:space="preserve"> </w:t>
      </w:r>
      <w:proofErr w:type="spellStart"/>
      <w:r>
        <w:rPr>
          <w:rFonts w:cs="Arial"/>
          <w:szCs w:val="20"/>
        </w:rPr>
        <w:t>kary</w:t>
      </w:r>
      <w:proofErr w:type="spellEnd"/>
      <w:r>
        <w:rPr>
          <w:rFonts w:cs="Arial"/>
          <w:szCs w:val="20"/>
        </w:rPr>
        <w:t xml:space="preserve"> </w:t>
      </w:r>
      <w:proofErr w:type="spellStart"/>
      <w:r>
        <w:rPr>
          <w:rFonts w:cs="Arial"/>
          <w:szCs w:val="20"/>
        </w:rPr>
        <w:t>na</w:t>
      </w:r>
      <w:proofErr w:type="spellEnd"/>
      <w:r>
        <w:rPr>
          <w:rFonts w:cs="Arial"/>
          <w:szCs w:val="20"/>
        </w:rPr>
        <w:t xml:space="preserve"> </w:t>
      </w:r>
      <w:proofErr w:type="spellStart"/>
      <w:r>
        <w:rPr>
          <w:rFonts w:cs="Arial"/>
          <w:szCs w:val="20"/>
        </w:rPr>
        <w:t>zasadach</w:t>
      </w:r>
      <w:proofErr w:type="spellEnd"/>
      <w:r>
        <w:rPr>
          <w:rFonts w:cs="Arial"/>
          <w:szCs w:val="20"/>
        </w:rPr>
        <w:t xml:space="preserve"> </w:t>
      </w:r>
      <w:proofErr w:type="spellStart"/>
      <w:r>
        <w:rPr>
          <w:rFonts w:cs="Arial"/>
          <w:szCs w:val="20"/>
        </w:rPr>
        <w:t>ogólnych</w:t>
      </w:r>
      <w:proofErr w:type="spellEnd"/>
      <w:r>
        <w:rPr>
          <w:rFonts w:cs="Arial"/>
          <w:szCs w:val="20"/>
        </w:rPr>
        <w:t>.</w:t>
      </w:r>
    </w:p>
    <w:p w14:paraId="36198B90" w14:textId="77777777" w:rsidR="008D245F" w:rsidRPr="009B4752" w:rsidRDefault="008D245F">
      <w:pPr>
        <w:rPr>
          <w:rFonts w:cs="Arial"/>
          <w:szCs w:val="20"/>
          <w:lang w:val="pl-PL"/>
        </w:rPr>
      </w:pPr>
    </w:p>
    <w:p w14:paraId="3E3EB9A4"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13. Zabezpieczenie należytego wykonania Umowy</w:t>
      </w:r>
    </w:p>
    <w:p w14:paraId="34D2ACF1" w14:textId="77777777" w:rsidR="008D245F" w:rsidRPr="009B4752" w:rsidRDefault="00000000">
      <w:pPr>
        <w:rPr>
          <w:rFonts w:cs="Arial"/>
          <w:szCs w:val="20"/>
          <w:lang w:val="pl-PL"/>
        </w:rPr>
      </w:pPr>
      <w:r w:rsidRPr="009B4752">
        <w:rPr>
          <w:rFonts w:cs="Arial"/>
          <w:szCs w:val="20"/>
          <w:lang w:val="pl-PL"/>
        </w:rPr>
        <w:t>1. Wykonawca wnosi zabezpieczenie w wysokości 5% wynagrodzenia brutto.</w:t>
      </w:r>
    </w:p>
    <w:p w14:paraId="660B72F0" w14:textId="77777777" w:rsidR="008D245F" w:rsidRPr="009B4752" w:rsidRDefault="00000000">
      <w:pPr>
        <w:rPr>
          <w:rFonts w:cs="Arial"/>
          <w:szCs w:val="20"/>
          <w:lang w:val="pl-PL"/>
        </w:rPr>
      </w:pPr>
      <w:r w:rsidRPr="009B4752">
        <w:rPr>
          <w:rFonts w:cs="Arial"/>
          <w:szCs w:val="20"/>
          <w:lang w:val="pl-PL"/>
        </w:rPr>
        <w:t>2. Zamawiający zwróci Wykonawcy 70% wniesionego zabezpieczenia w terminie 30 dni od dnia wykonania zamówienia i uznania go przez Zamawiającego za należycie wykonane, potwierdzonego protokołem odbioru końcowego. Pozostałe 30% zabezpieczenia Zamawiający pozostawi na zabezpieczenie roszczeń z tytułu rękojmi za wady przez okres 24 miesięcy, liczony od dnia podpisania protokołu odbioru końcowego.</w:t>
      </w:r>
      <w:proofErr w:type="spellStart"/>
      <w:r w:rsidRPr="009B4752">
        <w:rPr>
          <w:rFonts w:cs="Arial"/>
          <w:szCs w:val="20"/>
          <w:lang w:val="pl-PL"/>
        </w:rPr>
      </w:r>
      <w:proofErr w:type="spellEnd"/>
      <w:r w:rsidRPr="009B4752">
        <w:rPr>
          <w:rFonts w:cs="Arial"/>
          <w:szCs w:val="20"/>
          <w:lang w:val="pl-PL"/>
        </w:rPr>
      </w:r>
    </w:p>
    <w:p w14:paraId="207A53C5" w14:textId="77777777" w:rsidR="008D245F" w:rsidRDefault="00000000">
      <w:pPr>
        <w:rPr>
          <w:rFonts w:cs="Arial"/>
          <w:szCs w:val="20"/>
          <w:lang w:val="pl-PL"/>
        </w:rPr>
      </w:pPr>
      <w:r>
        <w:rPr>
          <w:rFonts w:cs="Arial"/>
          <w:szCs w:val="20"/>
          <w:lang w:val="pl-PL"/>
        </w:rPr>
        <w:t>3. Pozostałe 30% zabezpieczenia zostanie zwrócone Wykonawcy nie później niż w 15. dniu po upływie 24-miesięcznego okresu rękojmi za wady, o którym mowa w ust. 2, zgodnie z art. 453 ust. 2 i 3 Pzp. Okres utrzymywania tej części zabezpieczenia nie jest przedłużany przez dłuższe okresy gwarancji producentów (w tym gwarancję typu lifetime), wsparcia, serwisu ani subskrypcji. Zwrot zabezpieczenia nie uchyla ani nie ogranicza wynikających z Umowy, OPZ i oferty Wykonawcy obowiązków gwarancyjnych oraz innych uprawnień Zamawiającego.</w:t>
      </w:r>
      <w:r w:rsidRPr="009B4752">
        <w:rPr>
          <w:rFonts w:cs="Arial"/>
          <w:szCs w:val="20"/>
          <w:lang w:val="pl-PL"/>
        </w:rPr>
      </w:r>
    </w:p>
    <w:p w14:paraId="7CFF201F"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14. Zmiany Umowy</w:t>
      </w:r>
    </w:p>
    <w:p w14:paraId="1A41652D" w14:textId="77777777" w:rsidR="008D245F" w:rsidRPr="009B4752" w:rsidRDefault="00000000">
      <w:pPr>
        <w:rPr>
          <w:rFonts w:cs="Arial"/>
          <w:szCs w:val="20"/>
          <w:lang w:val="pl-PL"/>
        </w:rPr>
      </w:pPr>
      <w:r>
        <w:t>1. Dopuszcza się zmianę Umowy w zakresie i na warunkach określonych poniżej, zgodnie z art. 455 ust. 1 pkt 1 Pzp, o ile zmiana nie modyfikuje ogólnego charakteru Umowy. Pozostałe zmiany mogą nastąpić wyłącznie w granicach innych przesłanek art. 455 Pzp, po ich udokumentowaniu.</w:t>
      </w:r>
    </w:p>
    <w:p w14:paraId="7295F1EB" w14:textId="77777777" w:rsidR="008D245F" w:rsidRPr="009B4752" w:rsidRDefault="00000000">
      <w:pPr>
        <w:pStyle w:val="Listapunktowana"/>
        <w:rPr>
          <w:rFonts w:cs="Arial"/>
          <w:szCs w:val="20"/>
          <w:lang w:val="pl-PL"/>
        </w:rPr>
      </w:pPr>
      <w:r>
        <w:t>2. W razie udokumentowanego zakończenia produkcji, wycofania ze sprzedaży lub trwałej niedostępności oferowanego modelu dopuszcza się zastąpienie go modelem o parametrach, funkcjonalności, gwarancji i interoperacyjności nie gorszych od wymaganych i oferowanych, bez zwiększenia wynagrodzenia i bez zmiany zakresu funkcjonalnego; Wykonawca przedstawia dokumenty porównawcze do pisemnej akceptacji Zamawiającego.</w:t>
      </w:r>
    </w:p>
    <w:p w14:paraId="007BF410" w14:textId="77777777" w:rsidR="008D245F" w:rsidRPr="009B4752" w:rsidRDefault="00000000">
      <w:pPr>
        <w:pStyle w:val="Listapunktowana"/>
        <w:rPr>
          <w:rFonts w:cs="Arial"/>
          <w:szCs w:val="20"/>
          <w:lang w:val="pl-PL"/>
        </w:rPr>
      </w:pPr>
      <w:r>
        <w:t>3. Zmiana wersji oprogramowania, modelu licencjonowania lub sposobu świadczenia usługi chmurowej jest dopuszczalna, jeżeli jest obiektywnie uzasadniona zmianą oferty producenta albo rozwiązaniem problemu technicznego, zapewnia co najmniej niezmienione funkcje, bezpieczeństwo, okres licencji i dostępność danych, nie zwiększa kosztów Zamawiającego i zostanie wykazana analizą porównawczą.</w:t>
      </w:r>
    </w:p>
    <w:p w14:paraId="1C32304C" w14:textId="77777777" w:rsidR="008D245F" w:rsidRPr="009B4752" w:rsidRDefault="00000000">
      <w:pPr>
        <w:pStyle w:val="Listapunktowana"/>
        <w:rPr>
          <w:rFonts w:cs="Arial"/>
          <w:szCs w:val="20"/>
          <w:lang w:val="pl-PL"/>
        </w:rPr>
      </w:pPr>
      <w:r>
        <w:t>4. Termin lub harmonogram może zostać zmieniony wyłącznie w zakresie i o czas bezpośrednio wynikający z udokumentowanej przeszkody niezależnej od Wykonawcy (siła wyższa, decyzja właściwego organu, zmiana wiążących warunków finansowania), pod warunkiem niezwłocznego zawiadomienia Zamawiającego i wykazania wpływu na ścieżkę krytyczną. Sama trudność z pozyskaniem sprzętu nie uprawnia automatycznie do zmiany. Zmiana nie może naruszać terminu kwalifikowalności wydatków ani warunków projektu.</w:t>
      </w:r>
    </w:p>
    <w:p w14:paraId="3BB31DD5" w14:textId="77777777" w:rsidR="008D245F" w:rsidRPr="009B4752" w:rsidRDefault="00000000">
      <w:pPr>
        <w:pStyle w:val="Listapunktowana"/>
        <w:rPr>
          <w:rFonts w:cs="Arial"/>
          <w:szCs w:val="20"/>
          <w:lang w:val="pl-PL"/>
        </w:rPr>
      </w:pPr>
      <w:r>
        <w:t>5. Zmiana przepisów prawa lub obowiązkowych wymagań cyberbezpieczeństwa dopuszcza niezbędną zmianę sposobu realizacji, o ile zakres ogranicza się do dostosowania do nowych wymogów, nie obniża bezpieczeństwa ani nie zmienia ogólnego charakteru Umowy. Skutki finansowe wymagają odrębnej podstawy prawnej wynikającej z art. 455 Pzp.</w:t>
      </w:r>
    </w:p>
    <w:p w14:paraId="7DDEE792" w14:textId="77777777" w:rsidR="008D245F" w:rsidRPr="009B4752" w:rsidRDefault="00000000">
      <w:pPr>
        <w:pStyle w:val="Listapunktowana"/>
        <w:rPr>
          <w:rFonts w:cs="Arial"/>
          <w:szCs w:val="20"/>
          <w:lang w:val="pl-PL"/>
        </w:rPr>
      </w:pPr>
      <w:r>
        <w:t>6. Zmiana personelu kluczowego jest dopuszczalna po wykazaniu, że osoba zastępująca spełnia warunki nie niższe od postawionych pierwotnie, w tym wymagania związane z kryteriami oceny ofert, jeśli dotyczy; wymaga uprzedniej pisemnej akceptacji Zamawiającego.</w:t>
      </w:r>
    </w:p>
    <w:p w14:paraId="18A96615" w14:textId="77777777" w:rsidR="008D245F" w:rsidRPr="009B4752" w:rsidRDefault="00000000">
      <w:pPr>
        <w:pStyle w:val="Listapunktowana"/>
        <w:rPr>
          <w:rFonts w:cs="Arial"/>
          <w:szCs w:val="20"/>
          <w:lang w:val="pl-PL"/>
        </w:rPr>
      </w:pPr>
      <w:r>
        <w:t>7. W razie ustawowej zmiany stawki VAT zmienia się kwota podatku i wynagrodzenie brutto dla części świadczenia objętej nową stawką, przy zachowaniu wynagrodzenia netto, chyba że bezwzględnie obowiązujące przepisy wymagają innego rozliczenia. Każda zmiana wymaga przedłożenia uzasadnienia i dokumentów potwierdzających przesłanki oraz aneksu w formie wymaganej dla Umowy; żadna ze zmian nie może prowadzić do obejścia przepisów Pzp.</w:t>
      </w:r>
    </w:p>
    <w:p w14:paraId="5AD0D754" w14:textId="77777777" w:rsidR="008D245F" w:rsidRPr="009B4752" w:rsidRDefault="008D245F">
      <w:pPr>
        <w:pStyle w:val="Listapunktowana"/>
        <w:numPr>
          <w:ilvl w:val="0"/>
          <w:numId w:val="0"/>
        </w:numPr>
        <w:rPr>
          <w:rFonts w:cs="Arial"/>
          <w:szCs w:val="20"/>
          <w:lang w:val="pl-PL"/>
        </w:rPr>
      </w:pPr>
    </w:p>
    <w:p w14:paraId="1C8F2D81" w14:textId="77777777" w:rsidR="008D245F" w:rsidRPr="009B4752" w:rsidRDefault="008D245F">
      <w:pPr>
        <w:spacing w:beforeAutospacing="1" w:after="0" w:afterAutospacing="1"/>
        <w:ind w:left="1080"/>
        <w:rPr>
          <w:rFonts w:cs="Arial"/>
          <w:szCs w:val="20"/>
          <w:lang w:val="pl-PL"/>
        </w:rPr>
      </w:pPr>
    </w:p>
    <w:p w14:paraId="50023DA3" w14:textId="77777777" w:rsidR="008D245F" w:rsidRDefault="008D245F">
      <w:pPr>
        <w:pStyle w:val="Listapunktowana"/>
        <w:numPr>
          <w:ilvl w:val="0"/>
          <w:numId w:val="0"/>
        </w:numPr>
        <w:rPr>
          <w:rFonts w:cs="Arial"/>
          <w:szCs w:val="20"/>
          <w:lang w:val="pl-PL"/>
        </w:rPr>
      </w:pPr>
    </w:p>
    <w:p w14:paraId="18FEB617"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lastRenderedPageBreak/>
        <w:t>§ 15. Odstąpienie i rozwiązanie Umowy</w:t>
      </w:r>
    </w:p>
    <w:p w14:paraId="4BDEC774" w14:textId="77777777" w:rsidR="008D245F" w:rsidRPr="009B4752" w:rsidRDefault="00000000">
      <w:pPr>
        <w:rPr>
          <w:rFonts w:cs="Arial"/>
          <w:szCs w:val="20"/>
          <w:lang w:val="pl-PL"/>
        </w:rPr>
      </w:pPr>
      <w:r w:rsidRPr="009B4752">
        <w:rPr>
          <w:rFonts w:cs="Arial"/>
          <w:szCs w:val="20"/>
          <w:lang w:val="pl-PL"/>
        </w:rPr>
        <w:t xml:space="preserve">Zamawiający może odstąpić od Umowy lub ją rozwiązać w przypadkach przewidzianych w </w:t>
      </w:r>
      <w:proofErr w:type="spellStart"/>
      <w:r w:rsidRPr="009B4752">
        <w:rPr>
          <w:rFonts w:cs="Arial"/>
          <w:szCs w:val="20"/>
          <w:lang w:val="pl-PL"/>
        </w:rPr>
        <w:t>Pzp</w:t>
      </w:r>
      <w:proofErr w:type="spellEnd"/>
      <w:r w:rsidRPr="009B4752">
        <w:rPr>
          <w:rFonts w:cs="Arial"/>
          <w:szCs w:val="20"/>
          <w:lang w:val="pl-PL"/>
        </w:rPr>
        <w:t>, Kodeksie cywilnym oraz w razie istotnego i uporczywego naruszania obowiązków bezpieczeństwa lub zwłoki zagrażającej realizacji projektu, po uprzednim wezwaniu do usunięcia naruszenia, jeżeli jest to możliwe.</w:t>
      </w:r>
    </w:p>
    <w:p w14:paraId="7BC9F749" w14:textId="77777777" w:rsidR="008D245F" w:rsidRPr="009B4752" w:rsidRDefault="00000000">
      <w:pPr>
        <w:pStyle w:val="Nagwek1"/>
        <w:rPr>
          <w:rFonts w:ascii="Arial" w:hAnsi="Arial" w:cs="Arial"/>
          <w:sz w:val="20"/>
          <w:szCs w:val="20"/>
          <w:lang w:val="pl-PL"/>
        </w:rPr>
      </w:pPr>
      <w:r w:rsidRPr="009B4752">
        <w:rPr>
          <w:rFonts w:ascii="Arial" w:hAnsi="Arial" w:cs="Arial"/>
          <w:sz w:val="20"/>
          <w:szCs w:val="20"/>
          <w:lang w:val="pl-PL"/>
        </w:rPr>
        <w:t>§ 16. Postanowienia końcowe</w:t>
      </w:r>
    </w:p>
    <w:p w14:paraId="539E5F28" w14:textId="77777777" w:rsidR="008D245F" w:rsidRPr="009B4752" w:rsidRDefault="00000000">
      <w:pPr>
        <w:rPr>
          <w:rFonts w:cs="Arial"/>
          <w:szCs w:val="20"/>
          <w:lang w:val="pl-PL"/>
        </w:rPr>
      </w:pPr>
      <w:r w:rsidRPr="009B4752">
        <w:rPr>
          <w:rFonts w:cs="Arial"/>
          <w:szCs w:val="20"/>
          <w:lang w:val="pl-PL"/>
        </w:rPr>
        <w:t xml:space="preserve">W sprawach nieuregulowanych stosuje się </w:t>
      </w:r>
      <w:proofErr w:type="spellStart"/>
      <w:r w:rsidRPr="009B4752">
        <w:rPr>
          <w:rFonts w:cs="Arial"/>
          <w:szCs w:val="20"/>
          <w:lang w:val="pl-PL"/>
        </w:rPr>
        <w:t>Pzp</w:t>
      </w:r>
      <w:proofErr w:type="spellEnd"/>
      <w:r w:rsidRPr="009B4752">
        <w:rPr>
          <w:rFonts w:cs="Arial"/>
          <w:szCs w:val="20"/>
          <w:lang w:val="pl-PL"/>
        </w:rPr>
        <w:t>, Kodeks cywilny oraz właściwe przepisy prawa.</w:t>
      </w:r>
    </w:p>
    <w:tbl>
      <w:tblPr>
        <w:tblW w:w="0" w:type="auto"/>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ook w:val="04A0" w:firstRow="1" w:lastRow="0" w:firstColumn="1" w:lastColumn="0" w:noHBand="0" w:noVBand="1"/>
      </w:tblPr>
      <w:tblGrid>
        <w:gridCol w:w="4535"/>
        <w:gridCol w:w="4535"/>
      </w:tblGrid>
      <w:tr w:rsidR="008D245F" w14:paraId="09214EF4" w14:textId="77777777">
        <w:trPr>
          <w:tblHeader/>
          <w:jc w:val="center"/>
        </w:trPr>
        <w:tc>
          <w:tcPr>
            <w:tcW w:w="4535" w:type="dxa"/>
            <w:shd w:val="clear" w:color="auto" w:fill="1F4E78"/>
            <w:tcMar>
              <w:top w:w="70" w:type="dxa"/>
              <w:left w:w="80" w:type="dxa"/>
              <w:bottom w:w="70" w:type="dxa"/>
              <w:right w:w="80" w:type="dxa"/>
            </w:tcMar>
          </w:tcPr>
          <w:p w14:paraId="77BB8719" w14:textId="77777777" w:rsidR="008D245F" w:rsidRDefault="00000000">
            <w:pPr>
              <w:rPr>
                <w:rFonts w:cs="Arial"/>
                <w:szCs w:val="20"/>
              </w:rPr>
            </w:pPr>
            <w:r>
              <w:rPr>
                <w:rFonts w:cs="Arial"/>
                <w:b/>
                <w:color w:val="FFFFFF"/>
                <w:szCs w:val="20"/>
              </w:rPr>
              <w:t>ZAMAWIAJĄCY</w:t>
            </w:r>
          </w:p>
        </w:tc>
        <w:tc>
          <w:tcPr>
            <w:tcW w:w="4535" w:type="dxa"/>
            <w:shd w:val="clear" w:color="auto" w:fill="1F4E78"/>
            <w:tcMar>
              <w:top w:w="70" w:type="dxa"/>
              <w:left w:w="80" w:type="dxa"/>
              <w:bottom w:w="70" w:type="dxa"/>
              <w:right w:w="80" w:type="dxa"/>
            </w:tcMar>
          </w:tcPr>
          <w:p w14:paraId="39CA1F46" w14:textId="77777777" w:rsidR="008D245F" w:rsidRDefault="00000000">
            <w:pPr>
              <w:rPr>
                <w:rFonts w:cs="Arial"/>
                <w:szCs w:val="20"/>
              </w:rPr>
            </w:pPr>
            <w:r>
              <w:rPr>
                <w:rFonts w:cs="Arial"/>
                <w:b/>
                <w:color w:val="FFFFFF"/>
                <w:szCs w:val="20"/>
              </w:rPr>
              <w:t>WYKONAWCA</w:t>
            </w:r>
          </w:p>
        </w:tc>
      </w:tr>
      <w:tr w:rsidR="008D245F" w14:paraId="19D3BE60" w14:textId="77777777">
        <w:trPr>
          <w:jc w:val="center"/>
        </w:trPr>
        <w:tc>
          <w:tcPr>
            <w:tcW w:w="4535" w:type="dxa"/>
            <w:tcMar>
              <w:top w:w="60" w:type="dxa"/>
              <w:left w:w="70" w:type="dxa"/>
              <w:bottom w:w="60" w:type="dxa"/>
              <w:right w:w="70" w:type="dxa"/>
            </w:tcMar>
          </w:tcPr>
          <w:p w14:paraId="237B1C6A" w14:textId="77777777" w:rsidR="008D245F" w:rsidRDefault="00000000">
            <w:pPr>
              <w:rPr>
                <w:rFonts w:cs="Arial"/>
                <w:szCs w:val="20"/>
              </w:rPr>
            </w:pPr>
            <w:r>
              <w:rPr>
                <w:rFonts w:cs="Arial"/>
                <w:szCs w:val="20"/>
              </w:rPr>
              <w:t>........................................................</w:t>
            </w:r>
          </w:p>
        </w:tc>
        <w:tc>
          <w:tcPr>
            <w:tcW w:w="4535" w:type="dxa"/>
            <w:tcMar>
              <w:top w:w="60" w:type="dxa"/>
              <w:left w:w="70" w:type="dxa"/>
              <w:bottom w:w="60" w:type="dxa"/>
              <w:right w:w="70" w:type="dxa"/>
            </w:tcMar>
          </w:tcPr>
          <w:p w14:paraId="4261C5A5" w14:textId="77777777" w:rsidR="008D245F" w:rsidRDefault="00000000">
            <w:pPr>
              <w:rPr>
                <w:rFonts w:cs="Arial"/>
                <w:szCs w:val="20"/>
              </w:rPr>
            </w:pPr>
            <w:r>
              <w:rPr>
                <w:rFonts w:cs="Arial"/>
                <w:szCs w:val="20"/>
              </w:rPr>
              <w:t>........................................................</w:t>
            </w:r>
          </w:p>
        </w:tc>
      </w:tr>
    </w:tbl>
    <w:p w14:paraId="31938B82" w14:textId="77777777" w:rsidR="008D245F" w:rsidRDefault="008D245F">
      <w:pPr>
        <w:rPr>
          <w:rFonts w:cs="Arial"/>
          <w:szCs w:val="20"/>
        </w:rPr>
      </w:pPr>
    </w:p>
    <w:sectPr w:rsidR="008D245F">
      <w:headerReference w:type="even" r:id="rId8"/>
      <w:headerReference w:type="default" r:id="rId9"/>
      <w:footerReference w:type="even" r:id="rId10"/>
      <w:footerReference w:type="default" r:id="rId11"/>
      <w:headerReference w:type="first" r:id="rId12"/>
      <w:footerReference w:type="first" r:id="rId13"/>
      <w:pgSz w:w="12240" w:h="15840"/>
      <w:pgMar w:top="1020" w:right="1134" w:bottom="907" w:left="1134" w:header="397" w:footer="39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7DC63" w14:textId="77777777" w:rsidR="00996032" w:rsidRDefault="00996032">
      <w:pPr>
        <w:spacing w:line="240" w:lineRule="auto"/>
      </w:pPr>
      <w:r>
        <w:separator/>
      </w:r>
    </w:p>
  </w:endnote>
  <w:endnote w:type="continuationSeparator" w:id="0">
    <w:p w14:paraId="12F841D7" w14:textId="77777777" w:rsidR="00996032" w:rsidRDefault="009960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B883B" w14:textId="77777777" w:rsidR="00CC0EEF" w:rsidRDefault="00CC0EEF">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60D96" w14:textId="77777777" w:rsidR="00CC0EEF" w:rsidRDefault="00CC0EEF">
    <w:pPr>
      <w:pStyle w:val="Stopka"/>
      <w:jc w:val="center"/>
      <w:rPr>
        <w:color w:val="666666"/>
        <w:sz w:val="16"/>
      </w:rPr>
    </w:pPr>
    <w:proofErr w:type="spellStart"/>
    <w:r>
      <w:rPr>
        <w:color w:val="666666"/>
        <w:sz w:val="16"/>
      </w:rPr>
      <w:t>Gmina</w:t>
    </w:r>
    <w:proofErr w:type="spellEnd"/>
    <w:r>
      <w:rPr>
        <w:color w:val="666666"/>
        <w:sz w:val="16"/>
      </w:rPr>
      <w:t xml:space="preserve"> </w:t>
    </w:r>
    <w:proofErr w:type="spellStart"/>
    <w:r>
      <w:rPr>
        <w:color w:val="666666"/>
        <w:sz w:val="16"/>
      </w:rPr>
      <w:t>Mrozy</w:t>
    </w:r>
    <w:proofErr w:type="spellEnd"/>
    <w:r>
      <w:rPr>
        <w:color w:val="666666"/>
        <w:sz w:val="16"/>
      </w:rPr>
      <w:t xml:space="preserve"> </w:t>
    </w:r>
  </w:p>
  <w:p w14:paraId="47ECBF00" w14:textId="1AEFC0D9" w:rsidR="008D245F" w:rsidRDefault="00000000">
    <w:pPr>
      <w:pStyle w:val="Stopka"/>
      <w:jc w:val="center"/>
    </w:pPr>
    <w:r>
      <w:rPr>
        <w:color w:val="666666"/>
        <w:sz w:val="16"/>
      </w:rPr>
      <w:t xml:space="preserve">Strona </w:t>
    </w:r>
    <w:r>
      <w:rPr>
        <w:color w:val="666666"/>
        <w:sz w:val="16"/>
      </w:rPr>
      <w:fldChar w:fldCharType="begin"/>
    </w:r>
    <w:r>
      <w:rPr>
        <w:color w:val="666666"/>
        <w:sz w:val="16"/>
      </w:rPr>
      <w:instrText>PAGE</w:instrText>
    </w:r>
    <w:r>
      <w:rPr>
        <w:color w:val="666666"/>
        <w:sz w:val="16"/>
      </w:rPr>
      <w:fldChar w:fldCharType="separate"/>
    </w:r>
    <w:r w:rsidR="00CC0EEF">
      <w:rPr>
        <w:noProof/>
        <w:color w:val="666666"/>
        <w:sz w:val="16"/>
      </w:rPr>
      <w:t>1</w:t>
    </w:r>
    <w:r>
      <w:rPr>
        <w:color w:val="666666"/>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A7D70" w14:textId="77777777" w:rsidR="00CC0EEF" w:rsidRDefault="00CC0EE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F6E203" w14:textId="77777777" w:rsidR="00996032" w:rsidRDefault="00996032">
      <w:pPr>
        <w:spacing w:after="0"/>
      </w:pPr>
      <w:r>
        <w:separator/>
      </w:r>
    </w:p>
  </w:footnote>
  <w:footnote w:type="continuationSeparator" w:id="0">
    <w:p w14:paraId="2A1E7FBB" w14:textId="77777777" w:rsidR="00996032" w:rsidRDefault="0099603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E64F1" w14:textId="77777777" w:rsidR="00CC0EEF" w:rsidRDefault="00CC0EE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FAB1E" w14:textId="7D3A964B" w:rsidR="008D245F" w:rsidRDefault="00CC0EEF">
    <w:pPr>
      <w:pStyle w:val="Nagwek"/>
      <w:jc w:val="right"/>
    </w:pPr>
    <w:r w:rsidRPr="000D5503">
      <w:rPr>
        <w:noProof/>
      </w:rPr>
      <w:drawing>
        <wp:inline distT="0" distB="0" distL="0" distR="0" wp14:anchorId="599E1D07" wp14:editId="21CC8ABC">
          <wp:extent cx="6120765" cy="568325"/>
          <wp:effectExtent l="0" t="0" r="635" b="3175"/>
          <wp:docPr id="207129106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291066" name=""/>
                  <pic:cNvPicPr/>
                </pic:nvPicPr>
                <pic:blipFill>
                  <a:blip r:embed="rId1"/>
                  <a:stretch>
                    <a:fillRect/>
                  </a:stretch>
                </pic:blipFill>
                <pic:spPr>
                  <a:xfrm>
                    <a:off x="0" y="0"/>
                    <a:ext cx="6120765" cy="56832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857B1" w14:textId="77777777" w:rsidR="00CC0EEF" w:rsidRDefault="00CC0EE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F059FDF"/>
    <w:multiLevelType w:val="singleLevel"/>
    <w:tmpl w:val="8F059FDF"/>
    <w:lvl w:ilvl="0">
      <w:start w:val="1"/>
      <w:numFmt w:val="decimal"/>
      <w:suff w:val="space"/>
      <w:lvlText w:val="%1."/>
      <w:lvlJc w:val="left"/>
    </w:lvl>
  </w:abstractNum>
  <w:abstractNum w:abstractNumId="1" w15:restartNumberingAfterBreak="0">
    <w:nsid w:val="AD39DD41"/>
    <w:multiLevelType w:val="singleLevel"/>
    <w:tmpl w:val="AD39DD41"/>
    <w:lvl w:ilvl="0">
      <w:start w:val="1"/>
      <w:numFmt w:val="decimal"/>
      <w:suff w:val="space"/>
      <w:lvlText w:val="%1."/>
      <w:lvlJc w:val="left"/>
    </w:lvl>
  </w:abstractNum>
  <w:abstractNum w:abstractNumId="2" w15:restartNumberingAfterBreak="0">
    <w:nsid w:val="BA74A307"/>
    <w:multiLevelType w:val="singleLevel"/>
    <w:tmpl w:val="BA74A307"/>
    <w:lvl w:ilvl="0">
      <w:start w:val="1"/>
      <w:numFmt w:val="decimal"/>
      <w:suff w:val="space"/>
      <w:lvlText w:val="%1."/>
      <w:lvlJc w:val="left"/>
    </w:lvl>
  </w:abstractNum>
  <w:abstractNum w:abstractNumId="3" w15:restartNumberingAfterBreak="0">
    <w:nsid w:val="D0357C73"/>
    <w:multiLevelType w:val="singleLevel"/>
    <w:tmpl w:val="D0357C73"/>
    <w:lvl w:ilvl="0">
      <w:start w:val="2"/>
      <w:numFmt w:val="decimal"/>
      <w:suff w:val="space"/>
      <w:lvlText w:val="%1."/>
      <w:lvlJc w:val="left"/>
    </w:lvl>
  </w:abstractNum>
  <w:abstractNum w:abstractNumId="4" w15:restartNumberingAfterBreak="0">
    <w:nsid w:val="FFFFFF7E"/>
    <w:multiLevelType w:val="singleLevel"/>
    <w:tmpl w:val="FFFFFF7E"/>
    <w:lvl w:ilvl="0">
      <w:start w:val="1"/>
      <w:numFmt w:val="decimal"/>
      <w:pStyle w:val="Listanumerowana3"/>
      <w:lvlText w:val="%1."/>
      <w:lvlJc w:val="left"/>
      <w:pPr>
        <w:tabs>
          <w:tab w:val="left" w:pos="1080"/>
        </w:tabs>
        <w:ind w:left="1080" w:hanging="360"/>
      </w:pPr>
    </w:lvl>
  </w:abstractNum>
  <w:abstractNum w:abstractNumId="5" w15:restartNumberingAfterBreak="0">
    <w:nsid w:val="FFFFFF7F"/>
    <w:multiLevelType w:val="singleLevel"/>
    <w:tmpl w:val="FFFFFF7F"/>
    <w:lvl w:ilvl="0">
      <w:start w:val="1"/>
      <w:numFmt w:val="decimal"/>
      <w:pStyle w:val="Listanumerowana2"/>
      <w:lvlText w:val="%1."/>
      <w:lvlJc w:val="left"/>
      <w:pPr>
        <w:tabs>
          <w:tab w:val="left" w:pos="720"/>
        </w:tabs>
        <w:ind w:left="720" w:hanging="360"/>
      </w:pPr>
    </w:lvl>
  </w:abstractNum>
  <w:abstractNum w:abstractNumId="6" w15:restartNumberingAfterBreak="0">
    <w:nsid w:val="FFFFFF82"/>
    <w:multiLevelType w:val="singleLevel"/>
    <w:tmpl w:val="FFFFFF82"/>
    <w:lvl w:ilvl="0">
      <w:start w:val="1"/>
      <w:numFmt w:val="bullet"/>
      <w:pStyle w:val="Listapunktowana3"/>
      <w:lvlText w:val=""/>
      <w:lvlJc w:val="left"/>
      <w:pPr>
        <w:tabs>
          <w:tab w:val="left" w:pos="1080"/>
        </w:tabs>
        <w:ind w:left="1080" w:hanging="360"/>
      </w:pPr>
      <w:rPr>
        <w:rFonts w:ascii="Symbol" w:hAnsi="Symbol" w:hint="default"/>
      </w:rPr>
    </w:lvl>
  </w:abstractNum>
  <w:abstractNum w:abstractNumId="7" w15:restartNumberingAfterBreak="0">
    <w:nsid w:val="FFFFFF83"/>
    <w:multiLevelType w:val="singleLevel"/>
    <w:tmpl w:val="FFFFFF83"/>
    <w:lvl w:ilvl="0">
      <w:start w:val="1"/>
      <w:numFmt w:val="bullet"/>
      <w:pStyle w:val="Listapunktowana2"/>
      <w:lvlText w:val=""/>
      <w:lvlJc w:val="left"/>
      <w:pPr>
        <w:tabs>
          <w:tab w:val="left" w:pos="720"/>
        </w:tabs>
        <w:ind w:left="720"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Listanumerowan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Listapunktowana"/>
      <w:lvlText w:val=""/>
      <w:lvlJc w:val="left"/>
      <w:pPr>
        <w:tabs>
          <w:tab w:val="left" w:pos="360"/>
        </w:tabs>
        <w:ind w:left="360" w:hanging="360"/>
      </w:pPr>
      <w:rPr>
        <w:rFonts w:ascii="Symbol" w:hAnsi="Symbol" w:hint="default"/>
      </w:rPr>
    </w:lvl>
  </w:abstractNum>
  <w:abstractNum w:abstractNumId="10" w15:restartNumberingAfterBreak="0">
    <w:nsid w:val="0C22A648"/>
    <w:multiLevelType w:val="singleLevel"/>
    <w:tmpl w:val="0C22A648"/>
    <w:lvl w:ilvl="0">
      <w:start w:val="1"/>
      <w:numFmt w:val="upperLetter"/>
      <w:suff w:val="space"/>
      <w:lvlText w:val="%1)"/>
      <w:lvlJc w:val="left"/>
    </w:lvl>
  </w:abstractNum>
  <w:abstractNum w:abstractNumId="11" w15:restartNumberingAfterBreak="0">
    <w:nsid w:val="3B14CEDF"/>
    <w:multiLevelType w:val="singleLevel"/>
    <w:tmpl w:val="3B14CEDF"/>
    <w:lvl w:ilvl="0">
      <w:start w:val="1"/>
      <w:numFmt w:val="upperLetter"/>
      <w:suff w:val="space"/>
      <w:lvlText w:val="%1)"/>
      <w:lvlJc w:val="left"/>
    </w:lvl>
  </w:abstractNum>
  <w:abstractNum w:abstractNumId="12" w15:restartNumberingAfterBreak="0">
    <w:nsid w:val="6F22BB02"/>
    <w:multiLevelType w:val="singleLevel"/>
    <w:tmpl w:val="6F22BB02"/>
    <w:lvl w:ilvl="0">
      <w:start w:val="1"/>
      <w:numFmt w:val="decimal"/>
      <w:suff w:val="space"/>
      <w:lvlText w:val="%1."/>
      <w:lvlJc w:val="left"/>
    </w:lvl>
  </w:abstractNum>
  <w:abstractNum w:abstractNumId="13" w15:restartNumberingAfterBreak="0">
    <w:nsid w:val="7AE053E3"/>
    <w:multiLevelType w:val="singleLevel"/>
    <w:tmpl w:val="7AE053E3"/>
    <w:lvl w:ilvl="0">
      <w:start w:val="1"/>
      <w:numFmt w:val="upperLetter"/>
      <w:suff w:val="space"/>
      <w:lvlText w:val="%1)"/>
      <w:lvlJc w:val="left"/>
    </w:lvl>
  </w:abstractNum>
  <w:num w:numId="1" w16cid:durableId="1064333551">
    <w:abstractNumId w:val="9"/>
  </w:num>
  <w:num w:numId="2" w16cid:durableId="2064017057">
    <w:abstractNumId w:val="7"/>
  </w:num>
  <w:num w:numId="3" w16cid:durableId="1032804775">
    <w:abstractNumId w:val="6"/>
  </w:num>
  <w:num w:numId="4" w16cid:durableId="1171408372">
    <w:abstractNumId w:val="8"/>
  </w:num>
  <w:num w:numId="5" w16cid:durableId="879823621">
    <w:abstractNumId w:val="5"/>
  </w:num>
  <w:num w:numId="6" w16cid:durableId="344983113">
    <w:abstractNumId w:val="4"/>
  </w:num>
  <w:num w:numId="7" w16cid:durableId="469443847">
    <w:abstractNumId w:val="0"/>
  </w:num>
  <w:num w:numId="8" w16cid:durableId="1954701253">
    <w:abstractNumId w:val="10"/>
  </w:num>
  <w:num w:numId="9" w16cid:durableId="1012609869">
    <w:abstractNumId w:val="1"/>
  </w:num>
  <w:num w:numId="10" w16cid:durableId="885458170">
    <w:abstractNumId w:val="13"/>
  </w:num>
  <w:num w:numId="11" w16cid:durableId="385295861">
    <w:abstractNumId w:val="3"/>
  </w:num>
  <w:num w:numId="12" w16cid:durableId="882400722">
    <w:abstractNumId w:val="12"/>
  </w:num>
  <w:num w:numId="13" w16cid:durableId="337271686">
    <w:abstractNumId w:val="11"/>
  </w:num>
  <w:num w:numId="14" w16cid:durableId="95252181">
    <w:abstractNumId w:val="2"/>
  </w:num>
  <w:num w:numId="15" w16cid:durableId="1565798443">
    <w:abstractNumId w:val="8"/>
    <w:lvlOverride w:ilvl="0">
      <w:startOverride w:val="1"/>
    </w:lvlOverride>
  </w:num>
  <w:num w:numId="16" w16cid:durableId="1676105207">
    <w:abstractNumId w:val="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noPunctuationKerning/>
  <w:characterSpacingControl w:val="doNotCompres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16964"/>
    <w:rsid w:val="008D245F"/>
    <w:rsid w:val="00996032"/>
    <w:rsid w:val="009B4752"/>
    <w:rsid w:val="00AA1D8D"/>
    <w:rsid w:val="00B47730"/>
    <w:rsid w:val="00CB0664"/>
    <w:rsid w:val="00CC0EEF"/>
    <w:rsid w:val="00DE042A"/>
    <w:rsid w:val="00F52FA6"/>
    <w:rsid w:val="00FC693F"/>
    <w:rsid w:val="12BC65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ACDEE4"/>
  <w14:defaultImageDpi w14:val="300"/>
  <w15:docId w15:val="{28F6F367-9432-754C-A826-AE64B858C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lsdException w:name="Medium List 2" w:uiPriority="66"/>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lsdException w:name="Medium List 2 Accent 2" w:uiPriority="66"/>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lsdException w:name="Medium List 1 Accent 6" w:uiPriority="65"/>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80" w:line="252" w:lineRule="auto"/>
    </w:pPr>
    <w:rPr>
      <w:rFonts w:ascii="Arial" w:eastAsiaTheme="minorEastAsia" w:hAnsi="Arial" w:cstheme="minorBidi"/>
      <w:szCs w:val="22"/>
      <w:lang w:val="en-US" w:eastAsia="en-US"/>
    </w:rPr>
  </w:style>
  <w:style w:type="paragraph" w:styleId="Nagwek1">
    <w:name w:val="heading 1"/>
    <w:basedOn w:val="Normalny"/>
    <w:next w:val="Normalny"/>
    <w:link w:val="Nagwek1Znak"/>
    <w:uiPriority w:val="9"/>
    <w:qFormat/>
    <w:pPr>
      <w:keepNext/>
      <w:keepLines/>
      <w:spacing w:before="200" w:after="100"/>
      <w:outlineLvl w:val="0"/>
    </w:pPr>
    <w:rPr>
      <w:rFonts w:asciiTheme="majorHAnsi" w:eastAsiaTheme="majorEastAsia" w:hAnsiTheme="majorHAnsi" w:cstheme="majorBidi"/>
      <w:b/>
      <w:bCs/>
      <w:color w:val="1F4E78"/>
      <w:sz w:val="28"/>
      <w:szCs w:val="28"/>
    </w:rPr>
  </w:style>
  <w:style w:type="paragraph" w:styleId="Nagwek2">
    <w:name w:val="heading 2"/>
    <w:basedOn w:val="Normalny"/>
    <w:next w:val="Normalny"/>
    <w:link w:val="Nagwek2Znak"/>
    <w:uiPriority w:val="9"/>
    <w:unhideWhenUsed/>
    <w:qFormat/>
    <w:pPr>
      <w:keepNext/>
      <w:keepLines/>
      <w:spacing w:before="200" w:after="100"/>
      <w:outlineLvl w:val="1"/>
    </w:pPr>
    <w:rPr>
      <w:rFonts w:asciiTheme="majorHAnsi" w:eastAsiaTheme="majorEastAsia" w:hAnsiTheme="majorHAnsi" w:cstheme="majorBidi"/>
      <w:b/>
      <w:bCs/>
      <w:color w:val="1F4E78"/>
      <w:sz w:val="24"/>
      <w:szCs w:val="26"/>
    </w:rPr>
  </w:style>
  <w:style w:type="paragraph" w:styleId="Nagwek3">
    <w:name w:val="heading 3"/>
    <w:basedOn w:val="Normalny"/>
    <w:next w:val="Normalny"/>
    <w:link w:val="Nagwek3Znak"/>
    <w:uiPriority w:val="9"/>
    <w:unhideWhenUsed/>
    <w:qFormat/>
    <w:pPr>
      <w:keepNext/>
      <w:keepLines/>
      <w:spacing w:before="200" w:after="100"/>
      <w:outlineLvl w:val="2"/>
    </w:pPr>
    <w:rPr>
      <w:rFonts w:asciiTheme="majorHAnsi" w:eastAsiaTheme="majorEastAsia" w:hAnsiTheme="majorHAnsi" w:cstheme="majorBidi"/>
      <w:b/>
      <w:bCs/>
      <w:color w:val="2F5597"/>
      <w:sz w:val="22"/>
    </w:rPr>
  </w:style>
  <w:style w:type="paragraph" w:styleId="Nagwek4">
    <w:name w:val="heading 4"/>
    <w:basedOn w:val="Normalny"/>
    <w:next w:val="Normalny"/>
    <w:link w:val="Nagwek4Znak"/>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Nagwek6">
    <w:name w:val="heading 6"/>
    <w:basedOn w:val="Normalny"/>
    <w:next w:val="Normalny"/>
    <w:link w:val="Nagwek6Znak"/>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Nagwek7">
    <w:name w:val="heading 7"/>
    <w:basedOn w:val="Normalny"/>
    <w:next w:val="Normalny"/>
    <w:link w:val="Nagwek7Znak"/>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Nagwek9">
    <w:name w:val="heading 9"/>
    <w:basedOn w:val="Normalny"/>
    <w:next w:val="Normalny"/>
    <w:link w:val="Nagwek9Znak"/>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uiPriority w:val="99"/>
    <w:unhideWhenUsed/>
    <w:qFormat/>
    <w:pPr>
      <w:spacing w:after="120"/>
    </w:pPr>
  </w:style>
  <w:style w:type="paragraph" w:styleId="Tekstpodstawowy2">
    <w:name w:val="Body Text 2"/>
    <w:basedOn w:val="Normalny"/>
    <w:link w:val="Tekstpodstawowy2Znak"/>
    <w:uiPriority w:val="99"/>
    <w:unhideWhenUsed/>
    <w:qFormat/>
    <w:pPr>
      <w:spacing w:after="120" w:line="480" w:lineRule="auto"/>
    </w:pPr>
  </w:style>
  <w:style w:type="paragraph" w:styleId="Tekstpodstawowy3">
    <w:name w:val="Body Text 3"/>
    <w:basedOn w:val="Normalny"/>
    <w:link w:val="Tekstpodstawowy3Znak"/>
    <w:uiPriority w:val="99"/>
    <w:unhideWhenUsed/>
    <w:qFormat/>
    <w:pPr>
      <w:spacing w:after="120"/>
    </w:pPr>
    <w:rPr>
      <w:sz w:val="16"/>
      <w:szCs w:val="16"/>
    </w:rPr>
  </w:style>
  <w:style w:type="paragraph" w:styleId="Legenda">
    <w:name w:val="caption"/>
    <w:basedOn w:val="Normalny"/>
    <w:next w:val="Normalny"/>
    <w:uiPriority w:val="35"/>
    <w:semiHidden/>
    <w:unhideWhenUsed/>
    <w:qFormat/>
    <w:pPr>
      <w:spacing w:line="240" w:lineRule="auto"/>
    </w:pPr>
    <w:rPr>
      <w:b/>
      <w:bCs/>
      <w:color w:val="4F81BD" w:themeColor="accent1"/>
      <w:sz w:val="18"/>
      <w:szCs w:val="18"/>
    </w:rPr>
  </w:style>
  <w:style w:type="paragraph" w:styleId="Tekstkomentarza">
    <w:name w:val="annotation text"/>
    <w:basedOn w:val="Normalny"/>
    <w:uiPriority w:val="99"/>
    <w:semiHidden/>
    <w:unhideWhenUsed/>
  </w:style>
  <w:style w:type="character" w:styleId="Uwydatnienie">
    <w:name w:val="Emphasis"/>
    <w:basedOn w:val="Domylnaczcionkaakapitu"/>
    <w:uiPriority w:val="20"/>
    <w:qFormat/>
    <w:rPr>
      <w:i/>
      <w:iCs/>
    </w:rPr>
  </w:style>
  <w:style w:type="paragraph" w:styleId="Stopka">
    <w:name w:val="footer"/>
    <w:basedOn w:val="Normalny"/>
    <w:link w:val="StopkaZnak"/>
    <w:uiPriority w:val="99"/>
    <w:unhideWhenUsed/>
    <w:qFormat/>
    <w:pPr>
      <w:tabs>
        <w:tab w:val="center" w:pos="4680"/>
        <w:tab w:val="right" w:pos="9360"/>
      </w:tabs>
      <w:spacing w:after="0" w:line="240" w:lineRule="auto"/>
    </w:pPr>
  </w:style>
  <w:style w:type="paragraph" w:styleId="Nagwek">
    <w:name w:val="header"/>
    <w:basedOn w:val="Normalny"/>
    <w:link w:val="NagwekZnak"/>
    <w:uiPriority w:val="99"/>
    <w:unhideWhenUsed/>
    <w:pPr>
      <w:tabs>
        <w:tab w:val="center" w:pos="4680"/>
        <w:tab w:val="right" w:pos="9360"/>
      </w:tabs>
      <w:spacing w:after="0" w:line="240" w:lineRule="auto"/>
    </w:pPr>
  </w:style>
  <w:style w:type="paragraph" w:styleId="Lista">
    <w:name w:val="List"/>
    <w:basedOn w:val="Normalny"/>
    <w:uiPriority w:val="99"/>
    <w:unhideWhenUsed/>
    <w:qFormat/>
    <w:pPr>
      <w:ind w:left="360" w:hanging="360"/>
      <w:contextualSpacing/>
    </w:pPr>
  </w:style>
  <w:style w:type="paragraph" w:styleId="Lista2">
    <w:name w:val="List 2"/>
    <w:basedOn w:val="Normalny"/>
    <w:uiPriority w:val="99"/>
    <w:unhideWhenUsed/>
    <w:qFormat/>
    <w:pPr>
      <w:ind w:left="720" w:hanging="360"/>
      <w:contextualSpacing/>
    </w:pPr>
  </w:style>
  <w:style w:type="paragraph" w:styleId="Lista3">
    <w:name w:val="List 3"/>
    <w:basedOn w:val="Normalny"/>
    <w:uiPriority w:val="99"/>
    <w:unhideWhenUsed/>
    <w:qFormat/>
    <w:pPr>
      <w:ind w:left="1080" w:hanging="360"/>
      <w:contextualSpacing/>
    </w:pPr>
  </w:style>
  <w:style w:type="paragraph" w:styleId="Listapunktowana">
    <w:name w:val="List Bullet"/>
    <w:basedOn w:val="Normalny"/>
    <w:uiPriority w:val="99"/>
    <w:unhideWhenUsed/>
    <w:qFormat/>
    <w:pPr>
      <w:numPr>
        <w:numId w:val="1"/>
      </w:numPr>
      <w:spacing w:after="40"/>
      <w:contextualSpacing/>
    </w:pPr>
  </w:style>
  <w:style w:type="paragraph" w:styleId="Listapunktowana2">
    <w:name w:val="List Bullet 2"/>
    <w:basedOn w:val="Normalny"/>
    <w:uiPriority w:val="99"/>
    <w:unhideWhenUsed/>
    <w:qFormat/>
    <w:pPr>
      <w:numPr>
        <w:numId w:val="2"/>
      </w:numPr>
      <w:contextualSpacing/>
    </w:pPr>
  </w:style>
  <w:style w:type="paragraph" w:styleId="Listapunktowana3">
    <w:name w:val="List Bullet 3"/>
    <w:basedOn w:val="Normalny"/>
    <w:uiPriority w:val="99"/>
    <w:unhideWhenUsed/>
    <w:qFormat/>
    <w:pPr>
      <w:numPr>
        <w:numId w:val="3"/>
      </w:numPr>
      <w:contextualSpacing/>
    </w:pPr>
  </w:style>
  <w:style w:type="paragraph" w:styleId="Lista-kontynuacja">
    <w:name w:val="List Continue"/>
    <w:basedOn w:val="Normalny"/>
    <w:uiPriority w:val="99"/>
    <w:unhideWhenUsed/>
    <w:qFormat/>
    <w:pPr>
      <w:spacing w:after="120"/>
      <w:ind w:left="360"/>
      <w:contextualSpacing/>
    </w:pPr>
  </w:style>
  <w:style w:type="paragraph" w:styleId="Lista-kontynuacja2">
    <w:name w:val="List Continue 2"/>
    <w:basedOn w:val="Normalny"/>
    <w:uiPriority w:val="99"/>
    <w:unhideWhenUsed/>
    <w:qFormat/>
    <w:pPr>
      <w:spacing w:after="120"/>
      <w:ind w:left="720"/>
      <w:contextualSpacing/>
    </w:pPr>
  </w:style>
  <w:style w:type="paragraph" w:styleId="Lista-kontynuacja3">
    <w:name w:val="List Continue 3"/>
    <w:basedOn w:val="Normalny"/>
    <w:uiPriority w:val="99"/>
    <w:unhideWhenUsed/>
    <w:qFormat/>
    <w:pPr>
      <w:spacing w:after="120"/>
      <w:ind w:left="1080"/>
      <w:contextualSpacing/>
    </w:pPr>
  </w:style>
  <w:style w:type="paragraph" w:styleId="Listanumerowana">
    <w:name w:val="List Number"/>
    <w:basedOn w:val="Normalny"/>
    <w:uiPriority w:val="99"/>
    <w:unhideWhenUsed/>
    <w:qFormat/>
    <w:pPr>
      <w:numPr>
        <w:numId w:val="4"/>
      </w:numPr>
      <w:spacing w:after="40"/>
      <w:contextualSpacing/>
    </w:pPr>
  </w:style>
  <w:style w:type="paragraph" w:styleId="Listanumerowana2">
    <w:name w:val="List Number 2"/>
    <w:basedOn w:val="Normalny"/>
    <w:uiPriority w:val="99"/>
    <w:unhideWhenUsed/>
    <w:qFormat/>
    <w:pPr>
      <w:numPr>
        <w:numId w:val="5"/>
      </w:numPr>
      <w:contextualSpacing/>
    </w:pPr>
  </w:style>
  <w:style w:type="paragraph" w:styleId="Listanumerowana3">
    <w:name w:val="List Number 3"/>
    <w:basedOn w:val="Normalny"/>
    <w:uiPriority w:val="99"/>
    <w:unhideWhenUsed/>
    <w:qFormat/>
    <w:pPr>
      <w:numPr>
        <w:numId w:val="6"/>
      </w:numPr>
      <w:contextualSpacing/>
    </w:pPr>
  </w:style>
  <w:style w:type="paragraph" w:styleId="Tekstmakra">
    <w:name w:val="macro"/>
    <w:link w:val="TekstmakraZnak"/>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nyWeb">
    <w:name w:val="Normal (Web)"/>
    <w:uiPriority w:val="99"/>
    <w:semiHidden/>
    <w:unhideWhenUsed/>
    <w:pPr>
      <w:spacing w:beforeAutospacing="1" w:afterAutospacing="1"/>
    </w:pPr>
    <w:rPr>
      <w:sz w:val="24"/>
      <w:szCs w:val="24"/>
      <w:lang w:val="en-US" w:eastAsia="zh-CN"/>
    </w:rPr>
  </w:style>
  <w:style w:type="character" w:styleId="Pogrubienie">
    <w:name w:val="Strong"/>
    <w:basedOn w:val="Domylnaczcionkaakapitu"/>
    <w:uiPriority w:val="22"/>
    <w:qFormat/>
    <w:rPr>
      <w:b/>
      <w:bCs/>
    </w:rPr>
  </w:style>
  <w:style w:type="paragraph" w:styleId="Podtytu">
    <w:name w:val="Subtitle"/>
    <w:basedOn w:val="Normalny"/>
    <w:next w:val="Normalny"/>
    <w:link w:val="PodtytuZnak"/>
    <w:uiPriority w:val="11"/>
    <w:qFormat/>
    <w:rPr>
      <w:rFonts w:asciiTheme="majorHAnsi" w:eastAsiaTheme="majorEastAsia" w:hAnsiTheme="majorHAnsi" w:cstheme="majorBidi"/>
      <w:i/>
      <w:iCs/>
      <w:color w:val="4F81BD" w:themeColor="accent1"/>
      <w:spacing w:val="15"/>
      <w:sz w:val="24"/>
      <w:szCs w:val="24"/>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Normalny"/>
    <w:link w:val="TytuZnak"/>
    <w:uiPriority w:val="10"/>
    <w:qFormat/>
    <w:pPr>
      <w:keepNext/>
      <w:pBdr>
        <w:bottom w:val="single" w:sz="8" w:space="4" w:color="4F81BD" w:themeColor="accent1"/>
      </w:pBdr>
      <w:spacing w:before="200" w:after="100" w:line="240" w:lineRule="auto"/>
      <w:contextualSpacing/>
    </w:pPr>
    <w:rPr>
      <w:rFonts w:asciiTheme="majorHAnsi" w:eastAsiaTheme="majorEastAsia" w:hAnsiTheme="majorHAnsi" w:cstheme="majorBidi"/>
      <w:b/>
      <w:color w:val="1F4E78"/>
      <w:spacing w:val="5"/>
      <w:kern w:val="28"/>
      <w:sz w:val="34"/>
      <w:szCs w:val="52"/>
    </w:rPr>
  </w:style>
  <w:style w:type="table" w:styleId="Jasnecieniowanie">
    <w:name w:val="Light Shading"/>
    <w:basedOn w:val="Standardowy"/>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Jasnasiatkaakcent1">
    <w:name w:val="Light Grid Accent 1"/>
    <w:basedOn w:val="Standardowy"/>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Jasnasiatkaakcent2">
    <w:name w:val="Light Grid Accent 2"/>
    <w:basedOn w:val="Standardowy"/>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Jasnasiatkaakcent3">
    <w:name w:val="Light Grid Accent 3"/>
    <w:basedOn w:val="Standardowy"/>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Jasnasiatkaakcent4">
    <w:name w:val="Light Grid Accent 4"/>
    <w:basedOn w:val="Standardowy"/>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Jasnasiatkaakcent5">
    <w:name w:val="Light Grid Accent 5"/>
    <w:basedOn w:val="Standardowy"/>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Jasnasiatkaakcent6">
    <w:name w:val="Light Grid Accent 6"/>
    <w:basedOn w:val="Standardowy"/>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redniecieniowanie1">
    <w:name w:val="Medium Shading 1"/>
    <w:basedOn w:val="Standardowy"/>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redniasiatka3akcent1">
    <w:name w:val="Medium Grid 3 Accent 1"/>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redniasiatka3akcent2">
    <w:name w:val="Medium Grid 3 Accent 2"/>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redniasiatka3akcent3">
    <w:name w:val="Medium Grid 3 Accent 3"/>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redniasiatka3akcent4">
    <w:name w:val="Medium Grid 3 Accent 4"/>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redniasiatka3akcent5">
    <w:name w:val="Medium Grid 3 Accent 5"/>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redniasiatka3akcent6">
    <w:name w:val="Medium Grid 3 Accent 6"/>
    <w:basedOn w:val="Standardowy"/>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Ciemnalista">
    <w:name w:val="Dark List"/>
    <w:basedOn w:val="Standardowy"/>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qFormat/>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qFormat/>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qFormat/>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qFormat/>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qFormat/>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NagwekZnak">
    <w:name w:val="Nagłówek Znak"/>
    <w:basedOn w:val="Domylnaczcionkaakapitu"/>
    <w:link w:val="Nagwek"/>
    <w:uiPriority w:val="99"/>
    <w:qFormat/>
  </w:style>
  <w:style w:type="character" w:customStyle="1" w:styleId="StopkaZnak">
    <w:name w:val="Stopka Znak"/>
    <w:basedOn w:val="Domylnaczcionkaakapitu"/>
    <w:link w:val="Stopka"/>
    <w:uiPriority w:val="99"/>
    <w:qFormat/>
  </w:style>
  <w:style w:type="paragraph" w:styleId="Bezodstpw">
    <w:name w:val="No Spacing"/>
    <w:uiPriority w:val="1"/>
    <w:qFormat/>
    <w:rPr>
      <w:rFonts w:asciiTheme="minorHAnsi" w:eastAsiaTheme="minorEastAsia" w:hAnsiTheme="minorHAnsi" w:cstheme="minorBidi"/>
      <w:sz w:val="22"/>
      <w:szCs w:val="22"/>
      <w:lang w:val="en-US" w:eastAsia="en-US"/>
    </w:rPr>
  </w:style>
  <w:style w:type="character" w:customStyle="1" w:styleId="Nagwek1Znak">
    <w:name w:val="Nagłówek 1 Znak"/>
    <w:basedOn w:val="Domylnaczcionkaakapitu"/>
    <w:link w:val="Nagwek1"/>
    <w:uiPriority w:val="9"/>
    <w:qFormat/>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PodtytuZnak">
    <w:name w:val="Podtytuł Znak"/>
    <w:basedOn w:val="Domylnaczcionkaakapitu"/>
    <w:link w:val="Podtytu"/>
    <w:uiPriority w:val="11"/>
    <w:qFormat/>
    <w:rPr>
      <w:rFonts w:asciiTheme="majorHAnsi" w:eastAsiaTheme="majorEastAsia" w:hAnsiTheme="majorHAnsi" w:cstheme="majorBidi"/>
      <w:i/>
      <w:iCs/>
      <w:color w:val="4F81BD" w:themeColor="accent1"/>
      <w:spacing w:val="15"/>
      <w:sz w:val="24"/>
      <w:szCs w:val="24"/>
    </w:rPr>
  </w:style>
  <w:style w:type="paragraph" w:styleId="Akapitzlist">
    <w:name w:val="List Paragraph"/>
    <w:basedOn w:val="Normalny"/>
    <w:uiPriority w:val="34"/>
    <w:qFormat/>
    <w:pPr>
      <w:ind w:left="720"/>
      <w:contextualSpacing/>
    </w:pPr>
  </w:style>
  <w:style w:type="character" w:customStyle="1" w:styleId="TekstpodstawowyZnak">
    <w:name w:val="Tekst podstawowy Znak"/>
    <w:basedOn w:val="Domylnaczcionkaakapitu"/>
    <w:link w:val="Tekstpodstawowy"/>
    <w:uiPriority w:val="99"/>
    <w:qFormat/>
  </w:style>
  <w:style w:type="character" w:customStyle="1" w:styleId="Tekstpodstawowy2Znak">
    <w:name w:val="Tekst podstawowy 2 Znak"/>
    <w:basedOn w:val="Domylnaczcionkaakapitu"/>
    <w:link w:val="Tekstpodstawowy2"/>
    <w:uiPriority w:val="99"/>
    <w:qFormat/>
  </w:style>
  <w:style w:type="character" w:customStyle="1" w:styleId="Tekstpodstawowy3Znak">
    <w:name w:val="Tekst podstawowy 3 Znak"/>
    <w:basedOn w:val="Domylnaczcionkaakapitu"/>
    <w:link w:val="Tekstpodstawowy3"/>
    <w:uiPriority w:val="99"/>
    <w:qFormat/>
    <w:rPr>
      <w:sz w:val="16"/>
      <w:szCs w:val="16"/>
    </w:rPr>
  </w:style>
  <w:style w:type="character" w:customStyle="1" w:styleId="TekstmakraZnak">
    <w:name w:val="Tekst makra Znak"/>
    <w:basedOn w:val="Domylnaczcionkaakapitu"/>
    <w:link w:val="Tekstmakra"/>
    <w:uiPriority w:val="99"/>
    <w:qFormat/>
    <w:rPr>
      <w:rFonts w:ascii="Courier" w:hAnsi="Courier"/>
      <w:sz w:val="20"/>
      <w:szCs w:val="20"/>
    </w:rPr>
  </w:style>
  <w:style w:type="paragraph" w:styleId="Cytat">
    <w:name w:val="Quote"/>
    <w:basedOn w:val="Normalny"/>
    <w:next w:val="Normalny"/>
    <w:link w:val="CytatZnak"/>
    <w:uiPriority w:val="29"/>
    <w:qFormat/>
    <w:rPr>
      <w:i/>
      <w:iCs/>
      <w:color w:val="000000" w:themeColor="text1"/>
    </w:rPr>
  </w:style>
  <w:style w:type="character" w:customStyle="1" w:styleId="CytatZnak">
    <w:name w:val="Cytat Znak"/>
    <w:basedOn w:val="Domylnaczcionkaakapitu"/>
    <w:link w:val="Cytat"/>
    <w:uiPriority w:val="29"/>
    <w:qFormat/>
    <w:rPr>
      <w:i/>
      <w:iCs/>
      <w:color w:val="000000" w:themeColor="text1"/>
    </w:rPr>
  </w:style>
  <w:style w:type="character" w:customStyle="1" w:styleId="Nagwek4Znak">
    <w:name w:val="Nagłówek 4 Znak"/>
    <w:basedOn w:val="Domylnaczcionkaakapitu"/>
    <w:link w:val="Nagwek4"/>
    <w:uiPriority w:val="9"/>
    <w:semiHidden/>
    <w:qFormat/>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Pr>
      <w:rFonts w:asciiTheme="majorHAnsi" w:eastAsiaTheme="majorEastAsia" w:hAnsiTheme="majorHAnsi" w:cstheme="majorBidi"/>
      <w:color w:val="244061" w:themeColor="accent1" w:themeShade="80"/>
    </w:rPr>
  </w:style>
  <w:style w:type="character" w:customStyle="1" w:styleId="Nagwek6Znak">
    <w:name w:val="Nagłówek 6 Znak"/>
    <w:basedOn w:val="Domylnaczcionkaakapitu"/>
    <w:link w:val="Nagwek6"/>
    <w:uiPriority w:val="9"/>
    <w:semiHidden/>
    <w:qFormat/>
    <w:rPr>
      <w:rFonts w:asciiTheme="majorHAnsi" w:eastAsiaTheme="majorEastAsia" w:hAnsiTheme="majorHAnsi" w:cstheme="majorBidi"/>
      <w:i/>
      <w:iCs/>
      <w:color w:val="244061" w:themeColor="accent1" w:themeShade="80"/>
    </w:rPr>
  </w:style>
  <w:style w:type="character" w:customStyle="1" w:styleId="Nagwek7Znak">
    <w:name w:val="Nagłówek 7 Znak"/>
    <w:basedOn w:val="Domylnaczcionkaakapitu"/>
    <w:link w:val="Nagwek7"/>
    <w:uiPriority w:val="9"/>
    <w:semiHidden/>
    <w:qFormat/>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Pr>
      <w:rFonts w:asciiTheme="majorHAnsi" w:eastAsiaTheme="majorEastAsia" w:hAnsiTheme="majorHAnsi" w:cstheme="majorBidi"/>
      <w:i/>
      <w:iCs/>
      <w:color w:val="404040" w:themeColor="text1" w:themeTint="BF"/>
      <w:sz w:val="20"/>
      <w:szCs w:val="20"/>
    </w:rPr>
  </w:style>
  <w:style w:type="paragraph" w:styleId="Cytatintensywny">
    <w:name w:val="Intense Quote"/>
    <w:basedOn w:val="Normalny"/>
    <w:next w:val="Normalny"/>
    <w:link w:val="CytatintensywnyZnak"/>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CytatintensywnyZnak">
    <w:name w:val="Cytat intensywny Znak"/>
    <w:basedOn w:val="Domylnaczcionkaakapitu"/>
    <w:link w:val="Cytatintensywny"/>
    <w:uiPriority w:val="30"/>
    <w:qFormat/>
    <w:rPr>
      <w:b/>
      <w:bCs/>
      <w:i/>
      <w:iCs/>
      <w:color w:val="4F81BD" w:themeColor="accent1"/>
    </w:rPr>
  </w:style>
  <w:style w:type="character" w:customStyle="1" w:styleId="Wyrnieniedelikatne1">
    <w:name w:val="Wyróżnienie delikatne1"/>
    <w:basedOn w:val="Domylnaczcionkaakapitu"/>
    <w:uiPriority w:val="19"/>
    <w:qFormat/>
    <w:rPr>
      <w:i/>
      <w:iCs/>
      <w:color w:val="7F7F7F" w:themeColor="text1" w:themeTint="80"/>
    </w:rPr>
  </w:style>
  <w:style w:type="character" w:customStyle="1" w:styleId="Wyrnienieintensywne1">
    <w:name w:val="Wyróżnienie intensywne1"/>
    <w:basedOn w:val="Domylnaczcionkaakapitu"/>
    <w:uiPriority w:val="21"/>
    <w:qFormat/>
    <w:rPr>
      <w:b/>
      <w:bCs/>
      <w:i/>
      <w:iCs/>
      <w:color w:val="4F81BD" w:themeColor="accent1"/>
    </w:rPr>
  </w:style>
  <w:style w:type="character" w:customStyle="1" w:styleId="Odwoaniedelikatne1">
    <w:name w:val="Odwołanie delikatne1"/>
    <w:basedOn w:val="Domylnaczcionkaakapitu"/>
    <w:uiPriority w:val="31"/>
    <w:qFormat/>
    <w:rPr>
      <w:smallCaps/>
      <w:color w:val="C0504D" w:themeColor="accent2"/>
      <w:u w:val="single"/>
    </w:rPr>
  </w:style>
  <w:style w:type="character" w:customStyle="1" w:styleId="Odwoanieintensywne1">
    <w:name w:val="Odwołanie intensywne1"/>
    <w:basedOn w:val="Domylnaczcionkaakapitu"/>
    <w:uiPriority w:val="32"/>
    <w:qFormat/>
    <w:rPr>
      <w:b/>
      <w:bCs/>
      <w:smallCaps/>
      <w:color w:val="C0504D" w:themeColor="accent2"/>
      <w:spacing w:val="5"/>
      <w:u w:val="single"/>
    </w:rPr>
  </w:style>
  <w:style w:type="character" w:customStyle="1" w:styleId="Tytuksiki1">
    <w:name w:val="Tytuł książki1"/>
    <w:basedOn w:val="Domylnaczcionkaakapitu"/>
    <w:uiPriority w:val="33"/>
    <w:qFormat/>
    <w:rPr>
      <w:b/>
      <w:bCs/>
      <w:smallCaps/>
      <w:spacing w:val="5"/>
    </w:rPr>
  </w:style>
  <w:style w:type="paragraph" w:customStyle="1" w:styleId="Nagwekspisutreci1">
    <w:name w:val="Nagłówek spisu treści1"/>
    <w:basedOn w:val="Nagwek1"/>
    <w:next w:val="Normalny"/>
    <w:uiPriority w:val="39"/>
    <w:semiHidden/>
    <w:unhideWhenUsed/>
    <w:qFormat/>
    <w:pPr>
      <w:outlineLvl w:val="9"/>
    </w:pPr>
  </w:style>
  <w:style w:type="character" w:styleId="Odwoaniedokomentarza">
    <w:name w:val="annotation reference"/>
    <w:basedOn w:val="Domylnaczcionkaakapitu"/>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2050</Words>
  <Characters>12303</Characters>
  <DocSecurity>0</DocSecurity>
  <Lines>102</Lines>
  <Paragraphs>28</Paragraphs>
  <ScaleCrop>false</ScaleCrop>
  <Company/>
  <LinksUpToDate>false</LinksUpToDate>
  <CharactersWithSpaces>14325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terms:modified xsi:type="dcterms:W3CDTF">2026-10-14T08:33:00Z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eyJoZGlkIjoiOGQxYWMyMmFmMWU1NjNlNjYyMjNhODMzYzEwNjAxMTMiLCJ1c2VySWQiOiIzMDIzNjU4MzU5NjkzIn0=</vt:lpwstr>
  </property>
  <property fmtid="{D5CDD505-2E9C-101B-9397-08002B2CF9AE}" pid="3" name="KSOProductBuildVer">
    <vt:lpwstr>1045-12.1.0.28032</vt:lpwstr>
  </property>
  <property fmtid="{D5CDD505-2E9C-101B-9397-08002B2CF9AE}" pid="4" name="ICV">
    <vt:lpwstr>EFD767CD775D4B3CBACF04DE7287FCC1_13</vt:lpwstr>
  </property>
</Properties>
</file>