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CB0" w:rsidRDefault="003F5CB0">
      <w:pPr>
        <w:jc w:val="both"/>
        <w:rPr>
          <w:rFonts w:ascii="Calibri" w:hAnsi="Calibri"/>
          <w:sz w:val="20"/>
          <w:szCs w:val="20"/>
        </w:rPr>
      </w:pPr>
    </w:p>
    <w:p w:rsidR="003F5CB0" w:rsidRDefault="00DA43A3">
      <w:pPr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Zamawiający: Zespół Opieki Zdrowotnej w Oławie</w:t>
      </w:r>
    </w:p>
    <w:p w:rsidR="003F5CB0" w:rsidRDefault="003F5CB0">
      <w:pPr>
        <w:jc w:val="center"/>
        <w:rPr>
          <w:rFonts w:ascii="Calibri" w:hAnsi="Calibri"/>
          <w:szCs w:val="22"/>
        </w:rPr>
      </w:pPr>
    </w:p>
    <w:p w:rsidR="003F5CB0" w:rsidRDefault="00DA43A3">
      <w:pPr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Adres: 55-200 Oława, ul. K. Baczyńskiego 1</w:t>
      </w:r>
    </w:p>
    <w:p w:rsidR="003F5CB0" w:rsidRDefault="003F5CB0">
      <w:pPr>
        <w:jc w:val="center"/>
        <w:rPr>
          <w:rFonts w:ascii="Calibri" w:hAnsi="Calibri"/>
          <w:szCs w:val="22"/>
        </w:rPr>
      </w:pPr>
    </w:p>
    <w:p w:rsidR="003F5CB0" w:rsidRDefault="003F5CB0">
      <w:pPr>
        <w:jc w:val="center"/>
        <w:rPr>
          <w:rFonts w:ascii="Calibri" w:hAnsi="Calibri"/>
          <w:szCs w:val="22"/>
        </w:rPr>
      </w:pPr>
    </w:p>
    <w:p w:rsidR="003F5CB0" w:rsidRDefault="00DA43A3">
      <w:pPr>
        <w:jc w:val="center"/>
        <w:rPr>
          <w:rFonts w:ascii="Calibri" w:hAnsi="Calibri"/>
          <w:b/>
          <w:sz w:val="44"/>
          <w:szCs w:val="22"/>
        </w:rPr>
      </w:pPr>
      <w:r>
        <w:rPr>
          <w:rFonts w:ascii="Calibri" w:hAnsi="Calibri"/>
          <w:b/>
          <w:sz w:val="44"/>
          <w:szCs w:val="22"/>
        </w:rPr>
        <w:t>Program funkcjonalno-użytkowy</w:t>
      </w:r>
    </w:p>
    <w:p w:rsidR="003F5CB0" w:rsidRDefault="003F5CB0">
      <w:pPr>
        <w:rPr>
          <w:rFonts w:ascii="Calibri" w:hAnsi="Calibri"/>
          <w:szCs w:val="22"/>
        </w:rPr>
      </w:pPr>
    </w:p>
    <w:p w:rsidR="003F5CB0" w:rsidRDefault="00DA43A3">
      <w:pPr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(opracowany zgodnie</w:t>
      </w:r>
    </w:p>
    <w:p w:rsidR="003F5CB0" w:rsidRDefault="00DA43A3">
      <w:pPr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z Rozporządzeniem Ministra Infrastruktury z dnia 2 września 2004r. w sprawie szczegółowego zakresu</w:t>
      </w:r>
      <w:r>
        <w:rPr>
          <w:rFonts w:ascii="Calibri" w:hAnsi="Calibri"/>
          <w:szCs w:val="22"/>
        </w:rPr>
        <w:br/>
        <w:t>i formy dokumentacji projektowej, specyfikacji technicznych wykonania i odbioru robót budowlanych oraz programu funkcjonalno użytkowego)</w:t>
      </w:r>
    </w:p>
    <w:p w:rsidR="003F5CB0" w:rsidRDefault="003F5CB0">
      <w:pPr>
        <w:rPr>
          <w:rFonts w:ascii="Calibri" w:hAnsi="Calibri"/>
          <w:szCs w:val="22"/>
        </w:rPr>
      </w:pPr>
    </w:p>
    <w:p w:rsidR="003F5CB0" w:rsidRDefault="003F5CB0">
      <w:pPr>
        <w:jc w:val="center"/>
        <w:rPr>
          <w:rFonts w:ascii="Calibri" w:hAnsi="Calibri"/>
          <w:szCs w:val="22"/>
        </w:rPr>
      </w:pPr>
    </w:p>
    <w:p w:rsidR="003F5CB0" w:rsidRDefault="001A1A6A">
      <w:pPr>
        <w:jc w:val="center"/>
      </w:pPr>
      <w:r>
        <w:rPr>
          <w:rFonts w:ascii="Calibri" w:hAnsi="Calibri"/>
          <w:sz w:val="36"/>
          <w:szCs w:val="22"/>
        </w:rPr>
        <w:t>Wymiana dwóch gazowych, kondensacyjnych kotłów grzewczych      wraz z infrastrukturą towarzyszącą w kotłowni Zespołu Opieki Zdrowotnej w Oławie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Inwestor: </w:t>
      </w:r>
      <w:r>
        <w:rPr>
          <w:rFonts w:ascii="Calibri" w:hAnsi="Calibri"/>
          <w:szCs w:val="22"/>
        </w:rPr>
        <w:tab/>
        <w:t xml:space="preserve">Zespół Opieki Zdrowotnej Szpital w Oławie </w:t>
      </w:r>
    </w:p>
    <w:p w:rsidR="003F5CB0" w:rsidRDefault="00DA43A3">
      <w:pPr>
        <w:ind w:left="709" w:firstLine="709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ul. K. Baczyńskiego 1 </w:t>
      </w:r>
    </w:p>
    <w:p w:rsidR="003F5CB0" w:rsidRDefault="00DA43A3">
      <w:pPr>
        <w:ind w:left="709" w:firstLine="709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55-200 Oława </w:t>
      </w:r>
    </w:p>
    <w:p w:rsidR="003F5CB0" w:rsidRDefault="00DA43A3">
      <w:pPr>
        <w:ind w:left="709" w:firstLine="709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Miasto powiatowe Oława, powiat oławski, województwo dolnośląskie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A50EB" w:rsidRDefault="003A50EB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Wg. wspólnego słownika zamówień CPV: </w:t>
      </w:r>
    </w:p>
    <w:p w:rsidR="00D71656" w:rsidRPr="00D71656" w:rsidRDefault="00D71656">
      <w:pPr>
        <w:jc w:val="both"/>
        <w:rPr>
          <w:rFonts w:ascii="Calibri" w:hAnsi="Calibri" w:cs="Calibri"/>
        </w:rPr>
      </w:pPr>
      <w:r w:rsidRPr="00D71656">
        <w:rPr>
          <w:rFonts w:ascii="Calibri" w:hAnsi="Calibri" w:cs="Calibri"/>
        </w:rPr>
        <w:t>45331110-0 Instalowanie kotłów</w:t>
      </w:r>
    </w:p>
    <w:p w:rsidR="00D71656" w:rsidRPr="00D71656" w:rsidRDefault="00D71656">
      <w:pPr>
        <w:jc w:val="both"/>
        <w:rPr>
          <w:rFonts w:ascii="Calibri" w:hAnsi="Calibri" w:cs="Calibri"/>
        </w:rPr>
      </w:pPr>
      <w:r w:rsidRPr="00D71656">
        <w:rPr>
          <w:rFonts w:ascii="Calibri" w:hAnsi="Calibri" w:cs="Calibri"/>
        </w:rPr>
        <w:t>45333000-0 Roboty instalacyjne gazowe</w:t>
      </w:r>
    </w:p>
    <w:p w:rsidR="003F5CB0" w:rsidRDefault="00DA43A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71320000-7 Usługi inżynieryjne w zakresie projektowania </w:t>
      </w:r>
    </w:p>
    <w:p w:rsidR="003F5CB0" w:rsidRDefault="00DA43A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45300000-0 Roboty instalacyjne w budynkach </w:t>
      </w:r>
    </w:p>
    <w:p w:rsidR="003F5CB0" w:rsidRDefault="00DA43A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45331000-6 Instalowanie urządzeń grzewczych, wentylacyjnych i klimatyzacyjnych </w:t>
      </w:r>
    </w:p>
    <w:p w:rsidR="003F5CB0" w:rsidRDefault="003F5CB0">
      <w:pPr>
        <w:jc w:val="both"/>
        <w:rPr>
          <w:rFonts w:ascii="Calibri" w:hAnsi="Calibri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</w:t>
      </w:r>
    </w:p>
    <w:p w:rsidR="003F5CB0" w:rsidRDefault="00DA43A3">
      <w:pPr>
        <w:jc w:val="center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Oława, </w:t>
      </w:r>
      <w:r w:rsidR="003A50EB">
        <w:rPr>
          <w:rFonts w:ascii="Calibri" w:hAnsi="Calibri"/>
          <w:szCs w:val="22"/>
        </w:rPr>
        <w:t>06</w:t>
      </w:r>
      <w:r>
        <w:rPr>
          <w:rFonts w:ascii="Calibri" w:hAnsi="Calibri"/>
          <w:szCs w:val="22"/>
        </w:rPr>
        <w:t xml:space="preserve"> </w:t>
      </w:r>
      <w:r w:rsidR="003A50EB">
        <w:rPr>
          <w:rFonts w:ascii="Calibri" w:hAnsi="Calibri"/>
          <w:szCs w:val="22"/>
        </w:rPr>
        <w:t>sierpni</w:t>
      </w:r>
      <w:r>
        <w:rPr>
          <w:rFonts w:ascii="Calibri" w:hAnsi="Calibri"/>
          <w:szCs w:val="22"/>
        </w:rPr>
        <w:t>a 20</w:t>
      </w:r>
      <w:r w:rsidR="001A1A6A">
        <w:rPr>
          <w:rFonts w:ascii="Calibri" w:hAnsi="Calibri"/>
          <w:szCs w:val="22"/>
        </w:rPr>
        <w:t>26</w:t>
      </w:r>
    </w:p>
    <w:p w:rsidR="00D71656" w:rsidRDefault="00D71656">
      <w:pPr>
        <w:jc w:val="center"/>
        <w:rPr>
          <w:rFonts w:ascii="Calibri" w:hAnsi="Calibri"/>
          <w:szCs w:val="22"/>
        </w:rPr>
      </w:pPr>
    </w:p>
    <w:p w:rsidR="00D71656" w:rsidRDefault="00D71656">
      <w:pPr>
        <w:jc w:val="center"/>
        <w:rPr>
          <w:rFonts w:ascii="Calibri" w:hAnsi="Calibri"/>
          <w:szCs w:val="22"/>
        </w:rPr>
      </w:pPr>
    </w:p>
    <w:p w:rsidR="00D71656" w:rsidRDefault="00D71656">
      <w:pPr>
        <w:jc w:val="center"/>
        <w:rPr>
          <w:rFonts w:ascii="Calibri" w:hAnsi="Calibri"/>
          <w:szCs w:val="22"/>
        </w:rPr>
      </w:pP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lastRenderedPageBreak/>
        <w:t xml:space="preserve">Spis treści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1. Cel opracowania programu i przedmiot zamówienia – str. 3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2. Prawna wykonalność inwestycji – str. 3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3. Aktualne uwarunkowania wykonania przedmiotu zamówienia – str. 4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3.1. Lokalizacja obiektu – str. 4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3.2. Stan obecny obiektu – str. 6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4. Opis ogólny przedmiotu zamówienia – str. 8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5. Pozostałe wymagania Zamawiającego w stosunku do przedmiotu zamówienia – str. 8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6. Zakres rzeczowy – str. 8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6.1. Rurociągi wodociągowe zewnętrzne – str. 8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6.2. Instalacje wewnętrzne – str. 9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6.3. Próby i rozruch stacji podwyższania ciśnienia – str. 10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7. Plan wdrożenia i eksploatacji projektu – str. 10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8. Realizacja robót – str. 12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8.1. Przygotowanie terenu budowy – str. 12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8.2. Transport materiałów – str. 12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8.3. Odbiory – str. 12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8.4. Wymagania dotyczące bezpieczeństwa i higieny pracy oraz ochrony ppoż . – str. 13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9. Uwagi końcowe – str. 14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10. Załączniki – str. 15</w:t>
      </w:r>
    </w:p>
    <w:p w:rsidR="00DA73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11. Aktualne uwarunkowania wykonania przedmiotu zamówienia – str. 15</w:t>
      </w:r>
    </w:p>
    <w:p w:rsidR="00DA7397" w:rsidRDefault="00DA7397" w:rsidP="00631EBD">
      <w:pPr>
        <w:jc w:val="both"/>
        <w:rPr>
          <w:rFonts w:ascii="Calibri" w:hAnsi="Calibri"/>
          <w:szCs w:val="22"/>
        </w:rPr>
      </w:pPr>
    </w:p>
    <w:p w:rsidR="00DA7397" w:rsidRDefault="00DA7397" w:rsidP="00631EBD">
      <w:pPr>
        <w:jc w:val="both"/>
        <w:rPr>
          <w:rFonts w:ascii="Calibri" w:hAnsi="Calibri"/>
          <w:szCs w:val="22"/>
        </w:rPr>
      </w:pPr>
    </w:p>
    <w:p w:rsidR="00DA7397" w:rsidRDefault="00DA7397" w:rsidP="00631EBD">
      <w:pPr>
        <w:jc w:val="both"/>
        <w:rPr>
          <w:rFonts w:ascii="Calibri" w:hAnsi="Calibri"/>
          <w:szCs w:val="22"/>
        </w:rPr>
      </w:pPr>
    </w:p>
    <w:p w:rsidR="00631EBD" w:rsidRDefault="00631EBD">
      <w:pPr>
        <w:jc w:val="both"/>
      </w:pPr>
    </w:p>
    <w:p w:rsidR="003F5CB0" w:rsidRDefault="003F5CB0">
      <w:pPr>
        <w:pageBreakBefore/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1. Cel opracowania programu i przedmiot zamówienia.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Celem poniższego opracowania jest przygotowanie w systemie zaprojektuj i wybuduj przedsięwzięcia związanego z </w:t>
      </w:r>
      <w:r w:rsidR="003A50EB">
        <w:rPr>
          <w:rFonts w:ascii="Calibri" w:hAnsi="Calibri"/>
          <w:szCs w:val="22"/>
        </w:rPr>
        <w:t>wymianą dwóch kotłów grzewczych</w:t>
      </w:r>
      <w:r>
        <w:rPr>
          <w:rFonts w:ascii="Calibri" w:hAnsi="Calibri"/>
          <w:szCs w:val="22"/>
        </w:rPr>
        <w:t xml:space="preserve"> wr</w:t>
      </w:r>
      <w:r w:rsidR="00F66E30">
        <w:rPr>
          <w:rFonts w:ascii="Calibri" w:hAnsi="Calibri"/>
          <w:szCs w:val="22"/>
        </w:rPr>
        <w:t>a</w:t>
      </w:r>
      <w:r>
        <w:rPr>
          <w:rFonts w:ascii="Calibri" w:hAnsi="Calibri"/>
          <w:szCs w:val="22"/>
        </w:rPr>
        <w:t>z z niezbędn</w:t>
      </w:r>
      <w:r w:rsidR="00F66E30">
        <w:rPr>
          <w:rFonts w:ascii="Calibri" w:hAnsi="Calibri"/>
          <w:szCs w:val="22"/>
        </w:rPr>
        <w:t>ą</w:t>
      </w:r>
      <w:r w:rsidR="002B51D1">
        <w:rPr>
          <w:rFonts w:ascii="Calibri" w:hAnsi="Calibri"/>
          <w:szCs w:val="22"/>
        </w:rPr>
        <w:t xml:space="preserve"> </w:t>
      </w:r>
      <w:r w:rsidR="003A50EB">
        <w:rPr>
          <w:rFonts w:ascii="Calibri" w:hAnsi="Calibri"/>
          <w:szCs w:val="22"/>
        </w:rPr>
        <w:t>infrastrukturą towarzyszącą</w:t>
      </w:r>
      <w:r w:rsidR="00F66E30">
        <w:rPr>
          <w:rFonts w:ascii="Calibri" w:hAnsi="Calibri"/>
          <w:szCs w:val="22"/>
        </w:rPr>
        <w:t>.</w:t>
      </w:r>
      <w:r w:rsidR="003A50EB">
        <w:rPr>
          <w:rFonts w:ascii="Calibri" w:hAnsi="Calibri"/>
          <w:szCs w:val="22"/>
        </w:rPr>
        <w:t xml:space="preserve">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Poszczególne roboty zostały opisane w dalszej części programu. Wszystkie wartości dotyczące wielkości prac związanych z </w:t>
      </w:r>
      <w:r w:rsidR="003A50EB">
        <w:rPr>
          <w:rFonts w:ascii="Calibri" w:hAnsi="Calibri"/>
          <w:szCs w:val="22"/>
        </w:rPr>
        <w:t>wymianą kotłów</w:t>
      </w:r>
      <w:r>
        <w:rPr>
          <w:rFonts w:ascii="Calibri" w:hAnsi="Calibri"/>
          <w:szCs w:val="22"/>
        </w:rPr>
        <w:t xml:space="preserve"> (np. </w:t>
      </w:r>
      <w:r w:rsidR="003A50EB">
        <w:rPr>
          <w:rFonts w:ascii="Calibri" w:hAnsi="Calibri"/>
          <w:szCs w:val="22"/>
        </w:rPr>
        <w:t xml:space="preserve">mocy, </w:t>
      </w:r>
      <w:r>
        <w:rPr>
          <w:rFonts w:ascii="Calibri" w:hAnsi="Calibri"/>
          <w:szCs w:val="22"/>
        </w:rPr>
        <w:t xml:space="preserve">powierzchni, długości itp) mogą odbiegać od stanu rzeczywistego i należy je zweryfikować przed złożeniem ofert oraz na etapie </w:t>
      </w:r>
      <w:r w:rsidR="003A50EB">
        <w:rPr>
          <w:rFonts w:ascii="Calibri" w:hAnsi="Calibri"/>
          <w:szCs w:val="22"/>
        </w:rPr>
        <w:t>przygotowania oferty</w:t>
      </w:r>
      <w:r>
        <w:rPr>
          <w:rFonts w:ascii="Calibri" w:hAnsi="Calibri"/>
          <w:szCs w:val="22"/>
        </w:rPr>
        <w:t xml:space="preserve"> – konieczna inwentaryzacja.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Oczekuje się od Oferentów złożenia ofert obejmujących pełen zakres Zamówienia: projektowanie oraz realizację przedsięwzięcia. Oferta powinna być zgodna z niniejszym programem. Oferent ujmie w swoim zakresie również te dodatkowe roboty i elementy instalacji, które nie zostały wyszczególnione w programie, lecz są ważne i niezbędne dla poprawnego funkcjonowania, stabilnego działania oraz wykonywania prac konserwacyjnych, jak również gwarancji sprawnego i bezawaryjnego działania. Projekt wykonawczy musi uwzględniać zagadnienia ujęte w programie funkcjonalno-użytkowym i SIWZ.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2. Prawna wykonalność inwestycji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Wykonawca zobowiązany będzie do uzyskania wszystkich wymaganych prawem i przepisami dokumentów, aby zapewniły dostawcom i personelowi wystarczające wskazówki do realizacji inwestycji. Szpital jako zamawiający będzie miał prawo dokonywać przeglądów dokumentów Wykonawcy i dokonywać inspekcji ich przygotowania, gdziekolwiek są one przygotowywane. Każdy dokument Wykonawcy będzie, po uznaniu go za nadający się do użytku, przedłożony Zamawiającemu do weryfikacji i zatwierdzenia.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Dodatkowe informacje: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1. Zamawiający udostępni Wykonawcy zainteresowanemu wykonaniem projektu oraz realizacją zadania wszystkie niezbędne dokumenty, które są w jego posiadaniu oraz udzieli informacji niezbędnych do realizacji przedmiotu zamówienia. Dokumentacja może służyć jako materiał pomocniczy.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2. Wykonawca jest zobowiązany zrealizować przedmiot zamówienia spełniając w szczególności wymagania: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Ustawy  z dnia 7 lipca 1994r. Prawo budowlane (Dz. U. z 2003r. Nr 207, poz. 2016 ze zmianami),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Ustawy z dnia 10 kwietnia 1997r. Prawo energetyczne, </w:t>
      </w:r>
    </w:p>
    <w:p w:rsidR="003F5CB0" w:rsidRDefault="00DA43A3">
      <w:pPr>
        <w:pStyle w:val="Default"/>
      </w:pPr>
      <w:r>
        <w:rPr>
          <w:rFonts w:ascii="Calibri" w:hAnsi="Calibri"/>
          <w:color w:val="auto"/>
          <w:szCs w:val="22"/>
        </w:rPr>
        <w:t xml:space="preserve">- </w:t>
      </w:r>
      <w:r>
        <w:rPr>
          <w:rFonts w:ascii="Calibri" w:hAnsi="Calibri" w:cs="Calibri"/>
          <w:color w:val="auto"/>
          <w:sz w:val="23"/>
          <w:szCs w:val="23"/>
        </w:rPr>
        <w:t xml:space="preserve">WTWiO Roboty budowlano-montażowe. Tom II. Instalacje sanitarne i przemysłowe,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Rozporządzenia Ministra Infrastruktury z dnia 2 września 2004 r. (Dz. U. Nr 202, poz. 2072) w sprawie szczegółowego zakresu i formy dokumentacji projektowej, specyfikacji technicznych wykonania i odbioru robót budowlanych oraz programu funkcjonalno-użytkowego,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Infrastruktury z dnia 18 maja 2004 r.(Dz. U. Nr 130 poz. 1389) w sprawie określenia metod i podstaw sporządzania kosztorysu inwestorskiego, obliczenia planowanych kosztów prac projektowych oraz planowanych kosztów robót budowlanych określonych w programie funkcjonalno-użytkowym, </w:t>
      </w:r>
    </w:p>
    <w:p w:rsidR="003A50EB" w:rsidRDefault="003A50EB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 xml:space="preserve">- Rozporządzenie Ministra Infrastruktury z dnia 12 kwietnia 2002 r. w sprawie warunków technicznych, jakim powinny odpowiadać budynki i ich usytuowanie (Dz. U. z dnia 15czerwca 2002 r.).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3. Aktualne uwarunkowania wykonania przedmiotu zamówienia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3.1. Lokalizacja obiektu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Inwestycja jest zlokalizowana na terenie Zespołu Opieki Zdrowotnej w Oławie i będzie polegać na </w:t>
      </w:r>
      <w:r w:rsidR="003A50EB">
        <w:rPr>
          <w:rFonts w:ascii="Calibri" w:hAnsi="Calibri"/>
          <w:szCs w:val="22"/>
        </w:rPr>
        <w:t xml:space="preserve">wymianie dwóch kotłów grzewczych, przyłączenia ich do obecnego systemu sterowania oraz </w:t>
      </w:r>
      <w:r>
        <w:rPr>
          <w:rFonts w:ascii="Calibri" w:hAnsi="Calibri"/>
          <w:szCs w:val="22"/>
        </w:rPr>
        <w:t xml:space="preserve">modernizacji instalacji </w:t>
      </w:r>
      <w:r w:rsidR="003A50EB">
        <w:rPr>
          <w:rFonts w:ascii="Calibri" w:hAnsi="Calibri"/>
          <w:szCs w:val="22"/>
        </w:rPr>
        <w:t>ciepła w</w:t>
      </w:r>
      <w:r>
        <w:rPr>
          <w:rFonts w:ascii="Calibri" w:hAnsi="Calibri"/>
          <w:szCs w:val="22"/>
        </w:rPr>
        <w:t xml:space="preserve"> budynku </w:t>
      </w:r>
      <w:r w:rsidR="003A50EB">
        <w:rPr>
          <w:rFonts w:ascii="Calibri" w:hAnsi="Calibri"/>
          <w:szCs w:val="22"/>
        </w:rPr>
        <w:t xml:space="preserve">kotłowni szpitala. </w:t>
      </w:r>
      <w:r>
        <w:rPr>
          <w:rFonts w:ascii="Calibri" w:hAnsi="Calibri"/>
          <w:szCs w:val="22"/>
        </w:rPr>
        <w:t xml:space="preserve">Inwestycja zlokalizowana jest w mieście powiatowym Oława, w powiecie oławskim, województwie dolnośląskim.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Lokalizacja inwestycji jest zaznaczona na poniższych mapach.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</w:t>
      </w:r>
    </w:p>
    <w:p w:rsidR="003F5CB0" w:rsidRDefault="00DA43A3" w:rsidP="003A50EB">
      <w:pPr>
        <w:jc w:val="center"/>
      </w:pPr>
      <w:r>
        <w:rPr>
          <w:rFonts w:ascii="Calibri" w:hAnsi="Calibri"/>
          <w:noProof/>
          <w:szCs w:val="22"/>
        </w:rPr>
        <w:drawing>
          <wp:inline distT="0" distB="0" distL="0" distR="0">
            <wp:extent cx="5988305" cy="3844183"/>
            <wp:effectExtent l="0" t="0" r="0" b="0"/>
            <wp:docPr id="1" name="Obraz 5" descr="mapa ogol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305" cy="38441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 w:rsidP="003A50EB">
      <w:pPr>
        <w:jc w:val="center"/>
      </w:pPr>
      <w:r>
        <w:rPr>
          <w:rFonts w:ascii="Calibri" w:hAnsi="Calibri"/>
          <w:noProof/>
          <w:szCs w:val="22"/>
        </w:rPr>
        <w:lastRenderedPageBreak/>
        <w:drawing>
          <wp:inline distT="0" distB="0" distL="0" distR="0">
            <wp:extent cx="6036192" cy="3964911"/>
            <wp:effectExtent l="0" t="0" r="0" b="0"/>
            <wp:docPr id="2" name="Obraz 6" descr="mapa szczegolow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192" cy="396491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F5CB0" w:rsidRDefault="00DA43A3">
      <w:pPr>
        <w:pageBreakBefore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 xml:space="preserve">3.2. Stan obecny obiektu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Zespół Opieki Zdrowotnej w Oławie jest samodzielnym publicznym zakładem opieki zdrowotnej, którego organem założycielskim i nadzorującym jest Powiat Oławski. ZOZ w Oławie to specjalistyczna placówka medyczna z rozbudowaną bazą diagnostyczną, wyposażona w najnowszej generacji sprzęt, przygotowana do udzielania kompleksowych świadczeń zdrowotnych najwyższej jakości.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Szpital w Oławie sprawuje opiekę zdrowotną nad mieszkańcami powiatu oławskiego oraz okolicznych gmin w oparciu o posiadaną bazę w postaci oddziałów szpitalnych, poradni specjalistycznych, Zakładu Opiekuńczo-Leczniczego, hospicjum, działu rehabilitacji oraz pracowni diagnostycznych.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 ramach struktury organizacyjnej funkcjonuje 7 oddziałów (wewnętrzny, chirurgiczny z blokiem operacyjnym, ginekologiczno-położniczy z pododdziałem patologii ciąży i blokiem porodowym, dziecięcy, neonatologiczny, laryngologiczny, SOR), ZOL, hospicjum, kilkanaście poradni specjalistycznych oraz kilka pracowni i działów diagnostycznych (USG, EKG, pracownia endoskopowa, RTG, rehabilitacja z podpodziałem fizykoterapii, laboratorium centralne z bakteriologią i patomorfologią, apteka szpitalna). </w:t>
      </w:r>
    </w:p>
    <w:p w:rsidR="00D748F2" w:rsidRDefault="00D748F2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Obecnie w szpitalu działają oddziały: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1) Blok Operacyjny z Działem Anestezjologii.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2) Oddział Chirurgii Ogólnej.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3) Oddział Neonatologiczny.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4) Oddział Ginekologiczno – Położniczy.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5) Oddział Laryngologii.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6) Oddział Dziecięcy.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7) Oddział Chorób Wewnętrznych.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8) Oddział Ratunkowy.</w:t>
      </w:r>
    </w:p>
    <w:p w:rsidR="003A50EB" w:rsidRDefault="003A50EB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9) Oddział Anestezjologii i Intensywnej Terapii</w:t>
      </w:r>
    </w:p>
    <w:p w:rsidR="003A50EB" w:rsidRDefault="003A50EB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10) Szpitalny Oddział Ratunkowy</w:t>
      </w:r>
    </w:p>
    <w:p w:rsidR="003A50EB" w:rsidRDefault="003A50EB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11) Zakład Opiekuńczo-Leczniczy</w:t>
      </w:r>
    </w:p>
    <w:p w:rsidR="003A50EB" w:rsidRDefault="003A50EB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12) Oddział Okulistyczny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Obiekty szpitalne Zespołu Opieki Zdrowotnej w Oławie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1. Budynek główny szpitala z dobudowanym oddziałem ratownictwa medycznego i diagnostyki obrazowej (SOR i DO) - Budynek A - 6 kondygnacji ( piwnica + 5 pięter)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2. Budynek administracyjny - Budynek B - 6 kondygnacji ( piwnica + 5 pięter)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3. Budynek przychodni lekarskiej - Budynek C - 3 kondygnacje ( piwnica + 2 piętra)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4. Budynek zaplecza, w którym znajduje się pralnia i kuchnia - Budynek D </w:t>
      </w:r>
      <w:r w:rsidR="00D748F2">
        <w:rPr>
          <w:rFonts w:ascii="Calibri" w:hAnsi="Calibri"/>
          <w:szCs w:val="22"/>
        </w:rPr>
        <w:t>–</w:t>
      </w:r>
      <w:r>
        <w:rPr>
          <w:rFonts w:ascii="Calibri" w:hAnsi="Calibri"/>
          <w:szCs w:val="22"/>
        </w:rPr>
        <w:t xml:space="preserve"> 2</w:t>
      </w:r>
      <w:r w:rsidR="00D748F2"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kondygnacje (piwnica + piętro)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W szpitalu pracuje około</w:t>
      </w:r>
      <w:r w:rsidR="00D748F2">
        <w:rPr>
          <w:rFonts w:ascii="Calibri" w:hAnsi="Calibri"/>
          <w:szCs w:val="22"/>
        </w:rPr>
        <w:t xml:space="preserve"> 400</w:t>
      </w:r>
      <w:r>
        <w:rPr>
          <w:rFonts w:ascii="Calibri" w:hAnsi="Calibri"/>
          <w:szCs w:val="22"/>
        </w:rPr>
        <w:t xml:space="preserve"> osób, znajduje się w nim około 300 łóżek z obłożeniem około 80%.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center"/>
      </w:pPr>
      <w:r>
        <w:rPr>
          <w:rFonts w:ascii="Calibri" w:hAnsi="Calibri"/>
          <w:noProof/>
          <w:szCs w:val="22"/>
        </w:rPr>
        <w:drawing>
          <wp:inline distT="0" distB="0" distL="0" distR="0">
            <wp:extent cx="5664387" cy="3305528"/>
            <wp:effectExtent l="0" t="0" r="0" b="0"/>
            <wp:docPr id="3" name="Obraz 7" descr="schema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387" cy="33055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748F2">
      <w:pPr>
        <w:jc w:val="center"/>
      </w:pPr>
      <w:r>
        <w:rPr>
          <w:noProof/>
        </w:rPr>
        <w:drawing>
          <wp:inline distT="0" distB="0" distL="0" distR="0">
            <wp:extent cx="5781675" cy="338137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8F2" w:rsidRDefault="00D748F2">
      <w:pPr>
        <w:jc w:val="center"/>
      </w:pPr>
    </w:p>
    <w:p w:rsidR="00D748F2" w:rsidRDefault="00D748F2">
      <w:pPr>
        <w:jc w:val="center"/>
      </w:pPr>
    </w:p>
    <w:p w:rsidR="0098039F" w:rsidRDefault="0098039F">
      <w:pPr>
        <w:jc w:val="center"/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>4. Opis ogólny przedmiotu zamówienia</w:t>
      </w:r>
    </w:p>
    <w:p w:rsidR="00C24F4C" w:rsidRDefault="00C24F4C">
      <w:pPr>
        <w:jc w:val="both"/>
        <w:rPr>
          <w:rFonts w:ascii="Calibri" w:hAnsi="Calibri"/>
          <w:szCs w:val="22"/>
        </w:rPr>
      </w:pPr>
    </w:p>
    <w:p w:rsidR="003F5CB0" w:rsidRDefault="00C24F4C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Wymianą dwóch kotłów grzewczych wraz z niezbędną infrastrukturą towarzyszącą.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5. Pozostałe wymagania Zamawiającego w stosunku do przedmiotu zamówienia.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 zakresie inwestycji Wykonawca jest zobowiązany do </w:t>
      </w:r>
      <w:r w:rsidR="008E63A5">
        <w:rPr>
          <w:rFonts w:ascii="Calibri" w:hAnsi="Calibri"/>
          <w:szCs w:val="22"/>
        </w:rPr>
        <w:t xml:space="preserve">uzyskania wszelkich pozwoleń i </w:t>
      </w:r>
      <w:r>
        <w:rPr>
          <w:rFonts w:ascii="Calibri" w:hAnsi="Calibri"/>
          <w:szCs w:val="22"/>
        </w:rPr>
        <w:t xml:space="preserve">opracowania dokumentacji projektowej obejmującej: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- Inwentaryzacja obiektu – w celu potwierdzenia wszystkich robót do wykonania i naniesieniu ewentualnych poprawek; 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- Projekt budowlany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- Projekt wykonawczy z podziałem na branże; </w:t>
      </w:r>
    </w:p>
    <w:p w:rsidR="00C24F4C" w:rsidRDefault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- Specyfikację techniczną wykonania i odbioru robót. Specyfikacje muszą uwzględniać wymagania określone w Rozporządzeniu Ministra Infrastruktury z dnia 2 września 2004 r. w sprawie szczegółowego zakresu i formy dokumentacji projektowej, specyfikacji technicznych wykonania i odbioru robót budowlanych oraz programu funkcjonalno-użytkowego (Dz. U. z 2004 r. Nr 202 póz. 2072);</w:t>
      </w:r>
    </w:p>
    <w:p w:rsidR="00C24F4C" w:rsidRDefault="00C24F4C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>6. Zakres rzeczowy</w:t>
      </w:r>
    </w:p>
    <w:p w:rsidR="003F5CB0" w:rsidRDefault="003F5CB0">
      <w:pPr>
        <w:jc w:val="both"/>
        <w:rPr>
          <w:rFonts w:ascii="Calibri" w:hAnsi="Calibri" w:cs="Arial"/>
          <w:sz w:val="22"/>
          <w:szCs w:val="20"/>
        </w:rPr>
      </w:pPr>
    </w:p>
    <w:p w:rsidR="003F5CB0" w:rsidRDefault="00DA43A3">
      <w:pPr>
        <w:widowControl/>
        <w:suppressAutoHyphens w:val="0"/>
        <w:jc w:val="both"/>
        <w:textAlignment w:val="auto"/>
      </w:pPr>
      <w:r>
        <w:rPr>
          <w:rFonts w:ascii="Calibri" w:hAnsi="Calibri" w:cs="Arial"/>
          <w:sz w:val="22"/>
          <w:szCs w:val="20"/>
        </w:rPr>
        <w:t xml:space="preserve">Mając na uwadze, że roboty budowlane prowadzone będą w czynnym obiekcie służby zdrowia do obowiązku Wykonawcy w przypadku konieczności należeć będzie wykonanie tymczasowych zasileń dla sieci i instalacji niezbędnych dla pracy budynków szpitalnych w trakcie prowadzonych robót objętych umową. W szczególności zapewnić ciągłość dostaw </w:t>
      </w:r>
      <w:r w:rsidR="00C24F4C">
        <w:rPr>
          <w:rFonts w:ascii="Calibri" w:hAnsi="Calibri" w:cs="Arial"/>
          <w:sz w:val="22"/>
          <w:szCs w:val="20"/>
        </w:rPr>
        <w:t>ciepła</w:t>
      </w:r>
      <w:r>
        <w:rPr>
          <w:rFonts w:ascii="Calibri" w:hAnsi="Calibri" w:cs="Arial"/>
          <w:sz w:val="22"/>
          <w:szCs w:val="20"/>
        </w:rPr>
        <w:t xml:space="preserve"> do ZOZ Oława, a ewentualne krótkie przerwy uzgodnić z Zamawiającym.</w:t>
      </w:r>
    </w:p>
    <w:p w:rsidR="003F5CB0" w:rsidRDefault="003F5CB0">
      <w:pPr>
        <w:jc w:val="both"/>
        <w:rPr>
          <w:rFonts w:ascii="Calibri" w:hAnsi="Calibri" w:cs="Arial"/>
          <w:sz w:val="22"/>
          <w:szCs w:val="20"/>
        </w:rPr>
      </w:pPr>
    </w:p>
    <w:p w:rsidR="00C24F4C" w:rsidRPr="00BE32A1" w:rsidRDefault="00C24F4C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E32A1">
        <w:rPr>
          <w:rFonts w:asciiTheme="minorHAnsi" w:hAnsiTheme="minorHAnsi" w:cstheme="minorHAnsi"/>
          <w:color w:val="000000" w:themeColor="text1"/>
          <w:sz w:val="24"/>
          <w:szCs w:val="24"/>
        </w:rPr>
        <w:t>1. Zakres prac demontażowych, utylizacji i przygotowawczych</w:t>
      </w:r>
    </w:p>
    <w:p w:rsidR="00C24F4C" w:rsidRPr="00BC4165" w:rsidRDefault="00C24F4C" w:rsidP="00C24F4C">
      <w:pPr>
        <w:pStyle w:val="NormalnyWeb"/>
        <w:numPr>
          <w:ilvl w:val="0"/>
          <w:numId w:val="9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Demontaż wyeksploatowanych urządzeń:</w:t>
      </w:r>
      <w:r w:rsidRPr="00BC4165">
        <w:rPr>
          <w:rFonts w:asciiTheme="minorHAnsi" w:hAnsiTheme="minorHAnsi" w:cstheme="minorHAnsi"/>
          <w:color w:val="000000" w:themeColor="text1"/>
        </w:rPr>
        <w:t xml:space="preserve"> demontaż 2 niesprawnych kotłów</w:t>
      </w:r>
      <w:r w:rsidR="0079689A">
        <w:rPr>
          <w:rFonts w:asciiTheme="minorHAnsi" w:hAnsiTheme="minorHAnsi" w:cstheme="minorHAnsi"/>
          <w:color w:val="000000" w:themeColor="text1"/>
        </w:rPr>
        <w:t xml:space="preserve"> gazowych kondensacyjnych</w:t>
      </w:r>
      <w:r w:rsidRPr="00BC4165">
        <w:rPr>
          <w:rFonts w:asciiTheme="minorHAnsi" w:hAnsiTheme="minorHAnsi" w:cstheme="minorHAnsi"/>
          <w:color w:val="000000" w:themeColor="text1"/>
        </w:rPr>
        <w:t xml:space="preserve"> </w:t>
      </w:r>
      <w:r w:rsidR="0079689A">
        <w:rPr>
          <w:rFonts w:asciiTheme="minorHAnsi" w:hAnsiTheme="minorHAnsi" w:cstheme="minorHAnsi"/>
          <w:color w:val="000000" w:themeColor="text1"/>
        </w:rPr>
        <w:t xml:space="preserve">WOLF MGK300E </w:t>
      </w:r>
      <w:r w:rsidRPr="00BC4165">
        <w:rPr>
          <w:rFonts w:asciiTheme="minorHAnsi" w:hAnsiTheme="minorHAnsi" w:cstheme="minorHAnsi"/>
          <w:color w:val="000000" w:themeColor="text1"/>
        </w:rPr>
        <w:t xml:space="preserve">wraz z przynależną armaturą odcinającą i zabezpieczającą, rurociągami dobiegowymi, spalinowymi oraz okablowaniem elektrycznym i sygnałowym. Prace demontażowe muszą być prowadzone w sposób niezagrażający ciągłości pracy pozostałych urządzeń w kotłowni. </w:t>
      </w:r>
    </w:p>
    <w:p w:rsidR="00C24F4C" w:rsidRPr="00BC4165" w:rsidRDefault="00C24F4C" w:rsidP="00C24F4C">
      <w:pPr>
        <w:pStyle w:val="NormalnyWeb"/>
        <w:numPr>
          <w:ilvl w:val="0"/>
          <w:numId w:val="9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Adaptacja miejsca montażu:</w:t>
      </w:r>
      <w:r w:rsidRPr="00BC4165">
        <w:rPr>
          <w:rFonts w:asciiTheme="minorHAnsi" w:hAnsiTheme="minorHAnsi" w:cstheme="minorHAnsi"/>
          <w:color w:val="000000" w:themeColor="text1"/>
        </w:rPr>
        <w:t xml:space="preserve"> </w:t>
      </w:r>
      <w:r w:rsidR="00D71656">
        <w:rPr>
          <w:rFonts w:asciiTheme="minorHAnsi" w:hAnsiTheme="minorHAnsi" w:cstheme="minorHAnsi"/>
          <w:color w:val="000000" w:themeColor="text1"/>
        </w:rPr>
        <w:t xml:space="preserve">ewentualne dostosowanie </w:t>
      </w:r>
      <w:r w:rsidRPr="00BC4165">
        <w:rPr>
          <w:rFonts w:asciiTheme="minorHAnsi" w:hAnsiTheme="minorHAnsi" w:cstheme="minorHAnsi"/>
          <w:color w:val="000000" w:themeColor="text1"/>
        </w:rPr>
        <w:t>podstaw pod nowe urządzenia, przeróbki podejść instalacji gazowej, wodnej, elektrycznej oraz odpływu skroplin.</w:t>
      </w:r>
    </w:p>
    <w:p w:rsidR="00C24F4C" w:rsidRPr="00BC4165" w:rsidRDefault="00C24F4C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4165">
        <w:rPr>
          <w:rFonts w:asciiTheme="minorHAnsi" w:hAnsiTheme="minorHAnsi" w:cstheme="minorHAnsi"/>
          <w:color w:val="000000" w:themeColor="text1"/>
          <w:sz w:val="24"/>
          <w:szCs w:val="24"/>
        </w:rPr>
        <w:t>2. Dopasowanie i Parametry Hydrauliczno-Cieplne Kotłów</w:t>
      </w:r>
      <w:r w:rsidR="00B03B9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(kotły muszą być o parametrach równoważnych demontowanych kotłów)</w:t>
      </w:r>
    </w:p>
    <w:p w:rsidR="00C24F4C" w:rsidRPr="00BC4165" w:rsidRDefault="00C24F4C" w:rsidP="00C24F4C">
      <w:pPr>
        <w:pStyle w:val="NormalnyWeb"/>
        <w:numPr>
          <w:ilvl w:val="0"/>
          <w:numId w:val="10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Moc znamionowa i modulacja:</w:t>
      </w:r>
    </w:p>
    <w:p w:rsidR="003973A7" w:rsidRPr="003973A7" w:rsidRDefault="00C24F4C" w:rsidP="00C24F4C">
      <w:pPr>
        <w:pStyle w:val="NormalnyWeb"/>
        <w:numPr>
          <w:ilvl w:val="1"/>
          <w:numId w:val="10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3973A7">
        <w:rPr>
          <w:rFonts w:asciiTheme="minorHAnsi" w:hAnsiTheme="minorHAnsi" w:cstheme="minorHAnsi"/>
          <w:color w:val="000000" w:themeColor="text1"/>
        </w:rPr>
        <w:t>Określenie wymaganej mocy nominalnej dla parametrów pracy instalacji</w:t>
      </w:r>
      <w:r w:rsidR="003973A7" w:rsidRPr="003973A7">
        <w:rPr>
          <w:rFonts w:asciiTheme="minorHAnsi" w:hAnsiTheme="minorHAnsi" w:cstheme="minorHAnsi"/>
          <w:color w:val="000000" w:themeColor="text1"/>
        </w:rPr>
        <w:t xml:space="preserve">. </w:t>
      </w:r>
    </w:p>
    <w:p w:rsidR="003973A7" w:rsidRPr="003973A7" w:rsidRDefault="003973A7" w:rsidP="003973A7">
      <w:pPr>
        <w:pStyle w:val="NormalnyWeb"/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3973A7">
        <w:rPr>
          <w:rFonts w:asciiTheme="minorHAnsi" w:hAnsiTheme="minorHAnsi" w:cstheme="minorHAnsi"/>
          <w:color w:val="000000" w:themeColor="text1"/>
        </w:rPr>
        <w:t>Z</w:t>
      </w:r>
      <w:r w:rsidR="0079689A" w:rsidRPr="003973A7">
        <w:rPr>
          <w:rFonts w:asciiTheme="minorHAnsi" w:hAnsiTheme="minorHAnsi" w:cstheme="minorHAnsi"/>
          <w:color w:val="000000" w:themeColor="text1"/>
        </w:rPr>
        <w:t>akres mocy cieplnej obecnych kotłów</w:t>
      </w:r>
      <w:r w:rsidRPr="003973A7">
        <w:rPr>
          <w:rFonts w:asciiTheme="minorHAnsi" w:hAnsiTheme="minorHAnsi" w:cstheme="minorHAnsi"/>
          <w:color w:val="000000" w:themeColor="text1"/>
        </w:rPr>
        <w:t xml:space="preserve"> dla pojedynczego kotła: ogrzewanie 50/30</w:t>
      </w:r>
      <w:r w:rsidRPr="003973A7">
        <w:rPr>
          <w:rFonts w:asciiTheme="minorHAnsi" w:hAnsiTheme="minorHAnsi" w:cstheme="minorHAnsi"/>
          <w:color w:val="000000" w:themeColor="text1"/>
          <w:vertAlign w:val="superscript"/>
        </w:rPr>
        <w:t>o</w:t>
      </w:r>
      <w:r w:rsidRPr="003973A7">
        <w:rPr>
          <w:rFonts w:asciiTheme="minorHAnsi" w:hAnsiTheme="minorHAnsi" w:cstheme="minorHAnsi"/>
          <w:color w:val="000000" w:themeColor="text1"/>
        </w:rPr>
        <w:t>C – 294kW; ogrzewanie 80/60</w:t>
      </w:r>
      <w:r w:rsidRPr="003973A7">
        <w:rPr>
          <w:rFonts w:asciiTheme="minorHAnsi" w:hAnsiTheme="minorHAnsi" w:cstheme="minorHAnsi"/>
          <w:color w:val="000000" w:themeColor="text1"/>
          <w:vertAlign w:val="superscript"/>
        </w:rPr>
        <w:t>o</w:t>
      </w:r>
      <w:r w:rsidRPr="003973A7">
        <w:rPr>
          <w:rFonts w:asciiTheme="minorHAnsi" w:hAnsiTheme="minorHAnsi" w:cstheme="minorHAnsi"/>
          <w:color w:val="000000" w:themeColor="text1"/>
        </w:rPr>
        <w:t>C – 275 kW.</w:t>
      </w:r>
    </w:p>
    <w:p w:rsidR="00C24F4C" w:rsidRPr="003973A7" w:rsidRDefault="00C24F4C" w:rsidP="00C24F4C">
      <w:pPr>
        <w:pStyle w:val="NormalnyWeb"/>
        <w:numPr>
          <w:ilvl w:val="1"/>
          <w:numId w:val="10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3973A7">
        <w:rPr>
          <w:rFonts w:asciiTheme="minorHAnsi" w:hAnsiTheme="minorHAnsi" w:cstheme="minorHAnsi"/>
          <w:color w:val="000000" w:themeColor="text1"/>
        </w:rPr>
        <w:lastRenderedPageBreak/>
        <w:t>Szeroki zakres modulacji mocy pojedynczego kotła, umożliwiający płynne dopasowanie mocy w kaskadzie przy niskim zapotrzebowaniu na ciepło.</w:t>
      </w:r>
    </w:p>
    <w:p w:rsidR="00C24F4C" w:rsidRPr="00BC4165" w:rsidRDefault="00C24F4C" w:rsidP="00C24F4C">
      <w:pPr>
        <w:pStyle w:val="NormalnyWeb"/>
        <w:numPr>
          <w:ilvl w:val="0"/>
          <w:numId w:val="10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Wymagania dla obiegu kotłowego (strona pierwotna):</w:t>
      </w:r>
    </w:p>
    <w:p w:rsidR="00C24F4C" w:rsidRPr="00BC4165" w:rsidRDefault="00C24F4C" w:rsidP="00C24F4C">
      <w:pPr>
        <w:pStyle w:val="NormalnyWeb"/>
        <w:numPr>
          <w:ilvl w:val="1"/>
          <w:numId w:val="10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color w:val="000000" w:themeColor="text1"/>
        </w:rPr>
        <w:t>Dobór pomp obiegowych kotłowych (grupy pompowe) z zaworami zwrotnymi zabezpieczającymi przed przepływem wstecznym przez niepracujące kotły.</w:t>
      </w:r>
    </w:p>
    <w:p w:rsidR="00C24F4C" w:rsidRPr="00BC4165" w:rsidRDefault="00C24F4C" w:rsidP="00C24F4C">
      <w:pPr>
        <w:pStyle w:val="NormalnyWeb"/>
        <w:numPr>
          <w:ilvl w:val="1"/>
          <w:numId w:val="10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color w:val="000000" w:themeColor="text1"/>
        </w:rPr>
        <w:t>Zastosowanie wody uzdatnionej w obiegu zamkniętym kotłów) w celu ochrony nowych urządzeń przed zakamienieniem.</w:t>
      </w:r>
    </w:p>
    <w:p w:rsidR="00C24F4C" w:rsidRPr="00BE32A1" w:rsidRDefault="00C24F4C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E32A1">
        <w:rPr>
          <w:rFonts w:asciiTheme="minorHAnsi" w:hAnsiTheme="minorHAnsi" w:cstheme="minorHAnsi"/>
          <w:color w:val="000000" w:themeColor="text1"/>
          <w:sz w:val="24"/>
          <w:szCs w:val="24"/>
        </w:rPr>
        <w:t>3. Układ Separacji Hydraulicznej (Wymienniki Ciepła)</w:t>
      </w:r>
    </w:p>
    <w:p w:rsidR="00C24F4C" w:rsidRDefault="00C24F4C" w:rsidP="00C24F4C">
      <w:pPr>
        <w:pStyle w:val="NormalnyWeb"/>
        <w:ind w:left="360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W celu ochrony nowych kotłów przed złą jakością wody znajdującej się w głównym zładzie instalacji szpitalnej (zabezpieczenie przed zamuleniem, korozją i osadami ze starej sieci), wykonawca dostarczy i zamontuje</w:t>
      </w:r>
      <w:r>
        <w:rPr>
          <w:rFonts w:asciiTheme="minorHAnsi" w:hAnsiTheme="minorHAnsi" w:cstheme="minorHAnsi"/>
          <w:color w:val="000000" w:themeColor="text1"/>
        </w:rPr>
        <w:t>:</w:t>
      </w:r>
    </w:p>
    <w:p w:rsidR="00C24F4C" w:rsidRPr="00BE32A1" w:rsidRDefault="00C24F4C" w:rsidP="00C24F4C">
      <w:pPr>
        <w:pStyle w:val="NormalnyWeb"/>
        <w:numPr>
          <w:ilvl w:val="0"/>
          <w:numId w:val="11"/>
        </w:numPr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U</w:t>
      </w:r>
      <w:r w:rsidRPr="00BE32A1">
        <w:rPr>
          <w:rFonts w:asciiTheme="minorHAnsi" w:hAnsiTheme="minorHAnsi" w:cstheme="minorHAnsi"/>
          <w:color w:val="000000" w:themeColor="text1"/>
        </w:rPr>
        <w:t>kład separacji ciepła</w:t>
      </w:r>
      <w:r>
        <w:rPr>
          <w:rFonts w:asciiTheme="minorHAnsi" w:hAnsiTheme="minorHAnsi" w:cstheme="minorHAnsi"/>
          <w:color w:val="000000" w:themeColor="text1"/>
        </w:rPr>
        <w:t>:</w:t>
      </w:r>
    </w:p>
    <w:p w:rsidR="00C24F4C" w:rsidRPr="00BC4165" w:rsidRDefault="00C24F4C" w:rsidP="00C24F4C">
      <w:pPr>
        <w:pStyle w:val="NormalnyWeb"/>
        <w:numPr>
          <w:ilvl w:val="0"/>
          <w:numId w:val="17"/>
        </w:numPr>
        <w:tabs>
          <w:tab w:val="clear" w:pos="720"/>
        </w:tabs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Dwa niezależne płytowe wymienniki ciepła:</w:t>
      </w:r>
      <w:r w:rsidRPr="00BC4165">
        <w:rPr>
          <w:rFonts w:asciiTheme="minorHAnsi" w:hAnsiTheme="minorHAnsi" w:cstheme="minorHAnsi"/>
          <w:color w:val="000000" w:themeColor="text1"/>
        </w:rPr>
        <w:t xml:space="preserve"> Dostawa i montaż </w:t>
      </w:r>
      <w:r w:rsidRPr="00BC4165">
        <w:rPr>
          <w:rFonts w:asciiTheme="minorHAnsi" w:hAnsiTheme="minorHAnsi" w:cstheme="minorHAnsi"/>
          <w:bCs/>
          <w:color w:val="000000" w:themeColor="text1"/>
        </w:rPr>
        <w:t>2 wymienników płytowych</w:t>
      </w:r>
      <w:r w:rsidRPr="00BC4165">
        <w:rPr>
          <w:rFonts w:asciiTheme="minorHAnsi" w:hAnsiTheme="minorHAnsi" w:cstheme="minorHAnsi"/>
          <w:color w:val="000000" w:themeColor="text1"/>
        </w:rPr>
        <w:t xml:space="preserve"> (skręcanych lub lutowanych). Każdy z nich o mocy dobranej adekwatnie do pełnej wydajności wszystkich 4 kotłów (2 x pełna moc)</w:t>
      </w:r>
      <w:r>
        <w:rPr>
          <w:rFonts w:asciiTheme="minorHAnsi" w:hAnsiTheme="minorHAnsi" w:cstheme="minorHAnsi"/>
          <w:color w:val="000000" w:themeColor="text1"/>
        </w:rPr>
        <w:t>, zamontowane wraz z odcięciami w taki sposób, aby podczas wymiany jednego z nich, drugi mógł pracować nie zakłócając dostaw ciepła.</w:t>
      </w:r>
    </w:p>
    <w:p w:rsidR="00A13DD2" w:rsidRPr="00A13DD2" w:rsidRDefault="00C24F4C" w:rsidP="00A13DD2">
      <w:pPr>
        <w:pStyle w:val="NormalnyWeb"/>
        <w:numPr>
          <w:ilvl w:val="0"/>
          <w:numId w:val="17"/>
        </w:numPr>
        <w:tabs>
          <w:tab w:val="clear" w:pos="720"/>
        </w:tabs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bCs/>
          <w:color w:val="000000" w:themeColor="text1"/>
        </w:rPr>
        <w:t>Rozdzielenie biegów:</w:t>
      </w:r>
      <w:r w:rsidRPr="00BC4165">
        <w:rPr>
          <w:rFonts w:asciiTheme="minorHAnsi" w:hAnsiTheme="minorHAnsi" w:cstheme="minorHAnsi"/>
          <w:color w:val="000000" w:themeColor="text1"/>
        </w:rPr>
        <w:t xml:space="preserve"> Wymienniki będą stanowić granicę pomiędzy czystym, zamkniętym obiegiem kotłowym (strona pierwotna) a istniejącą instalacją szpitalną i sprzęgłem-rozdzielaczem (strona wtórna).</w:t>
      </w:r>
    </w:p>
    <w:p w:rsidR="00C24F4C" w:rsidRPr="00BC4165" w:rsidRDefault="00A13DD2" w:rsidP="00A13DD2">
      <w:pPr>
        <w:pStyle w:val="NormalnyWeb"/>
        <w:autoSpaceDN/>
        <w:spacing w:beforeAutospacing="1" w:afterAutospacing="1"/>
        <w:ind w:left="36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b) </w:t>
      </w:r>
      <w:r w:rsidR="00C24F4C" w:rsidRPr="00BC4165">
        <w:rPr>
          <w:rFonts w:asciiTheme="minorHAnsi" w:hAnsiTheme="minorHAnsi" w:cstheme="minorHAnsi"/>
          <w:color w:val="000000" w:themeColor="text1"/>
        </w:rPr>
        <w:t>Montaż filtra-odmulnika i separatora zanieczyszczeń:</w:t>
      </w:r>
    </w:p>
    <w:p w:rsidR="00C24F4C" w:rsidRDefault="00C24F4C" w:rsidP="00C24F4C">
      <w:pPr>
        <w:pStyle w:val="NormalnyWeb"/>
        <w:numPr>
          <w:ilvl w:val="0"/>
          <w:numId w:val="19"/>
        </w:numPr>
        <w:tabs>
          <w:tab w:val="clear" w:pos="720"/>
        </w:tabs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color w:val="000000" w:themeColor="text1"/>
        </w:rPr>
        <w:t>Zakres dostawy i montażu: Dostawa i montaż wysokowydajnego, przemysłowego filtra-odmulnika (zintegrowanego separatora zanieczyszczeń i magnetycznego) na powrocie instalacji przed nowymi wymiennikami ciepła (lub na obiegu kotłowym, w zależności od przyjętego schematu hydraulicznego).</w:t>
      </w:r>
    </w:p>
    <w:p w:rsidR="00C24F4C" w:rsidRPr="00BC4165" w:rsidRDefault="00C24F4C" w:rsidP="00C24F4C">
      <w:pPr>
        <w:pStyle w:val="NormalnyWeb"/>
        <w:numPr>
          <w:ilvl w:val="0"/>
          <w:numId w:val="19"/>
        </w:numPr>
        <w:tabs>
          <w:tab w:val="clear" w:pos="720"/>
        </w:tabs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C4165">
        <w:rPr>
          <w:rFonts w:asciiTheme="minorHAnsi" w:hAnsiTheme="minorHAnsi" w:cstheme="minorHAnsi"/>
          <w:color w:val="000000" w:themeColor="text1"/>
        </w:rPr>
        <w:t>Funkcja i cel: Urządzenie ma na celu ciągłe wychwytywanie i usuwanie z krążącego czynnika grzewczego zanieczyszczeń stałych (produktów korozji, piasku, osadów mineralnych) oraz cząstek ferromagnetycznych. Ma to na celu bezwzględną ochronę wymienników ciepła, nowych kotłów oraz armatury regulacyjnej przed zamuleniem, erozją i uszkodzeniem.</w:t>
      </w:r>
    </w:p>
    <w:p w:rsidR="00C24F4C" w:rsidRPr="00BC4165" w:rsidRDefault="00C24F4C" w:rsidP="00C24F4C">
      <w:pPr>
        <w:pStyle w:val="NormalnyWeb"/>
        <w:numPr>
          <w:ilvl w:val="0"/>
          <w:numId w:val="19"/>
        </w:numPr>
        <w:tabs>
          <w:tab w:val="clear" w:pos="720"/>
        </w:tabs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Wymagania techniczne i użytkowe:</w:t>
      </w:r>
    </w:p>
    <w:p w:rsidR="00C24F4C" w:rsidRPr="00BC4165" w:rsidRDefault="00C24F4C" w:rsidP="00C24F4C">
      <w:pPr>
        <w:pStyle w:val="NormalnyWeb"/>
        <w:numPr>
          <w:ilvl w:val="1"/>
          <w:numId w:val="19"/>
        </w:numPr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Odmulnik musi być wyposażony w silny magnes neodymowy (wychwytujący zanieczyszczenia metaliczne/magnetyczne) oraz dużą komorę osadczą.</w:t>
      </w:r>
    </w:p>
    <w:p w:rsidR="00C24F4C" w:rsidRPr="00BC4165" w:rsidRDefault="00C24F4C" w:rsidP="00C24F4C">
      <w:pPr>
        <w:pStyle w:val="NormalnyWeb"/>
        <w:numPr>
          <w:ilvl w:val="1"/>
          <w:numId w:val="19"/>
        </w:numPr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Konstrukcja urządzenia powinna umożliwiać bezobsługowe lub łatwe czyszczenie (odszlamianie) bez konieczności demontażu całego korpusu i przerywania pracy kotłowni (zawór spustowy z możliwością podłączenia węża do kanalizacji).</w:t>
      </w:r>
    </w:p>
    <w:p w:rsidR="00C24F4C" w:rsidRPr="00BC4165" w:rsidRDefault="00C24F4C" w:rsidP="00C24F4C">
      <w:pPr>
        <w:pStyle w:val="NormalnyWeb"/>
        <w:numPr>
          <w:ilvl w:val="1"/>
          <w:numId w:val="19"/>
        </w:numPr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Niskie opory hydrauliczne, gwarantujące brak zakłóceń przepływu nominalnego w układzie.</w:t>
      </w:r>
    </w:p>
    <w:p w:rsidR="00C24F4C" w:rsidRDefault="00C24F4C" w:rsidP="00C24F4C">
      <w:pPr>
        <w:pStyle w:val="NormalnyWeb"/>
        <w:numPr>
          <w:ilvl w:val="1"/>
          <w:numId w:val="19"/>
        </w:numPr>
        <w:autoSpaceDN/>
        <w:spacing w:beforeAutospacing="1" w:afterAutospacing="1"/>
        <w:jc w:val="both"/>
        <w:rPr>
          <w:rFonts w:asciiTheme="minorHAnsi" w:hAnsiTheme="minorHAnsi" w:cstheme="minorHAnsi"/>
          <w:color w:val="000000" w:themeColor="text1"/>
        </w:rPr>
      </w:pPr>
      <w:r w:rsidRPr="00BE32A1">
        <w:rPr>
          <w:rFonts w:asciiTheme="minorHAnsi" w:hAnsiTheme="minorHAnsi" w:cstheme="minorHAnsi"/>
          <w:color w:val="000000" w:themeColor="text1"/>
        </w:rPr>
        <w:t>Izolacja termiczna dopasowana do korpusu urządzeni</w:t>
      </w:r>
      <w:r w:rsidR="006D040B">
        <w:rPr>
          <w:rFonts w:asciiTheme="minorHAnsi" w:hAnsiTheme="minorHAnsi" w:cstheme="minorHAnsi"/>
          <w:color w:val="000000" w:themeColor="text1"/>
        </w:rPr>
        <w:t>a, ograniczająca straty ciepła.</w:t>
      </w:r>
    </w:p>
    <w:p w:rsidR="006D040B" w:rsidRDefault="006D040B" w:rsidP="006D040B">
      <w:pPr>
        <w:pStyle w:val="NormalnyWeb"/>
        <w:autoSpaceDN/>
        <w:spacing w:beforeAutospacing="1" w:afterAutospacing="1"/>
        <w:ind w:firstLine="36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>c) Montaż układu uzdatniania wody wraz z automatycznym systemem uzupełniania ubytków. Dostosowany do parametrów kotłowni, minimalne wymagane natężenie przepływu: 2m</w:t>
      </w:r>
      <w:r w:rsidRPr="006D040B">
        <w:rPr>
          <w:rFonts w:asciiTheme="minorHAnsi" w:hAnsiTheme="minorHAnsi" w:cstheme="minorHAnsi"/>
          <w:color w:val="000000" w:themeColor="text1"/>
          <w:vertAlign w:val="superscript"/>
        </w:rPr>
        <w:t>3</w:t>
      </w:r>
      <w:r>
        <w:rPr>
          <w:rFonts w:asciiTheme="minorHAnsi" w:hAnsiTheme="minorHAnsi" w:cstheme="minorHAnsi"/>
          <w:color w:val="000000" w:themeColor="text1"/>
        </w:rPr>
        <w:t>/h.</w:t>
      </w:r>
    </w:p>
    <w:p w:rsidR="00A13DD2" w:rsidRPr="00BE32A1" w:rsidRDefault="00A13DD2" w:rsidP="006D040B">
      <w:pPr>
        <w:pStyle w:val="NormalnyWeb"/>
        <w:autoSpaceDN/>
        <w:spacing w:beforeAutospacing="1" w:afterAutospacing="1"/>
        <w:ind w:firstLine="36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d) W ramach inwestycji Zamawiający wymaga wymiany dwóch istniejących wymienników płytowych CWU.</w:t>
      </w:r>
      <w:bookmarkStart w:id="0" w:name="_GoBack"/>
      <w:bookmarkEnd w:id="0"/>
    </w:p>
    <w:p w:rsidR="00C24F4C" w:rsidRPr="00C24F4C" w:rsidRDefault="00A13DD2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="00C24F4C" w:rsidRPr="00C24F4C">
        <w:rPr>
          <w:rFonts w:asciiTheme="minorHAnsi" w:hAnsiTheme="minorHAnsi" w:cstheme="minorHAnsi"/>
          <w:color w:val="000000" w:themeColor="text1"/>
          <w:sz w:val="24"/>
          <w:szCs w:val="24"/>
        </w:rPr>
        <w:t>. Integracja Automatyki i Sterowania Kaskadowego</w:t>
      </w:r>
    </w:p>
    <w:p w:rsidR="00C24F4C" w:rsidRPr="00C24F4C" w:rsidRDefault="00C24F4C" w:rsidP="00C24F4C">
      <w:pPr>
        <w:pStyle w:val="NormalnyWeb"/>
        <w:numPr>
          <w:ilvl w:val="0"/>
          <w:numId w:val="13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Kompatybilność z istniejącym sterowaniem:</w:t>
      </w:r>
      <w:r w:rsidRPr="00C24F4C">
        <w:rPr>
          <w:rFonts w:asciiTheme="minorHAnsi" w:hAnsiTheme="minorHAnsi" w:cstheme="minorHAnsi"/>
          <w:color w:val="000000" w:themeColor="text1"/>
        </w:rPr>
        <w:t xml:space="preserve"> Podłączenie nowych kotłów, siłowników zaworów trójdrożnych oraz czujników temperatury na wymiennikach i sprzęgle do istniejącego w kotłowni nadrzędnego sterownika</w:t>
      </w:r>
      <w:r w:rsidR="00346228">
        <w:rPr>
          <w:rFonts w:asciiTheme="minorHAnsi" w:hAnsiTheme="minorHAnsi" w:cstheme="minorHAnsi"/>
          <w:color w:val="000000" w:themeColor="text1"/>
        </w:rPr>
        <w:t>/modułu obsługi WOLF BM.</w:t>
      </w:r>
    </w:p>
    <w:p w:rsidR="00C24F4C" w:rsidRPr="00C24F4C" w:rsidRDefault="00C24F4C" w:rsidP="00C24F4C">
      <w:pPr>
        <w:pStyle w:val="NormalnyWeb"/>
        <w:numPr>
          <w:ilvl w:val="0"/>
          <w:numId w:val="13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Logika pracy:</w:t>
      </w:r>
    </w:p>
    <w:p w:rsidR="00C24F4C" w:rsidRPr="00C24F4C" w:rsidRDefault="00C24F4C" w:rsidP="00C24F4C">
      <w:pPr>
        <w:pStyle w:val="NormalnyWeb"/>
        <w:numPr>
          <w:ilvl w:val="1"/>
          <w:numId w:val="13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Automatyczne włączanie/wyłączanie kotłów w zależności od bilansu mocy.</w:t>
      </w:r>
    </w:p>
    <w:p w:rsidR="00C24F4C" w:rsidRPr="00C24F4C" w:rsidRDefault="00C24F4C" w:rsidP="00C24F4C">
      <w:pPr>
        <w:pStyle w:val="NormalnyWeb"/>
        <w:numPr>
          <w:ilvl w:val="1"/>
          <w:numId w:val="13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Równomierne obciążenie urządzeń (rotacja czasu pracy kotłów w kaskadzie).</w:t>
      </w:r>
    </w:p>
    <w:p w:rsidR="00C24F4C" w:rsidRPr="00C24F4C" w:rsidRDefault="00C24F4C" w:rsidP="00C24F4C">
      <w:pPr>
        <w:pStyle w:val="NormalnyWeb"/>
        <w:numPr>
          <w:ilvl w:val="1"/>
          <w:numId w:val="13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Praca awaryjna – automatyczne przejęcie obciążenia w przypadku usterki jednego z kotłów.</w:t>
      </w:r>
    </w:p>
    <w:p w:rsidR="00C24F4C" w:rsidRPr="00C24F4C" w:rsidRDefault="00A13DD2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00C24F4C" w:rsidRPr="00C24F4C">
        <w:rPr>
          <w:rFonts w:asciiTheme="minorHAnsi" w:hAnsiTheme="minorHAnsi" w:cstheme="minorHAnsi"/>
          <w:color w:val="000000" w:themeColor="text1"/>
          <w:sz w:val="24"/>
          <w:szCs w:val="24"/>
        </w:rPr>
        <w:t>. Układ Odprowadzania Spalin i Neutralizacji Kondensatu</w:t>
      </w:r>
    </w:p>
    <w:p w:rsidR="00C24F4C" w:rsidRPr="00C24F4C" w:rsidRDefault="00C24F4C" w:rsidP="00C24F4C">
      <w:pPr>
        <w:pStyle w:val="NormalnyWeb"/>
        <w:numPr>
          <w:ilvl w:val="0"/>
          <w:numId w:val="14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System spalinowy:</w:t>
      </w:r>
      <w:r w:rsidRPr="00C24F4C">
        <w:rPr>
          <w:rFonts w:asciiTheme="minorHAnsi" w:hAnsiTheme="minorHAnsi" w:cstheme="minorHAnsi"/>
          <w:color w:val="000000" w:themeColor="text1"/>
        </w:rPr>
        <w:t xml:space="preserve"> Wpięcie nowych kotłów do istniejącego komina z zachowaniem wymagań dotyczących nadciśnienia/podciśnienia, szczelności oraz materiałów kwasoodpornych. Wykonanie i przedstawienie obliczeń ciągu kominowego.</w:t>
      </w:r>
    </w:p>
    <w:p w:rsidR="00C24F4C" w:rsidRPr="00C24F4C" w:rsidRDefault="00C24F4C" w:rsidP="00C24F4C">
      <w:pPr>
        <w:pStyle w:val="NormalnyWeb"/>
        <w:numPr>
          <w:ilvl w:val="0"/>
          <w:numId w:val="14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Neutralizacja skroplin:</w:t>
      </w:r>
      <w:r w:rsidRPr="00C24F4C">
        <w:rPr>
          <w:rFonts w:asciiTheme="minorHAnsi" w:hAnsiTheme="minorHAnsi" w:cstheme="minorHAnsi"/>
          <w:color w:val="000000" w:themeColor="text1"/>
        </w:rPr>
        <w:t xml:space="preserve"> Dostawa i montaż stacji neutralizacji kwaśnego kondensatu z kotłów i komina o wydajności dostosowanej do łącznej mocy urządzeń, wraz z czujnikiem przelewu/zużycia złoża.</w:t>
      </w:r>
    </w:p>
    <w:p w:rsidR="00C24F4C" w:rsidRPr="00C24F4C" w:rsidRDefault="00A13DD2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C24F4C" w:rsidRPr="00C24F4C">
        <w:rPr>
          <w:rFonts w:asciiTheme="minorHAnsi" w:hAnsiTheme="minorHAnsi" w:cstheme="minorHAnsi"/>
          <w:color w:val="000000" w:themeColor="text1"/>
          <w:sz w:val="24"/>
          <w:szCs w:val="24"/>
        </w:rPr>
        <w:t>. Bezpieczeństwo i Wymagania Szpitalne (PPOŻ, Gaz, Zasilanie)</w:t>
      </w:r>
    </w:p>
    <w:p w:rsidR="00C24F4C" w:rsidRPr="00C24F4C" w:rsidRDefault="00C24F4C" w:rsidP="00C24F4C">
      <w:pPr>
        <w:pStyle w:val="NormalnyWeb"/>
        <w:numPr>
          <w:ilvl w:val="0"/>
          <w:numId w:val="15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Zasilanie elektryczne:</w:t>
      </w:r>
      <w:r w:rsidRPr="00C24F4C">
        <w:rPr>
          <w:rFonts w:asciiTheme="minorHAnsi" w:hAnsiTheme="minorHAnsi" w:cstheme="minorHAnsi"/>
          <w:color w:val="000000" w:themeColor="text1"/>
        </w:rPr>
        <w:t xml:space="preserve"> Podłączenie urządzeń do sieci podstawowej oraz systemu zasilania gwarantowanego (UPS / agregat prądotwórczy szpitala).</w:t>
      </w:r>
    </w:p>
    <w:p w:rsidR="00C24F4C" w:rsidRPr="00C24F4C" w:rsidRDefault="00C24F4C" w:rsidP="00C24F4C">
      <w:pPr>
        <w:pStyle w:val="NormalnyWeb"/>
        <w:numPr>
          <w:ilvl w:val="0"/>
          <w:numId w:val="15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Automatyka PPOŻ i gazowa:</w:t>
      </w:r>
      <w:r w:rsidRPr="00C24F4C">
        <w:rPr>
          <w:rFonts w:asciiTheme="minorHAnsi" w:hAnsiTheme="minorHAnsi" w:cstheme="minorHAnsi"/>
          <w:color w:val="000000" w:themeColor="text1"/>
        </w:rPr>
        <w:t xml:space="preserve"> Integracja automatyki kotłów z systemem detekcji gazu oraz systemem sygnalizacji pożarowej obiektu (SAP).</w:t>
      </w:r>
    </w:p>
    <w:p w:rsidR="00C24F4C" w:rsidRPr="00C24F4C" w:rsidRDefault="00C24F4C" w:rsidP="00C24F4C">
      <w:pPr>
        <w:pStyle w:val="NormalnyWeb"/>
        <w:numPr>
          <w:ilvl w:val="0"/>
          <w:numId w:val="15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Armatura zabezpieczająca:</w:t>
      </w:r>
      <w:r w:rsidRPr="00C24F4C">
        <w:rPr>
          <w:rFonts w:asciiTheme="minorHAnsi" w:hAnsiTheme="minorHAnsi" w:cstheme="minorHAnsi"/>
          <w:color w:val="000000" w:themeColor="text1"/>
        </w:rPr>
        <w:t xml:space="preserve"> Dedykowane zawory bezpieczeństwa, czujniki braku wody oraz presostaty ciśnienia dla każdego kotła osobno.</w:t>
      </w:r>
    </w:p>
    <w:p w:rsidR="00C24F4C" w:rsidRPr="00C24F4C" w:rsidRDefault="00A13DD2" w:rsidP="00C24F4C">
      <w:pPr>
        <w:pStyle w:val="Nagwek2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="00C24F4C" w:rsidRPr="00C24F4C">
        <w:rPr>
          <w:rFonts w:asciiTheme="minorHAnsi" w:hAnsiTheme="minorHAnsi" w:cstheme="minorHAnsi"/>
          <w:color w:val="000000" w:themeColor="text1"/>
          <w:sz w:val="24"/>
          <w:szCs w:val="24"/>
        </w:rPr>
        <w:t>. Wymagania Formalno-Prawne, UDT, Gwarancja i Serwis</w:t>
      </w:r>
    </w:p>
    <w:p w:rsidR="00C24F4C" w:rsidRPr="00C24F4C" w:rsidRDefault="00C24F4C" w:rsidP="00C24F4C">
      <w:pPr>
        <w:pStyle w:val="NormalnyWeb"/>
        <w:numPr>
          <w:ilvl w:val="0"/>
          <w:numId w:val="16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Odbiór przez Urząd Dozoru Technicznego (UDT):</w:t>
      </w:r>
    </w:p>
    <w:p w:rsidR="00C24F4C" w:rsidRPr="00C24F4C" w:rsidRDefault="00C24F4C" w:rsidP="00C24F4C">
      <w:pPr>
        <w:pStyle w:val="NormalnyWeb"/>
        <w:numPr>
          <w:ilvl w:val="1"/>
          <w:numId w:val="16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Przygotowanie i przekazanie kompletnej dokumentacji rejestracyjnej i powykonawczej w języku polskim (deklaracje CE, schematy, paszporty urządzeń).</w:t>
      </w:r>
    </w:p>
    <w:p w:rsidR="00C24F4C" w:rsidRPr="00C24F4C" w:rsidRDefault="00C24F4C" w:rsidP="00C24F4C">
      <w:pPr>
        <w:pStyle w:val="NormalnyWeb"/>
        <w:numPr>
          <w:ilvl w:val="1"/>
          <w:numId w:val="16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Udział reprezentanta Wykonawcy w odbiorze technicznym i próbach ciśnieniowych prowadzonych przez Inspektora UDT aż do uzyskania decyzji zezwalającej na eksploatację.</w:t>
      </w:r>
    </w:p>
    <w:p w:rsidR="00C24F4C" w:rsidRPr="00C24F4C" w:rsidRDefault="00C24F4C" w:rsidP="00C24F4C">
      <w:pPr>
        <w:pStyle w:val="NormalnyWeb"/>
        <w:numPr>
          <w:ilvl w:val="0"/>
          <w:numId w:val="16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Gwarancja i czas reakcji serwisowej:</w:t>
      </w:r>
    </w:p>
    <w:p w:rsidR="00C24F4C" w:rsidRPr="00C24F4C" w:rsidRDefault="00C24F4C" w:rsidP="00C24F4C">
      <w:pPr>
        <w:pStyle w:val="NormalnyWeb"/>
        <w:numPr>
          <w:ilvl w:val="1"/>
          <w:numId w:val="16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lastRenderedPageBreak/>
        <w:t xml:space="preserve">Wymagany gwarantowany czas przyjazdu serwisu od momentu zgłoszenia awarii: </w:t>
      </w:r>
      <w:r w:rsidRPr="00C24F4C">
        <w:rPr>
          <w:rFonts w:asciiTheme="minorHAnsi" w:hAnsiTheme="minorHAnsi" w:cstheme="minorHAnsi"/>
          <w:bCs/>
          <w:color w:val="000000" w:themeColor="text1"/>
        </w:rPr>
        <w:t>do 4 godzin w okresie grzewczym</w:t>
      </w:r>
      <w:r w:rsidRPr="00C24F4C">
        <w:rPr>
          <w:rFonts w:asciiTheme="minorHAnsi" w:hAnsiTheme="minorHAnsi" w:cstheme="minorHAnsi"/>
          <w:color w:val="000000" w:themeColor="text1"/>
        </w:rPr>
        <w:t xml:space="preserve"> (24/7/365).</w:t>
      </w:r>
    </w:p>
    <w:p w:rsidR="00C24F4C" w:rsidRPr="00C24F4C" w:rsidRDefault="00C24F4C" w:rsidP="00C24F4C">
      <w:pPr>
        <w:pStyle w:val="NormalnyWeb"/>
        <w:numPr>
          <w:ilvl w:val="1"/>
          <w:numId w:val="16"/>
        </w:numPr>
        <w:tabs>
          <w:tab w:val="clear" w:pos="1440"/>
          <w:tab w:val="num" w:pos="1800"/>
        </w:tabs>
        <w:autoSpaceDN/>
        <w:spacing w:beforeAutospacing="1" w:afterAutospacing="1"/>
        <w:ind w:left="180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color w:val="000000" w:themeColor="text1"/>
        </w:rPr>
        <w:t>Dostępność części zamiennych u dystrybutora przez minimum 10 lat od momentu odbioru.</w:t>
      </w:r>
    </w:p>
    <w:p w:rsidR="00C24F4C" w:rsidRPr="00C24F4C" w:rsidRDefault="00C24F4C" w:rsidP="00C24F4C">
      <w:pPr>
        <w:pStyle w:val="NormalnyWeb"/>
        <w:numPr>
          <w:ilvl w:val="0"/>
          <w:numId w:val="16"/>
        </w:numPr>
        <w:tabs>
          <w:tab w:val="clear" w:pos="720"/>
          <w:tab w:val="num" w:pos="1080"/>
        </w:tabs>
        <w:autoSpaceDN/>
        <w:spacing w:beforeAutospacing="1" w:afterAutospacing="1"/>
        <w:ind w:left="1080"/>
        <w:jc w:val="both"/>
        <w:rPr>
          <w:rFonts w:asciiTheme="minorHAnsi" w:hAnsiTheme="minorHAnsi" w:cstheme="minorHAnsi"/>
          <w:color w:val="000000" w:themeColor="text1"/>
        </w:rPr>
      </w:pPr>
      <w:r w:rsidRPr="00C24F4C">
        <w:rPr>
          <w:rFonts w:asciiTheme="minorHAnsi" w:hAnsiTheme="minorHAnsi" w:cstheme="minorHAnsi"/>
          <w:bCs/>
          <w:color w:val="000000" w:themeColor="text1"/>
        </w:rPr>
        <w:t>Szkolenie personelu:</w:t>
      </w:r>
      <w:r w:rsidRPr="00C24F4C">
        <w:rPr>
          <w:rFonts w:asciiTheme="minorHAnsi" w:hAnsiTheme="minorHAnsi" w:cstheme="minorHAnsi"/>
          <w:color w:val="000000" w:themeColor="text1"/>
        </w:rPr>
        <w:t xml:space="preserve"> Przeprowadzenie instruktażu i szkolenia stanowiskowego dla Działu Technicznego szpitala w zakresie codziennej obsługi, nastaw parametrowych i procedur postępowania w sytuacjach awaryjnych.</w:t>
      </w: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7</w:t>
      </w:r>
      <w:r w:rsidR="00DA43A3">
        <w:rPr>
          <w:rFonts w:ascii="Calibri" w:hAnsi="Calibri"/>
          <w:szCs w:val="22"/>
        </w:rPr>
        <w:t xml:space="preserve">. Plan wdrożenia i eksploatacji projektu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</w:pPr>
      <w:r>
        <w:rPr>
          <w:rFonts w:ascii="Calibri" w:hAnsi="Calibri"/>
          <w:szCs w:val="22"/>
        </w:rPr>
        <w:t xml:space="preserve">Przedmiot zamówienia zostanie </w:t>
      </w:r>
      <w:r w:rsidR="007D6697" w:rsidRPr="007D6697">
        <w:rPr>
          <w:rFonts w:ascii="Calibri" w:hAnsi="Calibri"/>
          <w:szCs w:val="22"/>
        </w:rPr>
        <w:t xml:space="preserve">zrealizowany z materiałów wykonawcy. </w:t>
      </w:r>
      <w:r>
        <w:rPr>
          <w:rFonts w:ascii="Calibri" w:hAnsi="Calibri"/>
          <w:szCs w:val="22"/>
        </w:rPr>
        <w:t xml:space="preserve">Wykonawca będzie zobowiązany do przyjęcia odpowiedzialności od następstw i za wyniki działalności w zakresie: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organizacji robot;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zabezpieczenia osób trzecich;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ochrony środowiska;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warunków BHP;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warunków bezpieczeństwa ruchu drogowego związanego z wykonaniem zadania;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zabezpieczeniem terenu robót.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Wyroby budowlane i instalacyjne, stosowane w trakcie wykonywania robót budowlanych, mają spełniać wymagania polskich przepisów prawa, a wykonawca będzie posiadał dokumenty potwierdzające, że zostały one wprowadzone do obrotu zgodnie z ustawą o wyrobach budowlanych i posiadają wymagane parametry. Zamawiający przewiduje bieżącą kontrolę wykonywanych robót. W celu zapewnienia współpracy z wykonawcą i prowadzenia kontroli wykonywanych robót zamawiający przewiduje ustanowienie osoby upoważnionej do kontaktów oraz inspektora nadzoru inwestorskiego.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Kontroli będą podlegały w szczególności: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rozwiązania projektowe w aspekcie ich zgodności z programem funkcjonalno-użytkowym oraz warunkami umowy;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stosowane gotowe wyroby instalacyjne w odniesieniu do ich zgodności z programem funkcjonalno-użytkowym;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stosowane gotowe wyroby budowlane w odniesieniu do dokumentów potwierdzających ich dopuszczenie do obrotu oraz zgodności parametrów z danymi zawartymi w programie funkcjonalno – użytkowym;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jakość i dokładność wykonania prac;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prawidłowość funkcjonowania zamontowanych urządzeń i wyposażenia;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prawidłowość połączeń funkcjonalnych;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sposób wykonania przedmiotu umowy w aspekcie zgodności wykonania z programem funkcjonalno-użytkowym i umową.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Zamawiający ustala następujące rodzaje odbiorów: </w:t>
      </w:r>
    </w:p>
    <w:p w:rsidR="007D6697" w:rsidRDefault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- częściowe po wykonaniu każdego etapu uwzględnionego w harmonogramie realizacji inwestycji </w:t>
      </w:r>
    </w:p>
    <w:p w:rsidR="0063083B" w:rsidRPr="0063083B" w:rsidRDefault="0063083B">
      <w:pPr>
        <w:jc w:val="both"/>
        <w:rPr>
          <w:rFonts w:ascii="Calibri" w:hAnsi="Calibri"/>
          <w:szCs w:val="22"/>
          <w:shd w:val="clear" w:color="auto" w:fill="FFFF00"/>
        </w:rPr>
      </w:pPr>
      <w:r>
        <w:rPr>
          <w:rFonts w:ascii="Calibri" w:hAnsi="Calibri"/>
          <w:szCs w:val="22"/>
        </w:rPr>
        <w:t>- końcowy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 xml:space="preserve">Dodatkowe wymagania Zamawiającego w stosunku do wykonania zadań: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wykonawca będzie zobowiązany do wykonania i utrzymania w stanie nadającym się do użytku oraz likwidacji wszystkich robót tymczasowych niezbędnych do realizacji przedmiotu zamówienia.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zamawiający oświadcza, że posiada prawo do dysponowania wskazanymi w niniejszym programie nieruchomościami na cele budowlane i nie ma przeszkód w realizacji zamierzenia – wykonawca jest zobowiązany zrealizować przedmiot zamówienia spełniając wymagania ustawy Prawo budowlane (tekst jedn. Dz. U. z 2006r., Nr 156, poz. 1118 z późn. zm.), rozporządzenia Ministra Infrastruktury z dnia 12 kwietnia 2002 r. w sprawie warunków technicznych jakim powinny odpowiadać budynki i ich usytuowanie (Dz. U. z 2002r., Nr 75, poz. 690 z późn. zm.), innych ustaw i rozporządzeń, Polskich Norm, zasad wiedzy technicznej i sztuki budowlanej;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zamawiający wymaga od wykonawcy opracowania i przedłożenia do oceny dokumentacji projektowej;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zamawiający zgłosi swoje uwagi do proponowanych rozwiązań i wyda zalecenia do uwzględnienia w projekcie budowlanym;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w trakcie procedury odbiorowej Wykonawca dostarczy Zamawiającemu kompletne instrukcje obsługi zainstalowanych urządzeń i aparatury;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Próby i przekazanie do eksploatacji całości zamówienia, w tym 72-godzinna próba eksploatacyjna pod nadzorem Wykonawcy.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</w:t>
      </w:r>
      <w:r w:rsidR="00DA43A3">
        <w:rPr>
          <w:rFonts w:ascii="Calibri" w:hAnsi="Calibri"/>
          <w:szCs w:val="22"/>
        </w:rPr>
        <w:t xml:space="preserve">. Realizacja robót.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</w:t>
      </w:r>
      <w:r w:rsidR="00DA43A3">
        <w:rPr>
          <w:rFonts w:ascii="Calibri" w:hAnsi="Calibri"/>
          <w:szCs w:val="22"/>
        </w:rPr>
        <w:t xml:space="preserve">.1. Przygotowanie terenu budowy.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 ramach przygotowania terenu budowy Wykonawca zobowiązany jest wykonać i umieścić na swój koszt wszystkie konieczne tablice informacyjne. Będą utrzymywane przez Wykonawcę w dobrym stanie przez cały okres realizacji robót.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Na czas wykonania robót Wykonawca ma obowiązek wykonać lub dostarczyć na swój koszt, tymczasowe urządzenia zabezpieczające, takie jak płoty, światła ostrzegawcze, sygnały, rusztowania itp. o ile będą wymagane.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Do zadań Wykonawcy należy również wykonanie badań i sprawdzeń obligatoryjnych w świetle obowiązujących przepisów prawa oraz ochrony mienia w obrębie terenu budowy.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Wykonawca zobowiązuje się do wykonania przedmiotu zamówienia zgodnie z zatwierdzonym projektem i polskimi normami oraz aktualnym stanem wiedzy technicznej. W trakcie realizacji zamówienia do obowiązków Wykonawcy i na jego koszt, należy zrealizowanie inwestycji zgodnie z Prawem budowlanym a w szczególności: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wyłączne stosowanie do robót budowlanych materiałów najwyższej jakości, dopuszczonych do obrotu i stosowania zgodnie z art. 10 Ustawy Prawo budowlane, koordynacja robót branżowych wykonywanych na obiekcie;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zapewnienie dostaw urządzeń zgodnie z programem funkcjonalno-użytkowym, specyfikacją projektową i specyfikacją techniczna wykonaną w projekcie,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 xml:space="preserve">- wykonanie wszystkich wymaganych: normami, warunkami technicznymi wykonania i odbioru robót budowlano-montażowych zawartymi w niniejszym programie oraz stosownymi przepisami: pomiarów, badań, prób oraz rozruchów,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udział w odbiorach technicznych i odbiorach częściowych robót budowlanych oraz w Odbiorze Końcowym Przedmiotu Zamówienia.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</w:t>
      </w:r>
      <w:r w:rsidR="00DA43A3">
        <w:rPr>
          <w:rFonts w:ascii="Calibri" w:hAnsi="Calibri"/>
          <w:szCs w:val="22"/>
        </w:rPr>
        <w:t xml:space="preserve">.2. Transport materiałów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Transport materiałów na Plac budowy zapewnia Wykonawca na własny koszt.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</w:t>
      </w:r>
      <w:r w:rsidR="00DA43A3">
        <w:rPr>
          <w:rFonts w:ascii="Calibri" w:hAnsi="Calibri"/>
          <w:szCs w:val="22"/>
        </w:rPr>
        <w:t xml:space="preserve">.3. Odbiory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Zamawiający zastrzega sobie prawo do kontrolowania stanu zaawansowania realizowanych robót.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Zgłoszenie do Odbioru Końcowego robót po ich zakończeniu następuje na piśmie (możliwość faksem) Zamawiającemu.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- Zamawiający zobowiązuje się do zorganizowania Odbioru Końcowego</w:t>
      </w:r>
      <w:r w:rsidR="003A3348">
        <w:rPr>
          <w:rFonts w:ascii="Calibri" w:hAnsi="Calibri"/>
          <w:szCs w:val="22"/>
        </w:rPr>
        <w:t xml:space="preserve"> na wykonane roboty w terminie </w:t>
      </w:r>
      <w:r>
        <w:rPr>
          <w:rFonts w:ascii="Calibri" w:hAnsi="Calibri"/>
          <w:szCs w:val="22"/>
        </w:rPr>
        <w:t xml:space="preserve"> </w:t>
      </w:r>
      <w:r w:rsidR="003A3348">
        <w:rPr>
          <w:rFonts w:ascii="Calibri" w:hAnsi="Calibri"/>
          <w:szCs w:val="22"/>
        </w:rPr>
        <w:t xml:space="preserve">14 </w:t>
      </w:r>
      <w:r>
        <w:rPr>
          <w:rFonts w:ascii="Calibri" w:hAnsi="Calibri"/>
          <w:szCs w:val="22"/>
        </w:rPr>
        <w:t xml:space="preserve">dni od daty zgłoszenia.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Odbiór Końcowy Przedmiotu Zamówienia nastąpi po zrealizowaniu całego zakresu Umowy. Przy Odbiorze Końcowym Przedmiotu Zamówienia Zamawiający dokonuje rozliczenia ilościowego i jakościowego Wykonawcy z wykonanych robót.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- Warunkiem dokonania Odbioru Końcowego jest posiadanie przez Wykonawcę wszelkich wymaganych prawem protokołów odbiorów technicznych oraz kompletna dokumentacja powykonawcza, obejmująca w szczególności projekty, atesty na materiały, gwarancje, DTR, instrukcje, protokoły pomiarów, certyfikaty,</w:t>
      </w:r>
      <w:r w:rsidR="003A3348">
        <w:rPr>
          <w:rFonts w:ascii="Calibri" w:hAnsi="Calibri"/>
          <w:szCs w:val="22"/>
        </w:rPr>
        <w:t xml:space="preserve"> uzyskania niezbędnych pozwoleń na użytkowanie</w:t>
      </w:r>
      <w:r>
        <w:rPr>
          <w:rFonts w:ascii="Calibri" w:hAnsi="Calibri"/>
          <w:szCs w:val="22"/>
        </w:rPr>
        <w:t xml:space="preserve"> itp..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8</w:t>
      </w:r>
      <w:r w:rsidR="00DA43A3">
        <w:rPr>
          <w:rFonts w:ascii="Calibri" w:hAnsi="Calibri"/>
          <w:szCs w:val="22"/>
        </w:rPr>
        <w:t xml:space="preserve">.4. Wymagania dotyczące bezpieczeństwa i higieny pracy oraz ochrony ppoż.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Podczas realizacji robót budowlanych Wykonawca będzie przestrzegać obowiązujących przepisów dotyczących bezpieczeństwa i higieny pracy, między innymi: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Gospodarki z dnia 30 października 2002 r. w sprawie minimalnych wymagań dotyczących bezpieczeństwa i higieny pracy w zakresie użytkowania maszyn przez pracowników podczas pracy (Dz. U. 2002 nr 191 póz. 1596) z późniejszymi zmianami (Dz. U. 2003 nr 178 póz. 1745).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Obwieszczenie Ministra Gospodarki, Pracy i Polityki Społecznej z dnia 28 sierpnia 2003 r. w sprawie ogłoszenia jednolitego tekstu rozporządzenia Ministra Pracy i Polityki Socjalnej w sprawie ogólnych przepisów bezpieczeństwa i higieny pracy (Dz. U. 2003 nr 169 póz. 1650).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Gospodarki i Pracy z dnia 27 lipca 2004 r. w sprawie szkolenia w dziedzinie bezpieczeństwa i higieny pracy (Dz. U. 2004 nr 180 póz. 1860)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Rady Ministrów z dnia 28 lipca 1998 r. w sprawie ustalania okoliczności i przyczyn wypadków przy pracy oraz sposobu ich dokumentowania, a także zakresu informacji zamieszczonych w rejestrze wypadków przy pracy (Dz. U. 1998 nr 115 póz.744) z późniejszymi zmianami (Dz. U. 2004 nr 14 póz. 117).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Infrastruktury z dnia 6 lutego 2003 r. w sprawie bezpieczeństwa i higieny pracy </w:t>
      </w:r>
      <w:r>
        <w:rPr>
          <w:rFonts w:ascii="Calibri" w:hAnsi="Calibri"/>
          <w:szCs w:val="22"/>
        </w:rPr>
        <w:lastRenderedPageBreak/>
        <w:t xml:space="preserve">podczas wykonywania robót budowlanych (Dz. U. 2003 nr 47 póz. 401).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Gospodarki z dnia 20 września 2001 r. w sprawie bezpieczeństwa i higieny pracy podczas eksploatacji maszyn i innych urządzeń technicznych do robót ziemnych, budowlanych i drogowych (Dz. U. 2001 nr 118 póz. 1263).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Pracy i Polityki Społecznej z dnia 14 marca 2000 r. w sprawie bezpieczeństwa i higieny pracy przy ręcznych pracach transportowych (Dz. U. 2000 nr 26 póz. 313) z późniejszymi zmianami (Dz. U. 2000 nr 82 póz. 930).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Gospodarki z dnia 17 września 1999 r. w sprawie bezpieczeństwa i higieny pracy przy urządzeniach i instalacjach elektrycznych (Dz. U. 1999 nr 80 poz.912).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 Ministra Gospodarki, Pracy i Polityki Społecznej z dnia 28 kwietnia 2003 r. w sprawie szczegółowych zasad stwierdzania posiadania kwalifikacji przez osoby zajmujące się eksploatacją urządzeń, instalacji i sieci (Dz. U. 2003 nr 89 póz. 828) z późniejszymi zmianami (Dz. U. 2003 nr 129 póz. 1184).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Prace projektowe i</w:t>
      </w:r>
      <w:r w:rsidR="00346228">
        <w:rPr>
          <w:rFonts w:ascii="Calibri" w:hAnsi="Calibri"/>
          <w:szCs w:val="22"/>
        </w:rPr>
        <w:t xml:space="preserve"> montażowe</w:t>
      </w:r>
      <w:r>
        <w:rPr>
          <w:rFonts w:ascii="Calibri" w:hAnsi="Calibri"/>
          <w:szCs w:val="22"/>
        </w:rPr>
        <w:t xml:space="preserve"> muszą być prowadzone zgodnie z prawem budowlanym, przepisami BHP i Ppoż., obowiązującymi przy prowadzeniu tego typu prac, w tym w szczególności: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Ustawą z dnia 17 lipca 1994r. D Prawo budowlane (Dz. U. Nr 89, Póz. 144 z późn. zm.) oraz przepisami z nią związanymi,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Rozporządzeniem Ministra Spraw Wewnętrznych i Administracji z dnia 3 listopada 1998r. w sprawie szczegółowego zakresu i formy projektu budowlanego (Dz. U. Nr 140, Póz. 906),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Ustawą z dnia 27 kwietnia 2001 r. Prawo ochrony środowiska (Dz. U. Nr 62, Póz. 627) - Rozporządzeniem Ministra Budownictwa i Przemysłu Materiałów Budowlanych z dnia 28 marca 1972r. w sprawie bezpieczeństwa i higieny pracy przy wykonywaniu robót budowlano-montażowych i rozbiórkowych (Dz. U. Nr 13, Póz. 93),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Rozporządzeniem Ministra Spraw Wewnętrznych z dnia 3 listopada 1992r. w sprawie ochrony przeciwpożarowej budynków, innych obiektów budowlanych i terenów (Dz. U. Nr 92, Póz. 460 z późn. zm.), Ustawą z dnia 24 sierpnia 1991 r. o ochronie przeciwpożarowej (Dz. U. Nr 81, Póz. 351 z późn. zm.),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- Rozporządzeniem Ministra Infrastruktury z dnia 12 kwietnia 2002r. w sprawie warunków technicznych jakim powinny odpowiadać budynki i ich usytuowanie (Dz. U. Nr 75,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Póz. 690), Polskimi Normami.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Zamówienie będzie wykonywane zgodnie z Polskimi Normami i przepisami obowiązującymi na terenie Rzeczypospolitej Ustawa z dnia 29 stycznia 2004 r. Prawo zamówień publicznych (Dz. U. nr 19 póz. 177 ze zm., ostatnia nowelizacja ustawy z dnia 7 kwietnia 2006 r.- Dz. U. z dnia 10.05.2006 r. nr 79, póz. 551)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32905" w:rsidRPr="00332905" w:rsidRDefault="00332905" w:rsidP="00332905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sz w:val="22"/>
          <w:szCs w:val="20"/>
        </w:rPr>
      </w:pPr>
      <w:r w:rsidRPr="00332905">
        <w:rPr>
          <w:rFonts w:ascii="Calibri" w:hAnsi="Calibri" w:cs="Arial"/>
          <w:sz w:val="22"/>
          <w:szCs w:val="20"/>
        </w:rPr>
        <w:t>Uwagi końcowe</w:t>
      </w:r>
    </w:p>
    <w:p w:rsidR="00332905" w:rsidRDefault="00332905" w:rsidP="00D71656">
      <w:pPr>
        <w:suppressAutoHyphens w:val="0"/>
        <w:jc w:val="both"/>
        <w:textAlignment w:val="auto"/>
        <w:rPr>
          <w:rFonts w:ascii="Calibri" w:eastAsia="Times New Roman" w:hAnsi="Calibri" w:cs="Arial"/>
          <w:sz w:val="22"/>
          <w:szCs w:val="20"/>
        </w:rPr>
      </w:pPr>
      <w:r>
        <w:rPr>
          <w:rFonts w:ascii="Calibri" w:eastAsia="Times New Roman" w:hAnsi="Calibri" w:cs="Arial"/>
          <w:sz w:val="22"/>
          <w:szCs w:val="20"/>
        </w:rPr>
        <w:t>W trakcie prowadzenia prac należy przestrzegać</w:t>
      </w:r>
      <w:r w:rsidR="007D6697">
        <w:rPr>
          <w:rFonts w:ascii="Calibri" w:eastAsia="Times New Roman" w:hAnsi="Calibri" w:cs="Arial"/>
          <w:sz w:val="22"/>
          <w:szCs w:val="20"/>
        </w:rPr>
        <w:t xml:space="preserve"> </w:t>
      </w:r>
      <w:r w:rsidR="00D71656">
        <w:rPr>
          <w:rFonts w:ascii="Calibri" w:eastAsia="Times New Roman" w:hAnsi="Calibri" w:cs="Arial"/>
          <w:sz w:val="22"/>
          <w:szCs w:val="20"/>
        </w:rPr>
        <w:t>aktualnych</w:t>
      </w:r>
      <w:r w:rsidR="007D6697">
        <w:rPr>
          <w:rFonts w:ascii="Calibri" w:eastAsia="Times New Roman" w:hAnsi="Calibri" w:cs="Arial"/>
          <w:sz w:val="22"/>
          <w:szCs w:val="20"/>
        </w:rPr>
        <w:t xml:space="preserve"> norm i przepisów</w:t>
      </w:r>
      <w:r w:rsidR="00D71656">
        <w:rPr>
          <w:rFonts w:ascii="Calibri" w:eastAsia="Times New Roman" w:hAnsi="Calibri" w:cs="Arial"/>
          <w:sz w:val="22"/>
          <w:szCs w:val="20"/>
        </w:rPr>
        <w:t>.</w:t>
      </w:r>
    </w:p>
    <w:p w:rsidR="00332905" w:rsidRDefault="00332905" w:rsidP="00332905">
      <w:pPr>
        <w:suppressAutoHyphens w:val="0"/>
        <w:jc w:val="both"/>
        <w:textAlignment w:val="auto"/>
        <w:rPr>
          <w:rFonts w:ascii="Calibri" w:eastAsia="Times New Roman" w:hAnsi="Calibri" w:cs="Arial"/>
          <w:sz w:val="22"/>
          <w:szCs w:val="20"/>
        </w:rPr>
      </w:pPr>
    </w:p>
    <w:p w:rsidR="00332905" w:rsidRDefault="00332905" w:rsidP="00332905">
      <w:pPr>
        <w:suppressAutoHyphens w:val="0"/>
        <w:jc w:val="both"/>
        <w:textAlignment w:val="auto"/>
        <w:rPr>
          <w:rFonts w:ascii="Calibri" w:eastAsia="Times New Roman" w:hAnsi="Calibri" w:cs="Arial"/>
          <w:sz w:val="22"/>
          <w:szCs w:val="20"/>
        </w:rPr>
      </w:pPr>
      <w:r>
        <w:rPr>
          <w:rFonts w:ascii="Calibri" w:eastAsia="Times New Roman" w:hAnsi="Calibri" w:cs="Arial"/>
          <w:sz w:val="22"/>
          <w:szCs w:val="20"/>
        </w:rPr>
        <w:t>- Wszystkie materiały powinny posiadać deklarację zgodności bądź deklarację właściwości użytkowych.</w:t>
      </w:r>
    </w:p>
    <w:p w:rsidR="00332905" w:rsidRDefault="00332905" w:rsidP="00332905">
      <w:pPr>
        <w:suppressAutoHyphens w:val="0"/>
        <w:jc w:val="both"/>
        <w:textAlignment w:val="auto"/>
      </w:pPr>
      <w:r>
        <w:rPr>
          <w:rFonts w:ascii="Calibri" w:eastAsia="Times New Roman" w:hAnsi="Calibri" w:cs="Arial"/>
          <w:sz w:val="22"/>
          <w:szCs w:val="20"/>
        </w:rPr>
        <w:t>- Dokumentację projektową uzgodnić w wymaganym zakresie z rzeczoznawcą ds. zabezpieczeń p.pożarowych, bhp oraz higieniczno-sanitarnych</w:t>
      </w:r>
      <w:r w:rsidR="00D71656">
        <w:rPr>
          <w:rFonts w:ascii="Calibri" w:eastAsia="Times New Roman" w:hAnsi="Calibri" w:cs="Arial"/>
          <w:sz w:val="22"/>
          <w:szCs w:val="20"/>
        </w:rPr>
        <w:t xml:space="preserve"> (jeżeli dotyczy)</w:t>
      </w:r>
      <w:r>
        <w:rPr>
          <w:rFonts w:ascii="Calibri" w:eastAsia="Times New Roman" w:hAnsi="Calibri" w:cs="Arial"/>
          <w:sz w:val="22"/>
          <w:szCs w:val="20"/>
        </w:rPr>
        <w:t>.</w:t>
      </w:r>
    </w:p>
    <w:p w:rsidR="00332905" w:rsidRDefault="00332905" w:rsidP="00332905">
      <w:pPr>
        <w:suppressAutoHyphens w:val="0"/>
        <w:jc w:val="both"/>
        <w:textAlignment w:val="auto"/>
      </w:pPr>
      <w:r>
        <w:rPr>
          <w:rFonts w:ascii="Calibri" w:eastAsia="Times New Roman" w:hAnsi="Calibri" w:cs="Arial"/>
          <w:sz w:val="22"/>
          <w:szCs w:val="20"/>
        </w:rPr>
        <w:t>- Dokumentację projektową należy uzgodnić z właściwymi jednostkami i instytucjami, uzyskać  pozwolenie na budowę bądź dokonać zgłoszenia robót budowlanych w Starostwie Powiatowym w Oławie</w:t>
      </w:r>
      <w:r w:rsidR="00D71656">
        <w:rPr>
          <w:rFonts w:ascii="Calibri" w:eastAsia="Times New Roman" w:hAnsi="Calibri" w:cs="Arial"/>
          <w:sz w:val="22"/>
          <w:szCs w:val="20"/>
        </w:rPr>
        <w:t xml:space="preserve"> (jeżeli dotyczy)</w:t>
      </w:r>
      <w:r>
        <w:rPr>
          <w:rFonts w:ascii="Calibri" w:eastAsia="Times New Roman" w:hAnsi="Calibri" w:cs="Arial"/>
          <w:sz w:val="22"/>
          <w:szCs w:val="20"/>
        </w:rPr>
        <w:t>.</w:t>
      </w:r>
    </w:p>
    <w:p w:rsidR="001A1A6A" w:rsidRDefault="001A1A6A">
      <w:pPr>
        <w:jc w:val="both"/>
        <w:rPr>
          <w:rFonts w:ascii="Calibri" w:hAnsi="Calibri"/>
          <w:szCs w:val="22"/>
        </w:rPr>
      </w:pPr>
    </w:p>
    <w:p w:rsidR="001A1A6A" w:rsidRDefault="001A1A6A">
      <w:pPr>
        <w:jc w:val="both"/>
        <w:rPr>
          <w:rFonts w:ascii="Calibri" w:hAnsi="Calibri"/>
          <w:szCs w:val="22"/>
        </w:rPr>
      </w:pPr>
    </w:p>
    <w:p w:rsidR="003F5CB0" w:rsidRDefault="00332905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10</w:t>
      </w:r>
      <w:r w:rsidR="00DA43A3">
        <w:rPr>
          <w:rFonts w:ascii="Calibri" w:hAnsi="Calibri"/>
          <w:szCs w:val="22"/>
        </w:rPr>
        <w:t xml:space="preserve">. Załączniki.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1) </w:t>
      </w:r>
      <w:r w:rsidR="001A1A6A">
        <w:rPr>
          <w:rFonts w:ascii="Calibri" w:hAnsi="Calibri"/>
          <w:szCs w:val="22"/>
        </w:rPr>
        <w:t>Instrukcja obsługi kotłowni</w:t>
      </w:r>
    </w:p>
    <w:p w:rsidR="007D6697" w:rsidRPr="007D6697" w:rsidRDefault="007D6697" w:rsidP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 xml:space="preserve">2) Schemat </w:t>
      </w:r>
      <w:r w:rsidR="001A1A6A">
        <w:rPr>
          <w:rFonts w:ascii="Calibri" w:hAnsi="Calibri"/>
          <w:szCs w:val="22"/>
        </w:rPr>
        <w:t>technologiczny kotłowni</w:t>
      </w:r>
    </w:p>
    <w:p w:rsidR="007D6697" w:rsidRDefault="007D6697" w:rsidP="007D6697">
      <w:pPr>
        <w:jc w:val="both"/>
        <w:rPr>
          <w:rFonts w:ascii="Calibri" w:hAnsi="Calibri"/>
          <w:szCs w:val="22"/>
        </w:rPr>
      </w:pP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631EBD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11</w:t>
      </w:r>
      <w:r w:rsidR="00DA43A3">
        <w:rPr>
          <w:rFonts w:ascii="Calibri" w:hAnsi="Calibri"/>
          <w:szCs w:val="22"/>
        </w:rPr>
        <w:t xml:space="preserve">. Aktualne uwarunkowania wykonania przedmiotu zamówienia.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Adres administracyjny obiektu objętego zamówieniem: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Zespół Opieki Zdrowotnej w Oławie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ul. K. Baczyńskiego 1 </w:t>
      </w: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55-200 Oława </w:t>
      </w:r>
    </w:p>
    <w:p w:rsidR="003F5CB0" w:rsidRDefault="003F5CB0">
      <w:pPr>
        <w:jc w:val="both"/>
        <w:rPr>
          <w:rFonts w:ascii="Calibri" w:hAnsi="Calibri"/>
          <w:szCs w:val="22"/>
        </w:rPr>
      </w:pPr>
    </w:p>
    <w:p w:rsidR="003F5CB0" w:rsidRDefault="00DA43A3">
      <w:pPr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Zamawiający zaleca Wykonawcom ubiegających się o udzielenie zamówienia szczegółowego zapoznania się w terenie z warunkami wykonania zamówienia. </w:t>
      </w:r>
    </w:p>
    <w:p w:rsidR="003F5CB0" w:rsidRDefault="003F5CB0">
      <w:pPr>
        <w:jc w:val="both"/>
        <w:rPr>
          <w:rFonts w:ascii="Calibri" w:hAnsi="Calibri"/>
          <w:szCs w:val="22"/>
          <w:shd w:val="clear" w:color="auto" w:fill="FFFF00"/>
        </w:rPr>
      </w:pPr>
    </w:p>
    <w:p w:rsidR="007D6697" w:rsidRDefault="007D6697">
      <w:pPr>
        <w:jc w:val="both"/>
        <w:rPr>
          <w:rFonts w:ascii="Calibri" w:hAnsi="Calibri"/>
          <w:szCs w:val="22"/>
        </w:rPr>
      </w:pPr>
      <w:r w:rsidRPr="007D6697">
        <w:rPr>
          <w:rFonts w:ascii="Calibri" w:hAnsi="Calibri"/>
          <w:szCs w:val="22"/>
        </w:rPr>
        <w:t>Termin wizji lokalnej może odbyć się po uprzednim umówieniu się potencjalnego Wykonawcy z Zamawiającym.</w:t>
      </w:r>
    </w:p>
    <w:sectPr w:rsidR="007D6697" w:rsidSect="003F5CB0">
      <w:headerReference w:type="default" r:id="rId12"/>
      <w:footerReference w:type="default" r:id="rId13"/>
      <w:pgSz w:w="11905" w:h="16837"/>
      <w:pgMar w:top="720" w:right="720" w:bottom="72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FB5" w:rsidRDefault="00E62FB5" w:rsidP="003F5CB0">
      <w:r>
        <w:separator/>
      </w:r>
    </w:p>
  </w:endnote>
  <w:endnote w:type="continuationSeparator" w:id="0">
    <w:p w:rsidR="00E62FB5" w:rsidRDefault="00E62FB5" w:rsidP="003F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78C" w:rsidRDefault="001A1A6A">
    <w:pPr>
      <w:pStyle w:val="Stopka1"/>
      <w:tabs>
        <w:tab w:val="clear" w:pos="4536"/>
        <w:tab w:val="clear" w:pos="9072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4445" t="635" r="4445" b="0"/>
              <wp:wrapSquare wrapText="bothSides"/>
              <wp:docPr id="12" name="Ramka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578C" w:rsidRDefault="006E56DA">
                          <w:pPr>
                            <w:pStyle w:val="Stopka1"/>
                          </w:pPr>
                          <w:r>
                            <w:rPr>
                              <w:rStyle w:val="Numerstrony1"/>
                            </w:rPr>
                            <w:fldChar w:fldCharType="begin"/>
                          </w:r>
                          <w:r w:rsidR="0059578C">
                            <w:rPr>
                              <w:rStyle w:val="Numerstrony1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1"/>
                            </w:rPr>
                            <w:fldChar w:fldCharType="separate"/>
                          </w:r>
                          <w:r w:rsidR="00A13DD2">
                            <w:rPr>
                              <w:rStyle w:val="Numerstrony1"/>
                              <w:noProof/>
                            </w:rPr>
                            <w:t>7</w:t>
                          </w:r>
                          <w:r>
                            <w:rPr>
                              <w:rStyle w:val="Numerstrony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9" type="#_x0000_t202" style="position:absolute;margin-left:-45.15pt;margin-top:.05pt;width:6.05pt;height:13.8pt;z-index:25166438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" stroked="f">
              <v:textbox style="mso-fit-shape-to-text:t" inset="0,0,0,0">
                <w:txbxContent>
                  <w:p w:rsidR="0059578C" w:rsidRDefault="006E56DA">
                    <w:pPr>
                      <w:pStyle w:val="Stopka1"/>
                    </w:pPr>
                    <w:r>
                      <w:rPr>
                        <w:rStyle w:val="Numerstrony1"/>
                      </w:rPr>
                      <w:fldChar w:fldCharType="begin"/>
                    </w:r>
                    <w:r w:rsidR="0059578C">
                      <w:rPr>
                        <w:rStyle w:val="Numerstrony1"/>
                      </w:rPr>
                      <w:instrText xml:space="preserve"> PAGE </w:instrText>
                    </w:r>
                    <w:r>
                      <w:rPr>
                        <w:rStyle w:val="Numerstrony1"/>
                      </w:rPr>
                      <w:fldChar w:fldCharType="separate"/>
                    </w:r>
                    <w:r w:rsidR="00A13DD2">
                      <w:rPr>
                        <w:rStyle w:val="Numerstrony1"/>
                        <w:noProof/>
                      </w:rPr>
                      <w:t>7</w:t>
                    </w:r>
                    <w:r>
                      <w:rPr>
                        <w:rStyle w:val="Numerstrony1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-153670</wp:posOffset>
              </wp:positionV>
              <wp:extent cx="6858635" cy="228600"/>
              <wp:effectExtent l="9525" t="0" r="8890" b="1270"/>
              <wp:wrapNone/>
              <wp:docPr id="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635" cy="228600"/>
                        <a:chOff x="0" y="-242"/>
                        <a:chExt cx="10801" cy="360"/>
                      </a:xfrm>
                    </wpg:grpSpPr>
                    <wps:wsp>
                      <wps:cNvPr id="10" name="Rectangle 6"/>
                      <wps:cNvSpPr>
                        <a:spLocks noChangeArrowheads="1"/>
                      </wps:cNvSpPr>
                      <wps:spPr bwMode="auto">
                        <a:xfrm>
                          <a:off x="0" y="-242"/>
                          <a:ext cx="10801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78C" w:rsidRDefault="0059578C"/>
                        </w:txbxContent>
                      </wps:txbx>
                      <wps:bodyPr rot="0" vert="horz" wrap="square" lIns="158758" tIns="82442" rIns="158758" bIns="82442" anchor="t" anchorCtr="0">
                        <a:noAutofit/>
                      </wps:bodyPr>
                    </wps:wsp>
                    <wps:wsp>
                      <wps:cNvPr id="11" name="Line 7"/>
                      <wps:cNvSpPr>
                        <a:spLocks noChangeArrowheads="1"/>
                      </wps:cNvSpPr>
                      <wps:spPr bwMode="auto">
                        <a:xfrm>
                          <a:off x="0" y="-61"/>
                          <a:ext cx="10800" cy="1"/>
                        </a:xfrm>
                        <a:custGeom>
                          <a:avLst/>
                          <a:gdLst>
                            <a:gd name="T0" fmla="*/ 3429000 w 6858000"/>
                            <a:gd name="T1" fmla="*/ 0 h 630"/>
                            <a:gd name="T2" fmla="*/ 6858000 w 6858000"/>
                            <a:gd name="T3" fmla="*/ 315 h 630"/>
                            <a:gd name="T4" fmla="*/ 3429000 w 6858000"/>
                            <a:gd name="T5" fmla="*/ 630 h 630"/>
                            <a:gd name="T6" fmla="*/ 0 w 6858000"/>
                            <a:gd name="T7" fmla="*/ 315 h 630"/>
                            <a:gd name="T8" fmla="*/ 3429000 w 6858000"/>
                            <a:gd name="T9" fmla="*/ 0 h 630"/>
                            <a:gd name="T10" fmla="*/ 6858000 w 6858000"/>
                            <a:gd name="T11" fmla="*/ 315 h 630"/>
                            <a:gd name="T12" fmla="*/ 3429000 w 6858000"/>
                            <a:gd name="T13" fmla="*/ 630 h 630"/>
                            <a:gd name="T14" fmla="*/ 0 w 6858000"/>
                            <a:gd name="T15" fmla="*/ 315 h 630"/>
                            <a:gd name="T16" fmla="*/ 17694720 60000 65536"/>
                            <a:gd name="T17" fmla="*/ 0 60000 65536"/>
                            <a:gd name="T18" fmla="*/ 5898240 60000 65536"/>
                            <a:gd name="T19" fmla="*/ 11796480 60000 65536"/>
                            <a:gd name="T20" fmla="*/ 17694720 60000 65536"/>
                            <a:gd name="T21" fmla="*/ 0 60000 65536"/>
                            <a:gd name="T22" fmla="*/ 5898240 60000 65536"/>
                            <a:gd name="T23" fmla="*/ 11796480 60000 65536"/>
                            <a:gd name="T24" fmla="*/ 0 w 6858000"/>
                            <a:gd name="T25" fmla="*/ 0 h 630"/>
                            <a:gd name="T26" fmla="*/ 6858000 w 6858000"/>
                            <a:gd name="T27" fmla="*/ 630 h 630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T24" t="T25" r="T26" b="T27"/>
                          <a:pathLst>
                            <a:path w="6858000" h="630">
                              <a:moveTo>
                                <a:pt x="0" y="0"/>
                              </a:moveTo>
                              <a:lnTo>
                                <a:pt x="6858002" y="630"/>
                              </a:lnTo>
                            </a:path>
                          </a:pathLst>
                        </a:custGeom>
                        <a:noFill/>
                        <a:ln w="936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578C" w:rsidRDefault="0059578C"/>
                        </w:txbxContent>
                      </wps:txbx>
                      <wps:bodyPr rot="0" vert="horz" wrap="square" lIns="158758" tIns="82442" rIns="158758" bIns="82442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5" o:spid="_x0000_s1030" style="position:absolute;margin-left:0;margin-top:-12.1pt;width:540.05pt;height:18pt;z-index:-251651072" coordorigin=",-242" coordsize="1080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">
              <v:rect id="Rectangle 6" o:spid="_x0000_s1031" style="position:absolute;top:-242;width:1080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" filled="f" stroked="f">
                <v:textbox inset="4.40994mm,2.29006mm,4.40994mm,2.29006mm">
                  <w:txbxContent>
                    <w:p w:rsidR="0059578C" w:rsidRDefault="0059578C"/>
                  </w:txbxContent>
                </v:textbox>
              </v:rect>
              <v:shape id="Line 7" o:spid="_x0000_s1032" style="position:absolute;top:-61;width:10800;height:1;visibility:visible;mso-wrap-style:square;v-text-anchor:top" coordsize="6858000,6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" adj="-11796480,,5400" path="m,l6858002,630e" filled="f" strokeweight=".26008mm">
                <v:stroke joinstyle="miter"/>
                <v:formulas/>
                <v:path o:connecttype="custom" o:connectlocs="5400,0;10800,1;5400,1;0,1;5400,0;10800,1;5400,1;0,1" o:connectangles="270,0,90,180,270,0,90,180" textboxrect="0,0,6858000,630"/>
                <v:textbox inset="4.40994mm,2.29006mm,4.40994mm,2.29006mm">
                  <w:txbxContent>
                    <w:p w:rsidR="0059578C" w:rsidRDefault="0059578C"/>
                  </w:txbxContent>
                </v:textbox>
              </v:shape>
            </v:group>
          </w:pict>
        </mc:Fallback>
      </mc:AlternateContent>
    </w:r>
    <w:r w:rsidR="0059578C">
      <w:rPr>
        <w:sz w:val="16"/>
        <w:szCs w:val="16"/>
      </w:rPr>
      <w:t>Dyrektor - +48 (71) 301-13-13</w:t>
    </w:r>
    <w:r w:rsidR="0059578C">
      <w:rPr>
        <w:sz w:val="16"/>
        <w:szCs w:val="16"/>
      </w:rPr>
      <w:tab/>
    </w:r>
    <w:r w:rsidR="0059578C">
      <w:rPr>
        <w:sz w:val="16"/>
        <w:szCs w:val="16"/>
      </w:rPr>
      <w:tab/>
    </w:r>
    <w:r w:rsidR="0059578C">
      <w:rPr>
        <w:sz w:val="16"/>
        <w:szCs w:val="16"/>
      </w:rPr>
      <w:tab/>
      <w:t>Księgowość - +48 (71) 301-13-19</w:t>
    </w:r>
    <w:r w:rsidR="0059578C">
      <w:rPr>
        <w:sz w:val="16"/>
        <w:szCs w:val="16"/>
      </w:rPr>
      <w:tab/>
    </w:r>
    <w:r w:rsidR="0059578C">
      <w:rPr>
        <w:sz w:val="16"/>
        <w:szCs w:val="16"/>
      </w:rPr>
      <w:tab/>
      <w:t>Zamówienia Publiczne - +48 (71) 313-26-38</w:t>
    </w:r>
  </w:p>
  <w:p w:rsidR="0059578C" w:rsidRDefault="0059578C">
    <w:pPr>
      <w:pStyle w:val="Stopka1"/>
      <w:tabs>
        <w:tab w:val="clear" w:pos="4536"/>
        <w:tab w:val="clear" w:pos="9072"/>
      </w:tabs>
      <w:rPr>
        <w:sz w:val="16"/>
        <w:szCs w:val="16"/>
      </w:rPr>
    </w:pPr>
    <w:r>
      <w:rPr>
        <w:sz w:val="16"/>
        <w:szCs w:val="16"/>
      </w:rPr>
      <w:t xml:space="preserve">Z-ca dyrektora - +48 (71) 301-13-14   </w:t>
    </w:r>
    <w:r>
      <w:rPr>
        <w:sz w:val="16"/>
        <w:szCs w:val="16"/>
      </w:rPr>
      <w:tab/>
    </w:r>
    <w:r>
      <w:rPr>
        <w:sz w:val="16"/>
        <w:szCs w:val="16"/>
      </w:rPr>
      <w:tab/>
      <w:t>Kadry - +48(71) 301-13-25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Zaopatrzenie - +48 (71) 301-13-17</w:t>
    </w:r>
  </w:p>
  <w:p w:rsidR="0059578C" w:rsidRDefault="0059578C">
    <w:pPr>
      <w:pStyle w:val="Stopka1"/>
      <w:tabs>
        <w:tab w:val="clear" w:pos="4536"/>
        <w:tab w:val="clear" w:pos="9072"/>
      </w:tabs>
      <w:rPr>
        <w:sz w:val="16"/>
        <w:szCs w:val="16"/>
      </w:rPr>
    </w:pPr>
    <w:r>
      <w:rPr>
        <w:sz w:val="16"/>
        <w:szCs w:val="16"/>
      </w:rPr>
      <w:t>Pielęgniarka naczelna - +48 (71) 301-13-91</w:t>
    </w:r>
    <w:r>
      <w:rPr>
        <w:sz w:val="16"/>
        <w:szCs w:val="16"/>
      </w:rPr>
      <w:tab/>
      <w:t xml:space="preserve">      </w:t>
    </w:r>
    <w:r>
      <w:rPr>
        <w:sz w:val="16"/>
        <w:szCs w:val="16"/>
      </w:rPr>
      <w:tab/>
      <w:t>Płace - +48 (71) 301-13-16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Rozliczenia i Statystyka - +48 (71) 301-13-28         </w:t>
    </w:r>
  </w:p>
  <w:p w:rsidR="0059578C" w:rsidRDefault="0059578C">
    <w:pPr>
      <w:pStyle w:val="Stopka1"/>
      <w:tabs>
        <w:tab w:val="clear" w:pos="4536"/>
        <w:tab w:val="clear" w:pos="9072"/>
      </w:tabs>
      <w:rPr>
        <w:sz w:val="16"/>
        <w:szCs w:val="16"/>
      </w:rPr>
    </w:pPr>
    <w:r>
      <w:rPr>
        <w:sz w:val="16"/>
        <w:szCs w:val="16"/>
      </w:rPr>
      <w:t xml:space="preserve">Centrala - +48 (71) 301-13-00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Organizacja i Zarządzanie - +48 (71) 301-13-15 </w:t>
    </w:r>
    <w:r>
      <w:rPr>
        <w:sz w:val="16"/>
        <w:szCs w:val="16"/>
      </w:rPr>
      <w:tab/>
      <w:t>Informatyk - +48 (71) 301-13-28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FB5" w:rsidRDefault="00E62FB5" w:rsidP="003F5CB0">
      <w:r w:rsidRPr="003F5CB0">
        <w:rPr>
          <w:color w:val="000000"/>
        </w:rPr>
        <w:separator/>
      </w:r>
    </w:p>
  </w:footnote>
  <w:footnote w:type="continuationSeparator" w:id="0">
    <w:p w:rsidR="00E62FB5" w:rsidRDefault="00E62FB5" w:rsidP="003F5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78C" w:rsidRDefault="0059578C" w:rsidP="00D71656">
    <w:pPr>
      <w:pStyle w:val="Nagwek10"/>
      <w:ind w:left="551" w:firstLine="709"/>
    </w:pPr>
    <w:r>
      <w:rPr>
        <w:rFonts w:ascii="Tahoma" w:hAnsi="Tahoma"/>
        <w:b/>
        <w:b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24121</wp:posOffset>
          </wp:positionV>
          <wp:extent cx="685800" cy="678960"/>
          <wp:effectExtent l="0" t="0" r="0" b="0"/>
          <wp:wrapNone/>
          <wp:docPr id="5" name="grafik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789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ahoma" w:hAnsi="Tahoma"/>
        <w:b/>
        <w:bCs/>
        <w:sz w:val="22"/>
        <w:szCs w:val="22"/>
      </w:rPr>
      <w:t>Zespół Opieki Zdrowotnej w Oławie</w:t>
    </w:r>
  </w:p>
  <w:p w:rsidR="0059578C" w:rsidRDefault="0059578C" w:rsidP="00D71656">
    <w:pPr>
      <w:pStyle w:val="Nagwek10"/>
      <w:ind w:left="1260"/>
      <w:rPr>
        <w:rFonts w:ascii="Tahoma" w:hAnsi="Tahoma"/>
        <w:bCs/>
        <w:sz w:val="20"/>
        <w:szCs w:val="20"/>
      </w:rPr>
    </w:pPr>
    <w:r>
      <w:rPr>
        <w:rFonts w:ascii="Tahoma" w:hAnsi="Tahoma"/>
        <w:bCs/>
        <w:sz w:val="20"/>
        <w:szCs w:val="20"/>
      </w:rPr>
      <w:t>ul.K.K.Baczyńskiego 1, 55-200 Oława</w:t>
    </w:r>
  </w:p>
  <w:p w:rsidR="0059578C" w:rsidRPr="00F66E30" w:rsidRDefault="001A1A6A" w:rsidP="00D71656">
    <w:pPr>
      <w:pStyle w:val="Nagwek10"/>
      <w:ind w:left="551" w:firstLine="709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6350</wp:posOffset>
              </wp:positionV>
              <wp:extent cx="5667375" cy="342900"/>
              <wp:effectExtent l="0" t="0" r="0" b="3175"/>
              <wp:wrapNone/>
              <wp:docPr id="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7375" cy="342900"/>
                        <a:chOff x="-180" y="10"/>
                        <a:chExt cx="8925" cy="540"/>
                      </a:xfrm>
                    </wpg:grpSpPr>
                    <wps:wsp>
                      <wps:cNvPr id="14" name="Rectangle 2"/>
                      <wps:cNvSpPr>
                        <a:spLocks noChangeArrowheads="1"/>
                      </wps:cNvSpPr>
                      <wps:spPr bwMode="auto">
                        <a:xfrm>
                          <a:off x="-180" y="10"/>
                          <a:ext cx="8925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78C" w:rsidRDefault="0059578C"/>
                        </w:txbxContent>
                      </wps:txbx>
                      <wps:bodyPr rot="0" vert="horz" wrap="square" lIns="158758" tIns="82442" rIns="158758" bIns="82442" anchor="t" anchorCtr="0">
                        <a:noAutofit/>
                      </wps:bodyPr>
                    </wps:wsp>
                    <wps:wsp>
                      <wps:cNvPr id="15" name="Line 3"/>
                      <wps:cNvSpPr>
                        <a:spLocks noChangeArrowheads="1"/>
                      </wps:cNvSpPr>
                      <wps:spPr bwMode="auto">
                        <a:xfrm>
                          <a:off x="-34" y="369"/>
                          <a:ext cx="7463" cy="1"/>
                        </a:xfrm>
                        <a:custGeom>
                          <a:avLst/>
                          <a:gdLst>
                            <a:gd name="T0" fmla="*/ 2369503 w 5829300"/>
                            <a:gd name="T1" fmla="*/ 0 h 630"/>
                            <a:gd name="T2" fmla="*/ 4739006 w 5829300"/>
                            <a:gd name="T3" fmla="*/ 315 h 630"/>
                            <a:gd name="T4" fmla="*/ 2369503 w 5829300"/>
                            <a:gd name="T5" fmla="*/ 630 h 630"/>
                            <a:gd name="T6" fmla="*/ 0 w 5829300"/>
                            <a:gd name="T7" fmla="*/ 315 h 630"/>
                            <a:gd name="T8" fmla="*/ 1926318 w 5829300"/>
                            <a:gd name="T9" fmla="*/ 0 h 630"/>
                            <a:gd name="T10" fmla="*/ 3852636 w 5829300"/>
                            <a:gd name="T11" fmla="*/ 315 h 630"/>
                            <a:gd name="T12" fmla="*/ 1926318 w 5829300"/>
                            <a:gd name="T13" fmla="*/ 630 h 630"/>
                            <a:gd name="T14" fmla="*/ 0 w 5829300"/>
                            <a:gd name="T15" fmla="*/ 315 h 630"/>
                            <a:gd name="T16" fmla="*/ 17694720 60000 65536"/>
                            <a:gd name="T17" fmla="*/ 0 60000 65536"/>
                            <a:gd name="T18" fmla="*/ 5898240 60000 65536"/>
                            <a:gd name="T19" fmla="*/ 11796480 60000 65536"/>
                            <a:gd name="T20" fmla="*/ 17694720 60000 65536"/>
                            <a:gd name="T21" fmla="*/ 0 60000 65536"/>
                            <a:gd name="T22" fmla="*/ 5898240 60000 65536"/>
                            <a:gd name="T23" fmla="*/ 11796480 60000 65536"/>
                            <a:gd name="T24" fmla="*/ 0 w 5829300"/>
                            <a:gd name="T25" fmla="*/ 0 h 630"/>
                            <a:gd name="T26" fmla="*/ 5829300 w 5829300"/>
                            <a:gd name="T27" fmla="*/ 630 h 630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T24" t="T25" r="T26" b="T27"/>
                          <a:pathLst>
                            <a:path w="5829300" h="630">
                              <a:moveTo>
                                <a:pt x="0" y="0"/>
                              </a:moveTo>
                              <a:lnTo>
                                <a:pt x="5829302" y="63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9578C" w:rsidRDefault="0059578C"/>
                        </w:txbxContent>
                      </wps:txbx>
                      <wps:bodyPr rot="0" vert="horz" wrap="square" lIns="158758" tIns="82442" rIns="158758" bIns="82442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1" o:spid="_x0000_s1026" style="position:absolute;left:0;text-align:left;margin-left:-9pt;margin-top:.5pt;width:446.25pt;height:27pt;z-index:-251658240" coordorigin="-180,10" coordsize="8925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">
              <v:rect id="Rectangle 2" o:spid="_x0000_s1027" style="position:absolute;left:-180;top:10;width:892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" filled="f" stroked="f">
                <v:textbox inset="4.40994mm,2.29006mm,4.40994mm,2.29006mm">
                  <w:txbxContent>
                    <w:p w:rsidR="0059578C" w:rsidRDefault="0059578C"/>
                  </w:txbxContent>
                </v:textbox>
              </v:rect>
              <v:shape id="Line 3" o:spid="_x0000_s1028" style="position:absolute;left:-34;top:369;width:7463;height:1;visibility:visible;mso-wrap-style:square;v-text-anchor:top" coordsize="5829300,6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" adj="-11796480,,5400" path="m,l5829302,630e" filled="f" strokeweight=".35mm">
                <v:stroke joinstyle="miter"/>
                <v:formulas/>
                <v:path o:connecttype="custom" o:connectlocs="3034,0;6067,1;3034,1;0,1;2466,0;4932,1;2466,1;0,1" o:connectangles="270,0,90,180,270,0,90,180" textboxrect="0,0,5829300,630"/>
                <v:textbox inset="4.40994mm,2.29006mm,4.40994mm,2.29006mm">
                  <w:txbxContent>
                    <w:p w:rsidR="0059578C" w:rsidRDefault="0059578C"/>
                  </w:txbxContent>
                </v:textbox>
              </v:shape>
            </v:group>
          </w:pict>
        </mc:Fallback>
      </mc:AlternateContent>
    </w:r>
    <w:r w:rsidR="0059578C" w:rsidRPr="00F66E30">
      <w:rPr>
        <w:rFonts w:ascii="Tahoma" w:hAnsi="Tahoma"/>
        <w:bCs/>
        <w:sz w:val="20"/>
        <w:szCs w:val="20"/>
        <w:lang w:val="en-US"/>
      </w:rPr>
      <w:t>REGON: 000306816 NIP: 912-16-50-658</w:t>
    </w:r>
    <w:r w:rsidR="0059578C" w:rsidRPr="00F66E30">
      <w:rPr>
        <w:rFonts w:ascii="Tahoma" w:hAnsi="Tahoma"/>
        <w:bCs/>
        <w:sz w:val="20"/>
        <w:szCs w:val="20"/>
        <w:lang w:val="en-US"/>
      </w:rPr>
      <w:tab/>
    </w:r>
    <w:r w:rsidR="0059578C" w:rsidRPr="00F66E30">
      <w:rPr>
        <w:rFonts w:ascii="Tahoma" w:hAnsi="Tahoma"/>
        <w:bCs/>
        <w:sz w:val="20"/>
        <w:szCs w:val="20"/>
        <w:lang w:val="en-US"/>
      </w:rPr>
      <w:tab/>
    </w:r>
    <w:r w:rsidR="0059578C" w:rsidRPr="00F66E30">
      <w:rPr>
        <w:rFonts w:ascii="Tahoma" w:hAnsi="Tahoma"/>
        <w:bCs/>
        <w:sz w:val="20"/>
        <w:szCs w:val="20"/>
        <w:lang w:val="en-US"/>
      </w:rPr>
      <w:tab/>
    </w:r>
    <w:r w:rsidR="0059578C" w:rsidRPr="00F66E30">
      <w:rPr>
        <w:rFonts w:ascii="Tahoma" w:hAnsi="Tahoma"/>
        <w:bCs/>
        <w:sz w:val="20"/>
        <w:szCs w:val="20"/>
        <w:lang w:val="en-US"/>
      </w:rPr>
      <w:tab/>
    </w:r>
    <w:r w:rsidR="0059578C" w:rsidRPr="00F66E30">
      <w:rPr>
        <w:lang w:val="en-US"/>
      </w:rPr>
      <w:tab/>
    </w:r>
    <w:r w:rsidR="0059578C" w:rsidRPr="00F66E30">
      <w:rPr>
        <w:lang w:val="en-US"/>
      </w:rPr>
      <w:tab/>
    </w:r>
  </w:p>
  <w:p w:rsidR="0059578C" w:rsidRPr="00F66E30" w:rsidRDefault="0059578C">
    <w:pPr>
      <w:pStyle w:val="Nagwek10"/>
      <w:jc w:val="center"/>
      <w:rPr>
        <w:lang w:val="en-US"/>
      </w:rPr>
    </w:pPr>
    <w:r w:rsidRPr="00F66E30">
      <w:rPr>
        <w:rFonts w:ascii="Tahoma" w:hAnsi="Tahoma"/>
        <w:bCs/>
        <w:sz w:val="20"/>
        <w:szCs w:val="20"/>
        <w:lang w:val="en-US"/>
      </w:rPr>
      <w:t>tel.: +48 (71) 301-13-11        fax.: +48 (71) 301-13-12        www.zozolawa.wroc.pl        zozolawa@zozolawa.wroc.pl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2A24"/>
    <w:multiLevelType w:val="multilevel"/>
    <w:tmpl w:val="E472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71E4"/>
    <w:multiLevelType w:val="multilevel"/>
    <w:tmpl w:val="1056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F50CB"/>
    <w:multiLevelType w:val="multilevel"/>
    <w:tmpl w:val="9F24C2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D476FB9"/>
    <w:multiLevelType w:val="multilevel"/>
    <w:tmpl w:val="3F9E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26D4B"/>
    <w:multiLevelType w:val="multilevel"/>
    <w:tmpl w:val="368CFA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295A0BC7"/>
    <w:multiLevelType w:val="multilevel"/>
    <w:tmpl w:val="1018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37D59"/>
    <w:multiLevelType w:val="multilevel"/>
    <w:tmpl w:val="05EE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131F7"/>
    <w:multiLevelType w:val="multilevel"/>
    <w:tmpl w:val="7124E0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DF692A"/>
    <w:multiLevelType w:val="multilevel"/>
    <w:tmpl w:val="8A7A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C65876"/>
    <w:multiLevelType w:val="multilevel"/>
    <w:tmpl w:val="EAC6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67258"/>
    <w:multiLevelType w:val="multilevel"/>
    <w:tmpl w:val="B964A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0D"/>
    <w:multiLevelType w:val="multilevel"/>
    <w:tmpl w:val="1342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890BAD"/>
    <w:multiLevelType w:val="multilevel"/>
    <w:tmpl w:val="4F0E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1250F2"/>
    <w:multiLevelType w:val="multilevel"/>
    <w:tmpl w:val="3F9E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582418"/>
    <w:multiLevelType w:val="multilevel"/>
    <w:tmpl w:val="B8E0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AF012D"/>
    <w:multiLevelType w:val="multilevel"/>
    <w:tmpl w:val="A5A6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43078A"/>
    <w:multiLevelType w:val="hybridMultilevel"/>
    <w:tmpl w:val="50A2DA18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A4E25"/>
    <w:multiLevelType w:val="multilevel"/>
    <w:tmpl w:val="3F9E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CA1520"/>
    <w:multiLevelType w:val="multilevel"/>
    <w:tmpl w:val="36E0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12"/>
  </w:num>
  <w:num w:numId="5">
    <w:abstractNumId w:val="18"/>
  </w:num>
  <w:num w:numId="6">
    <w:abstractNumId w:val="5"/>
  </w:num>
  <w:num w:numId="7">
    <w:abstractNumId w:val="8"/>
  </w:num>
  <w:num w:numId="8">
    <w:abstractNumId w:val="14"/>
  </w:num>
  <w:num w:numId="9">
    <w:abstractNumId w:val="11"/>
  </w:num>
  <w:num w:numId="10">
    <w:abstractNumId w:val="9"/>
  </w:num>
  <w:num w:numId="11">
    <w:abstractNumId w:val="7"/>
  </w:num>
  <w:num w:numId="12">
    <w:abstractNumId w:val="6"/>
  </w:num>
  <w:num w:numId="13">
    <w:abstractNumId w:val="15"/>
  </w:num>
  <w:num w:numId="14">
    <w:abstractNumId w:val="1"/>
  </w:num>
  <w:num w:numId="15">
    <w:abstractNumId w:val="10"/>
  </w:num>
  <w:num w:numId="16">
    <w:abstractNumId w:val="0"/>
  </w:num>
  <w:num w:numId="17">
    <w:abstractNumId w:val="13"/>
  </w:num>
  <w:num w:numId="18">
    <w:abstractNumId w:val="1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B0"/>
    <w:rsid w:val="000065CD"/>
    <w:rsid w:val="000A2F4B"/>
    <w:rsid w:val="000C4C80"/>
    <w:rsid w:val="000D06E3"/>
    <w:rsid w:val="00191C49"/>
    <w:rsid w:val="001A1A6A"/>
    <w:rsid w:val="001A51BC"/>
    <w:rsid w:val="00243D1B"/>
    <w:rsid w:val="002B51D1"/>
    <w:rsid w:val="00332905"/>
    <w:rsid w:val="00346228"/>
    <w:rsid w:val="003973A7"/>
    <w:rsid w:val="00397745"/>
    <w:rsid w:val="003A3348"/>
    <w:rsid w:val="003A50EB"/>
    <w:rsid w:val="003F5CB0"/>
    <w:rsid w:val="0059578C"/>
    <w:rsid w:val="0063083B"/>
    <w:rsid w:val="00631EBD"/>
    <w:rsid w:val="006D040B"/>
    <w:rsid w:val="006E56DA"/>
    <w:rsid w:val="0079689A"/>
    <w:rsid w:val="007D6697"/>
    <w:rsid w:val="008E63A5"/>
    <w:rsid w:val="0098039F"/>
    <w:rsid w:val="00A13DD2"/>
    <w:rsid w:val="00A809AC"/>
    <w:rsid w:val="00AC6CC6"/>
    <w:rsid w:val="00B03B90"/>
    <w:rsid w:val="00B91A62"/>
    <w:rsid w:val="00BC4165"/>
    <w:rsid w:val="00BE32A1"/>
    <w:rsid w:val="00C24F4C"/>
    <w:rsid w:val="00D71656"/>
    <w:rsid w:val="00D748F2"/>
    <w:rsid w:val="00DA43A3"/>
    <w:rsid w:val="00DA7397"/>
    <w:rsid w:val="00E62FB5"/>
    <w:rsid w:val="00F66E30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3834A46-39B4-4CAD-8F0D-6CEAACFA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F5CB0"/>
    <w:pPr>
      <w:suppressAutoHyphens/>
    </w:pPr>
  </w:style>
  <w:style w:type="paragraph" w:styleId="Nagwek1">
    <w:name w:val="heading 1"/>
    <w:basedOn w:val="Normalny"/>
    <w:next w:val="Normalny"/>
    <w:rsid w:val="003F5CB0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48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2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agwek10"/>
    <w:next w:val="Textbody"/>
    <w:rsid w:val="003F5CB0"/>
    <w:pPr>
      <w:outlineLvl w:val="2"/>
    </w:pPr>
    <w:rPr>
      <w:rFonts w:ascii="Times New Roman" w:hAnsi="Times New Roman"/>
      <w:b/>
      <w:bCs/>
    </w:rPr>
  </w:style>
  <w:style w:type="paragraph" w:customStyle="1" w:styleId="Standard">
    <w:name w:val="Standard"/>
    <w:rsid w:val="003F5CB0"/>
    <w:pPr>
      <w:widowControl/>
      <w:suppressAutoHyphens/>
    </w:pPr>
    <w:rPr>
      <w:rFonts w:eastAsia="Times New Roman" w:cs="Times New Roman"/>
    </w:rPr>
  </w:style>
  <w:style w:type="paragraph" w:customStyle="1" w:styleId="Nagwek10">
    <w:name w:val="Nagłówek1"/>
    <w:basedOn w:val="Standard"/>
    <w:next w:val="Textbody"/>
    <w:rsid w:val="003F5CB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3F5CB0"/>
    <w:pPr>
      <w:spacing w:after="120"/>
    </w:pPr>
  </w:style>
  <w:style w:type="paragraph" w:styleId="Lista">
    <w:name w:val="List"/>
    <w:basedOn w:val="Textbody"/>
    <w:rsid w:val="003F5CB0"/>
    <w:rPr>
      <w:rFonts w:cs="Tahoma"/>
    </w:rPr>
  </w:style>
  <w:style w:type="paragraph" w:customStyle="1" w:styleId="Legenda1">
    <w:name w:val="Legenda1"/>
    <w:basedOn w:val="Standard"/>
    <w:rsid w:val="003F5CB0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3F5CB0"/>
    <w:pPr>
      <w:suppressLineNumbers/>
    </w:pPr>
    <w:rPr>
      <w:rFonts w:cs="Tahoma"/>
    </w:rPr>
  </w:style>
  <w:style w:type="paragraph" w:customStyle="1" w:styleId="Stopka1">
    <w:name w:val="Stopka1"/>
    <w:basedOn w:val="Standard"/>
    <w:rsid w:val="003F5CB0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Textbody"/>
    <w:rsid w:val="003F5CB0"/>
  </w:style>
  <w:style w:type="paragraph" w:customStyle="1" w:styleId="TableContents">
    <w:name w:val="Table Contents"/>
    <w:basedOn w:val="Standard"/>
    <w:rsid w:val="003F5CB0"/>
    <w:pPr>
      <w:suppressLineNumbers/>
    </w:pPr>
  </w:style>
  <w:style w:type="paragraph" w:customStyle="1" w:styleId="TableHeading">
    <w:name w:val="Table Heading"/>
    <w:basedOn w:val="TableContents"/>
    <w:rsid w:val="003F5CB0"/>
    <w:pPr>
      <w:jc w:val="center"/>
    </w:pPr>
    <w:rPr>
      <w:b/>
      <w:bCs/>
    </w:rPr>
  </w:style>
  <w:style w:type="character" w:customStyle="1" w:styleId="Internetlink">
    <w:name w:val="Internet link"/>
    <w:basedOn w:val="Domylnaczcionkaakapitu"/>
    <w:rsid w:val="003F5CB0"/>
    <w:rPr>
      <w:color w:val="0000FF"/>
      <w:u w:val="single"/>
    </w:rPr>
  </w:style>
  <w:style w:type="character" w:customStyle="1" w:styleId="Numerstrony1">
    <w:name w:val="Numer strony1"/>
    <w:basedOn w:val="Domylnaczcionkaakapitu"/>
    <w:rsid w:val="003F5CB0"/>
  </w:style>
  <w:style w:type="character" w:customStyle="1" w:styleId="BulletSymbols">
    <w:name w:val="Bullet Symbols"/>
    <w:rsid w:val="003F5CB0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3F5CB0"/>
  </w:style>
  <w:style w:type="character" w:styleId="Uwydatnienie">
    <w:name w:val="Emphasis"/>
    <w:rsid w:val="003F5CB0"/>
    <w:rPr>
      <w:i/>
      <w:iCs/>
    </w:rPr>
  </w:style>
  <w:style w:type="character" w:customStyle="1" w:styleId="StrongEmphasis">
    <w:name w:val="Strong Emphasis"/>
    <w:rsid w:val="003F5CB0"/>
    <w:rPr>
      <w:b/>
      <w:bCs/>
    </w:rPr>
  </w:style>
  <w:style w:type="character" w:styleId="Pogrubienie">
    <w:name w:val="Strong"/>
    <w:basedOn w:val="Domylnaczcionkaakapitu"/>
    <w:rsid w:val="003F5CB0"/>
    <w:rPr>
      <w:b/>
      <w:bCs/>
    </w:rPr>
  </w:style>
  <w:style w:type="paragraph" w:styleId="Nagwek">
    <w:name w:val="header"/>
    <w:basedOn w:val="Normalny"/>
    <w:rsid w:val="003F5C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3F5CB0"/>
  </w:style>
  <w:style w:type="paragraph" w:styleId="Stopka">
    <w:name w:val="footer"/>
    <w:basedOn w:val="Normalny"/>
    <w:rsid w:val="003F5C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3F5CB0"/>
  </w:style>
  <w:style w:type="paragraph" w:styleId="Tekstprzypisukocowego">
    <w:name w:val="endnote text"/>
    <w:basedOn w:val="Normalny"/>
    <w:rsid w:val="003F5C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sid w:val="003F5CB0"/>
    <w:rPr>
      <w:sz w:val="20"/>
      <w:szCs w:val="20"/>
    </w:rPr>
  </w:style>
  <w:style w:type="character" w:styleId="Odwoanieprzypisukocowego">
    <w:name w:val="endnote reference"/>
    <w:basedOn w:val="Domylnaczcionkaakapitu"/>
    <w:rsid w:val="003F5CB0"/>
    <w:rPr>
      <w:position w:val="0"/>
      <w:vertAlign w:val="superscript"/>
    </w:rPr>
  </w:style>
  <w:style w:type="paragraph" w:styleId="Tekstdymka">
    <w:name w:val="Balloon Text"/>
    <w:basedOn w:val="Normalny"/>
    <w:rsid w:val="003F5CB0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sid w:val="003F5CB0"/>
    <w:rPr>
      <w:rFonts w:ascii="Tahoma" w:hAnsi="Tahoma"/>
      <w:sz w:val="16"/>
      <w:szCs w:val="16"/>
    </w:rPr>
  </w:style>
  <w:style w:type="paragraph" w:styleId="NormalnyWeb">
    <w:name w:val="Normal (Web)"/>
    <w:basedOn w:val="Normalny"/>
    <w:uiPriority w:val="99"/>
    <w:rsid w:val="003F5CB0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</w:rPr>
  </w:style>
  <w:style w:type="paragraph" w:styleId="Bezodstpw">
    <w:name w:val="No Spacing"/>
    <w:rsid w:val="003F5CB0"/>
    <w:pPr>
      <w:suppressAutoHyphens/>
    </w:pPr>
  </w:style>
  <w:style w:type="paragraph" w:styleId="Tekstpodstawowy2">
    <w:name w:val="Body Text 2"/>
    <w:basedOn w:val="Normalny"/>
    <w:rsid w:val="003F5CB0"/>
    <w:pPr>
      <w:widowControl/>
      <w:suppressAutoHyphens w:val="0"/>
      <w:jc w:val="both"/>
      <w:textAlignment w:val="auto"/>
    </w:pPr>
    <w:rPr>
      <w:rFonts w:eastAsia="Times New Roman" w:cs="Times New Roman"/>
      <w:kern w:val="0"/>
      <w:sz w:val="22"/>
    </w:rPr>
  </w:style>
  <w:style w:type="character" w:customStyle="1" w:styleId="Tekstpodstawowy2Znak">
    <w:name w:val="Tekst podstawowy 2 Znak"/>
    <w:basedOn w:val="Domylnaczcionkaakapitu"/>
    <w:rsid w:val="003F5CB0"/>
    <w:rPr>
      <w:rFonts w:eastAsia="Times New Roman" w:cs="Times New Roman"/>
      <w:kern w:val="0"/>
      <w:sz w:val="22"/>
    </w:rPr>
  </w:style>
  <w:style w:type="character" w:customStyle="1" w:styleId="FontStyle12">
    <w:name w:val="Font Style12"/>
    <w:rsid w:val="003F5CB0"/>
    <w:rPr>
      <w:rFonts w:ascii="Calibri" w:hAnsi="Calibri" w:cs="Calibri"/>
      <w:sz w:val="22"/>
      <w:szCs w:val="22"/>
    </w:rPr>
  </w:style>
  <w:style w:type="paragraph" w:styleId="Akapitzlist">
    <w:name w:val="List Paragraph"/>
    <w:basedOn w:val="Normalny"/>
    <w:rsid w:val="003F5CB0"/>
    <w:pPr>
      <w:widowControl/>
      <w:suppressAutoHyphens w:val="0"/>
      <w:ind w:left="708"/>
      <w:textAlignment w:val="auto"/>
    </w:pPr>
    <w:rPr>
      <w:rFonts w:eastAsia="Times New Roman" w:cs="Times New Roman"/>
      <w:kern w:val="0"/>
    </w:rPr>
  </w:style>
  <w:style w:type="paragraph" w:styleId="Tekstpodstawowywcity">
    <w:name w:val="Body Text Indent"/>
    <w:basedOn w:val="Normalny"/>
    <w:rsid w:val="003F5CB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rsid w:val="003F5CB0"/>
  </w:style>
  <w:style w:type="paragraph" w:styleId="Tekstpodstawowy">
    <w:name w:val="Body Text"/>
    <w:basedOn w:val="Normalny"/>
    <w:rsid w:val="003F5CB0"/>
    <w:pPr>
      <w:spacing w:after="120"/>
    </w:pPr>
  </w:style>
  <w:style w:type="character" w:customStyle="1" w:styleId="TekstpodstawowyZnak">
    <w:name w:val="Tekst podstawowy Znak"/>
    <w:basedOn w:val="Domylnaczcionkaakapitu"/>
    <w:rsid w:val="003F5CB0"/>
  </w:style>
  <w:style w:type="paragraph" w:customStyle="1" w:styleId="Normal1">
    <w:name w:val="Normal1"/>
    <w:basedOn w:val="Normalny"/>
    <w:rsid w:val="003F5CB0"/>
    <w:pPr>
      <w:overflowPunct w:val="0"/>
      <w:autoSpaceDE w:val="0"/>
      <w:spacing w:line="100" w:lineRule="atLeast"/>
      <w:textAlignment w:val="auto"/>
    </w:pPr>
    <w:rPr>
      <w:rFonts w:eastAsia="Calibri" w:cs="Calibri"/>
      <w:sz w:val="20"/>
      <w:szCs w:val="20"/>
    </w:rPr>
  </w:style>
  <w:style w:type="character" w:customStyle="1" w:styleId="Nagwek1Znak">
    <w:name w:val="Nagłówek 1 Znak"/>
    <w:basedOn w:val="Domylnaczcionkaakapitu"/>
    <w:rsid w:val="003F5CB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3F5CB0"/>
    <w:pPr>
      <w:widowControl/>
      <w:autoSpaceDE w:val="0"/>
      <w:textAlignment w:val="auto"/>
    </w:pPr>
    <w:rPr>
      <w:rFonts w:ascii="Courier New" w:hAnsi="Courier New" w:cs="Courier New"/>
      <w:color w:val="000000"/>
      <w:kern w:val="0"/>
    </w:rPr>
  </w:style>
  <w:style w:type="paragraph" w:customStyle="1" w:styleId="ZnakZnak1ZnakZnakZnakZnak">
    <w:name w:val="Znak Znak1 Znak Znak Znak Znak"/>
    <w:basedOn w:val="Normalny"/>
    <w:rsid w:val="003F5CB0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48F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ath-inline">
    <w:name w:val="math-inline"/>
    <w:basedOn w:val="Domylnaczcionkaakapitu"/>
    <w:rsid w:val="00D748F2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2A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EB771-9CD8-4A1A-BA51-82FAB83C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3721</Words>
  <Characters>22328</Characters>
  <Application>Microsoft Office Word</Application>
  <DocSecurity>0</DocSecurity>
  <Lines>186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Oława, dn</vt:lpstr>
    </vt:vector>
  </TitlesOfParts>
  <Company/>
  <LinksUpToDate>false</LinksUpToDate>
  <CharactersWithSpaces>25998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Oława, dn</dc:title>
  <dc:creator>ZOZ Oława</dc:creator>
  <cp:lastModifiedBy>Marta MZ. Zapłotna</cp:lastModifiedBy>
  <cp:revision>2</cp:revision>
  <cp:lastPrinted>2014-05-13T06:49:00Z</cp:lastPrinted>
  <dcterms:created xsi:type="dcterms:W3CDTF">2026-10-20T10:18:00Z</dcterms:created>
  <dcterms:modified xsi:type="dcterms:W3CDTF">2026-10-20T10:18:00Z</dcterms:modified>
</cp:coreProperties>
</file>