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2C8A" w14:textId="77B1A376" w:rsidR="00CD76E2" w:rsidRDefault="00CD76E2" w:rsidP="00CD76E2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Zał. nr 3 do SWZ</w:t>
      </w:r>
    </w:p>
    <w:p w14:paraId="22F9A367" w14:textId="77777777" w:rsidR="00CD76E2" w:rsidRDefault="00CD76E2">
      <w:pPr>
        <w:rPr>
          <w:b/>
          <w:bCs/>
          <w:sz w:val="24"/>
          <w:szCs w:val="24"/>
        </w:rPr>
      </w:pPr>
    </w:p>
    <w:p w14:paraId="3964924E" w14:textId="74D8D5A8" w:rsidR="00800868" w:rsidRPr="00CD76E2" w:rsidRDefault="00C72651" w:rsidP="00CD76E2">
      <w:pPr>
        <w:jc w:val="center"/>
        <w:rPr>
          <w:b/>
          <w:bCs/>
          <w:sz w:val="28"/>
          <w:szCs w:val="28"/>
        </w:rPr>
      </w:pPr>
      <w:r w:rsidRPr="00CD76E2">
        <w:rPr>
          <w:b/>
          <w:bCs/>
          <w:sz w:val="28"/>
          <w:szCs w:val="28"/>
        </w:rPr>
        <w:t>Opis przedmiotu zamówienia</w:t>
      </w:r>
    </w:p>
    <w:p w14:paraId="5C852635" w14:textId="1D104A59" w:rsidR="00C72651" w:rsidRDefault="00CD76E2">
      <w:pPr>
        <w:rPr>
          <w:b/>
          <w:bCs/>
          <w:sz w:val="24"/>
          <w:szCs w:val="24"/>
        </w:rPr>
      </w:pPr>
      <w:r w:rsidRPr="00CD76E2">
        <w:rPr>
          <w:b/>
          <w:bCs/>
          <w:sz w:val="24"/>
          <w:szCs w:val="24"/>
        </w:rPr>
        <w:t>Przedmiotem niniejszego zamówienia jest kompleksowe opracowanie projektów stałej organizacji ruchu (SOR) na drogach gminnych.</w:t>
      </w:r>
    </w:p>
    <w:p w14:paraId="21751B84" w14:textId="77777777" w:rsidR="00CD76E2" w:rsidRPr="00CD76E2" w:rsidRDefault="00CD76E2" w:rsidP="00CD76E2">
      <w:pPr>
        <w:rPr>
          <w:b/>
          <w:bCs/>
          <w:sz w:val="24"/>
          <w:szCs w:val="24"/>
        </w:rPr>
      </w:pPr>
      <w:r w:rsidRPr="00CD76E2">
        <w:rPr>
          <w:b/>
          <w:bCs/>
          <w:sz w:val="24"/>
          <w:szCs w:val="24"/>
        </w:rPr>
        <w:t>I. Podstawa formalno-prawna</w:t>
      </w:r>
    </w:p>
    <w:p w14:paraId="24AD4D81" w14:textId="77777777" w:rsidR="00CD76E2" w:rsidRPr="00CD76E2" w:rsidRDefault="00CD76E2" w:rsidP="00CD76E2">
      <w:pPr>
        <w:rPr>
          <w:b/>
          <w:bCs/>
          <w:sz w:val="24"/>
          <w:szCs w:val="24"/>
        </w:rPr>
      </w:pPr>
      <w:r w:rsidRPr="00CD76E2">
        <w:rPr>
          <w:b/>
          <w:bCs/>
          <w:sz w:val="24"/>
          <w:szCs w:val="24"/>
        </w:rPr>
        <w:t>Wszystkie projekty stałej organizacji ruchu muszą zostać wykonane w ścisłej zgodności z obowiązującymi przepisami prawa, w tym w szczególności z:</w:t>
      </w:r>
    </w:p>
    <w:p w14:paraId="05EE77C8" w14:textId="77777777" w:rsid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cstheme="minorHAnsi"/>
          <w:sz w:val="24"/>
          <w:szCs w:val="24"/>
        </w:rPr>
        <w:t>Ustaw</w:t>
      </w:r>
      <w:r w:rsidR="00CD76E2">
        <w:rPr>
          <w:rFonts w:cstheme="minorHAnsi"/>
          <w:sz w:val="24"/>
          <w:szCs w:val="24"/>
        </w:rPr>
        <w:t>ą</w:t>
      </w:r>
      <w:r w:rsidRPr="00CD76E2">
        <w:rPr>
          <w:rFonts w:cstheme="minorHAnsi"/>
          <w:sz w:val="24"/>
          <w:szCs w:val="24"/>
        </w:rPr>
        <w:t xml:space="preserve"> z dnia 7 lipca 1994 r. Prawo budowlane (</w:t>
      </w:r>
      <w:proofErr w:type="spellStart"/>
      <w:r w:rsidRPr="00CD76E2">
        <w:rPr>
          <w:rFonts w:cstheme="minorHAnsi"/>
          <w:sz w:val="24"/>
          <w:szCs w:val="24"/>
        </w:rPr>
        <w:t>t.j</w:t>
      </w:r>
      <w:proofErr w:type="spellEnd"/>
      <w:r w:rsidRPr="00CD76E2">
        <w:rPr>
          <w:rFonts w:cstheme="minorHAnsi"/>
          <w:sz w:val="24"/>
          <w:szCs w:val="24"/>
        </w:rPr>
        <w:t xml:space="preserve">. Dz. U. z 2023 r. poz. 682 z </w:t>
      </w:r>
      <w:proofErr w:type="spellStart"/>
      <w:r w:rsidRPr="00CD76E2">
        <w:rPr>
          <w:rFonts w:cstheme="minorHAnsi"/>
          <w:sz w:val="24"/>
          <w:szCs w:val="24"/>
        </w:rPr>
        <w:t>późn</w:t>
      </w:r>
      <w:proofErr w:type="spellEnd"/>
      <w:r w:rsidRPr="00CD76E2">
        <w:rPr>
          <w:rFonts w:cstheme="minorHAnsi"/>
          <w:sz w:val="24"/>
          <w:szCs w:val="24"/>
        </w:rPr>
        <w:t xml:space="preserve">. zm.). </w:t>
      </w:r>
    </w:p>
    <w:p w14:paraId="3B3F9B9A" w14:textId="77777777" w:rsidR="00CD76E2" w:rsidRP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eastAsia="Arial Unicode MS" w:cstheme="minorHAnsi"/>
        </w:rPr>
        <w:t>Rozporządzeni</w:t>
      </w:r>
      <w:r w:rsidR="00CD76E2">
        <w:rPr>
          <w:rFonts w:eastAsia="Arial Unicode MS" w:cstheme="minorHAnsi"/>
        </w:rPr>
        <w:t>em</w:t>
      </w:r>
      <w:r w:rsidRPr="00CD76E2">
        <w:rPr>
          <w:rFonts w:eastAsia="Arial Unicode MS" w:cstheme="minorHAnsi"/>
        </w:rPr>
        <w:t xml:space="preserve"> Ministra Infrastruktury z dnia 20 lipca 2022 r. w sprawie przepisów techniczno-budowlanych dotyczących dróg publicznych (Dz. U. </w:t>
      </w:r>
      <w:r w:rsidR="00CD76E2" w:rsidRPr="00CD76E2">
        <w:rPr>
          <w:rFonts w:eastAsia="Arial Unicode MS" w:cstheme="minorHAnsi"/>
        </w:rPr>
        <w:t>z 2022</w:t>
      </w:r>
      <w:r w:rsidRPr="00CD76E2">
        <w:rPr>
          <w:rFonts w:eastAsia="Arial Unicode MS" w:cstheme="minorHAnsi"/>
        </w:rPr>
        <w:t xml:space="preserve"> r., poz. 1518),</w:t>
      </w:r>
    </w:p>
    <w:p w14:paraId="01401169" w14:textId="4ABD45A6" w:rsidR="00CD76E2" w:rsidRP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eastAsia="Arial Unicode MS" w:cstheme="minorHAnsi"/>
          <w:sz w:val="24"/>
          <w:szCs w:val="24"/>
          <w:lang w:eastAsia="pl-PL"/>
        </w:rPr>
        <w:t>Obwieszczenie</w:t>
      </w:r>
      <w:r w:rsidR="00CD76E2">
        <w:rPr>
          <w:rFonts w:eastAsia="Arial Unicode MS" w:cstheme="minorHAnsi"/>
          <w:sz w:val="24"/>
          <w:szCs w:val="24"/>
          <w:lang w:eastAsia="pl-PL"/>
        </w:rPr>
        <w:t>m</w:t>
      </w:r>
      <w:r w:rsidRPr="00CD76E2">
        <w:rPr>
          <w:rFonts w:eastAsia="Arial Unicode MS" w:cstheme="minorHAnsi"/>
          <w:sz w:val="24"/>
          <w:szCs w:val="24"/>
          <w:lang w:eastAsia="pl-PL"/>
        </w:rPr>
        <w:t xml:space="preserve"> Ministra Infrastruktury i Budownictwa z dnia 24 marca 2017 r. </w:t>
      </w:r>
      <w:r w:rsidR="00CD76E2">
        <w:rPr>
          <w:rFonts w:eastAsia="Arial Unicode MS" w:cstheme="minorHAnsi"/>
          <w:sz w:val="24"/>
          <w:szCs w:val="24"/>
          <w:lang w:eastAsia="pl-PL"/>
        </w:rPr>
        <w:br/>
      </w:r>
      <w:r w:rsidRPr="00CD76E2">
        <w:rPr>
          <w:rFonts w:eastAsia="Arial Unicode MS" w:cstheme="minorHAnsi"/>
          <w:sz w:val="24"/>
          <w:szCs w:val="24"/>
          <w:lang w:eastAsia="pl-PL"/>
        </w:rPr>
        <w:t xml:space="preserve">w </w:t>
      </w:r>
      <w:r w:rsidR="00CD76E2" w:rsidRPr="00CD76E2">
        <w:rPr>
          <w:rFonts w:eastAsia="Arial Unicode MS" w:cstheme="minorHAnsi"/>
          <w:sz w:val="24"/>
          <w:szCs w:val="24"/>
          <w:lang w:eastAsia="pl-PL"/>
        </w:rPr>
        <w:t>sprawie ogłoszenia</w:t>
      </w:r>
      <w:r w:rsidRPr="00CD76E2">
        <w:rPr>
          <w:rFonts w:eastAsia="Arial Unicode MS" w:cstheme="minorHAnsi"/>
          <w:sz w:val="24"/>
          <w:szCs w:val="24"/>
          <w:lang w:eastAsia="pl-PL"/>
        </w:rPr>
        <w:t xml:space="preserve"> jednolitego tekstu rozporządzenia Ministra Infrastruktury </w:t>
      </w:r>
      <w:r w:rsidR="00CD76E2">
        <w:rPr>
          <w:rFonts w:eastAsia="Arial Unicode MS" w:cstheme="minorHAnsi"/>
          <w:sz w:val="24"/>
          <w:szCs w:val="24"/>
          <w:lang w:eastAsia="pl-PL"/>
        </w:rPr>
        <w:br/>
      </w:r>
      <w:r w:rsidRPr="00CD76E2">
        <w:rPr>
          <w:rFonts w:eastAsia="Arial Unicode MS" w:cstheme="minorHAnsi"/>
          <w:sz w:val="24"/>
          <w:szCs w:val="24"/>
          <w:lang w:eastAsia="pl-PL"/>
        </w:rPr>
        <w:t>w sprawie szczegółowych warunków zarządzania ruchem na drogach oraz wykonywania nadzoru nad tym zarządzaniem. Dz.U. 2017 poz. 784.</w:t>
      </w:r>
    </w:p>
    <w:p w14:paraId="7059A830" w14:textId="77777777" w:rsid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eastAsia="Arial Unicode MS" w:cstheme="minorHAnsi"/>
          <w:sz w:val="24"/>
          <w:szCs w:val="24"/>
          <w:lang w:eastAsia="pl-PL"/>
        </w:rPr>
        <w:t>Obwieszczenie</w:t>
      </w:r>
      <w:r w:rsidR="00CD76E2">
        <w:rPr>
          <w:rFonts w:eastAsia="Arial Unicode MS" w:cstheme="minorHAnsi"/>
          <w:sz w:val="24"/>
          <w:szCs w:val="24"/>
          <w:lang w:eastAsia="pl-PL"/>
        </w:rPr>
        <w:t>m</w:t>
      </w:r>
      <w:r w:rsidRPr="00CD76E2">
        <w:rPr>
          <w:rFonts w:eastAsia="Arial Unicode MS" w:cstheme="minorHAnsi"/>
          <w:sz w:val="24"/>
          <w:szCs w:val="24"/>
          <w:lang w:eastAsia="pl-PL"/>
        </w:rPr>
        <w:t xml:space="preserve"> Ministra Infrastruktury z dnia 9 września 2019 r. w sprawie ogłoszenia jednolitego tekstu rozporządzenia Ministra Infrastruktury w sprawie szczegółowy</w:t>
      </w:r>
      <w:r w:rsidRPr="00CD76E2">
        <w:rPr>
          <w:rFonts w:cstheme="minorHAnsi"/>
          <w:sz w:val="24"/>
          <w:szCs w:val="24"/>
        </w:rPr>
        <w:t>ch warunków technicznych dla znaków i sygnałów drogowych oraz urządzeń bezpieczeństwa ruchu drogowego i warunków ich umieszczania na drogach Dz.U. 2022 poz. 2377.</w:t>
      </w:r>
    </w:p>
    <w:p w14:paraId="0D1C63C2" w14:textId="77777777" w:rsid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cstheme="minorHAnsi"/>
          <w:sz w:val="24"/>
          <w:szCs w:val="24"/>
        </w:rPr>
        <w:t>Polski</w:t>
      </w:r>
      <w:r w:rsidR="0027767A" w:rsidRPr="00CD76E2">
        <w:rPr>
          <w:rFonts w:cstheme="minorHAnsi"/>
          <w:sz w:val="24"/>
          <w:szCs w:val="24"/>
        </w:rPr>
        <w:t>mi</w:t>
      </w:r>
      <w:r w:rsidRPr="00CD76E2">
        <w:rPr>
          <w:rFonts w:cstheme="minorHAnsi"/>
          <w:sz w:val="24"/>
          <w:szCs w:val="24"/>
        </w:rPr>
        <w:t xml:space="preserve"> norm</w:t>
      </w:r>
      <w:r w:rsidR="0027767A" w:rsidRPr="00CD76E2">
        <w:rPr>
          <w:rFonts w:cstheme="minorHAnsi"/>
          <w:sz w:val="24"/>
          <w:szCs w:val="24"/>
        </w:rPr>
        <w:t>ami</w:t>
      </w:r>
      <w:r w:rsidRPr="00CD76E2">
        <w:rPr>
          <w:rFonts w:cstheme="minorHAnsi"/>
          <w:sz w:val="24"/>
          <w:szCs w:val="24"/>
        </w:rPr>
        <w:t xml:space="preserve"> powołan</w:t>
      </w:r>
      <w:r w:rsidR="0027767A" w:rsidRPr="00CD76E2">
        <w:rPr>
          <w:rFonts w:cstheme="minorHAnsi"/>
          <w:sz w:val="24"/>
          <w:szCs w:val="24"/>
        </w:rPr>
        <w:t>ymi</w:t>
      </w:r>
      <w:r w:rsidRPr="00CD76E2">
        <w:rPr>
          <w:rFonts w:cstheme="minorHAnsi"/>
          <w:sz w:val="24"/>
          <w:szCs w:val="24"/>
        </w:rPr>
        <w:t xml:space="preserve"> w przepisach techniczno-budowlanych.</w:t>
      </w:r>
    </w:p>
    <w:p w14:paraId="058ABC5B" w14:textId="546DA33E" w:rsidR="001B063F" w:rsidRPr="00CD76E2" w:rsidRDefault="001B063F" w:rsidP="00CD76E2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CD76E2">
        <w:rPr>
          <w:rFonts w:cstheme="minorHAnsi"/>
          <w:sz w:val="24"/>
          <w:szCs w:val="24"/>
        </w:rPr>
        <w:t>Własn</w:t>
      </w:r>
      <w:r w:rsidR="0027767A" w:rsidRPr="00CD76E2">
        <w:rPr>
          <w:rFonts w:cstheme="minorHAnsi"/>
          <w:sz w:val="24"/>
          <w:szCs w:val="24"/>
        </w:rPr>
        <w:t>ymi</w:t>
      </w:r>
      <w:r w:rsidRPr="00CD76E2">
        <w:rPr>
          <w:rFonts w:cstheme="minorHAnsi"/>
          <w:sz w:val="24"/>
          <w:szCs w:val="24"/>
        </w:rPr>
        <w:t xml:space="preserve"> pomiary i obserwacj</w:t>
      </w:r>
      <w:r w:rsidR="0027767A" w:rsidRPr="00CD76E2">
        <w:rPr>
          <w:rFonts w:cstheme="minorHAnsi"/>
          <w:sz w:val="24"/>
          <w:szCs w:val="24"/>
        </w:rPr>
        <w:t xml:space="preserve">ą </w:t>
      </w:r>
      <w:r w:rsidRPr="00CD76E2">
        <w:rPr>
          <w:rFonts w:cstheme="minorHAnsi"/>
          <w:sz w:val="24"/>
          <w:szCs w:val="24"/>
        </w:rPr>
        <w:t>w terenie.</w:t>
      </w:r>
    </w:p>
    <w:p w14:paraId="2F50728E" w14:textId="77777777" w:rsidR="004E35E1" w:rsidRDefault="004E35E1" w:rsidP="0027767A">
      <w:pPr>
        <w:widowControl w:val="0"/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</w:p>
    <w:p w14:paraId="3B30CD38" w14:textId="15EEAA69" w:rsidR="0027767A" w:rsidRPr="00CD76E2" w:rsidRDefault="00CD76E2" w:rsidP="0027767A">
      <w:pPr>
        <w:widowControl w:val="0"/>
        <w:suppressAutoHyphens/>
        <w:spacing w:after="0" w:line="276" w:lineRule="auto"/>
        <w:textAlignment w:val="baseline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II. </w:t>
      </w:r>
      <w:r w:rsidR="0027767A" w:rsidRPr="00CD76E2">
        <w:rPr>
          <w:rFonts w:cstheme="minorHAnsi"/>
          <w:b/>
          <w:bCs/>
          <w:sz w:val="24"/>
          <w:szCs w:val="24"/>
        </w:rPr>
        <w:t>Projekty organizacji ruchu do wykonania na następujących drogach gminnych:</w:t>
      </w:r>
    </w:p>
    <w:p w14:paraId="13875A87" w14:textId="77777777" w:rsidR="004E35E1" w:rsidRDefault="004E35E1" w:rsidP="0027767A">
      <w:pPr>
        <w:widowControl w:val="0"/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</w:p>
    <w:p w14:paraId="514E964E" w14:textId="6AC6D073" w:rsidR="0027767A" w:rsidRDefault="0027767A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111142L Moniatycze (dr. pow. 3453L dr. pow. 1855L Moniatycze)</w:t>
      </w:r>
    </w:p>
    <w:p w14:paraId="76261DBF" w14:textId="1A2F62ED" w:rsidR="0027767A" w:rsidRDefault="0027767A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111082L Janki – Kułakowice Drugie (dr. woj. 844 – Kułakowice Drugie)</w:t>
      </w:r>
    </w:p>
    <w:p w14:paraId="52CB45AF" w14:textId="7A5087AB" w:rsidR="0027767A" w:rsidRDefault="0027767A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111085L Moniatycze (</w:t>
      </w:r>
      <w:r w:rsidR="00153D2C">
        <w:rPr>
          <w:rFonts w:cstheme="minorHAnsi"/>
          <w:sz w:val="24"/>
          <w:szCs w:val="24"/>
        </w:rPr>
        <w:t>dr. pow. 1856L – Moniatycze -Stefków)</w:t>
      </w:r>
    </w:p>
    <w:p w14:paraId="43FC9207" w14:textId="2811505D" w:rsidR="0027767A" w:rsidRDefault="00153D2C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111050L Nowosiółki (Granica Gminy – dr. pow. 3414L)</w:t>
      </w:r>
    </w:p>
    <w:p w14:paraId="594418FB" w14:textId="7C2B0DBF" w:rsidR="00153D2C" w:rsidRDefault="00153D2C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111101L Mieniany – Ślipcze (dr. pow. 3430L Mieniany – dr. pow. 3432L Ślipcze)</w:t>
      </w:r>
    </w:p>
    <w:p w14:paraId="6C5E9909" w14:textId="77777777" w:rsidR="00153D2C" w:rsidRDefault="00153D2C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111103L Kosmów – Ślipcze (dr. pow. 3432L Kosmów – dr. gm. 111101L Ślipcze)</w:t>
      </w:r>
    </w:p>
    <w:p w14:paraId="7D478D1F" w14:textId="6FD2872E" w:rsidR="00153D2C" w:rsidRDefault="00153D2C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111128L Kosmów </w:t>
      </w:r>
      <w:r w:rsidR="00CD76E2">
        <w:rPr>
          <w:rFonts w:cstheme="minorHAnsi"/>
          <w:sz w:val="24"/>
          <w:szCs w:val="24"/>
        </w:rPr>
        <w:t>(dr</w:t>
      </w:r>
      <w:r>
        <w:rPr>
          <w:rFonts w:cstheme="minorHAnsi"/>
          <w:sz w:val="24"/>
          <w:szCs w:val="24"/>
        </w:rPr>
        <w:t xml:space="preserve"> pow. 3432L – dr. gm. 111103L Kosmów)</w:t>
      </w:r>
    </w:p>
    <w:p w14:paraId="7AFBDF56" w14:textId="4059E3E3" w:rsidR="004E35E1" w:rsidRDefault="00153D2C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111092L Gródek </w:t>
      </w:r>
      <w:r w:rsidR="00CD76E2">
        <w:rPr>
          <w:rFonts w:cstheme="minorHAnsi"/>
          <w:sz w:val="24"/>
          <w:szCs w:val="24"/>
        </w:rPr>
        <w:t>(dr</w:t>
      </w:r>
      <w:r>
        <w:rPr>
          <w:rFonts w:cstheme="minorHAnsi"/>
          <w:sz w:val="24"/>
          <w:szCs w:val="24"/>
        </w:rPr>
        <w:t xml:space="preserve"> pow. 3431L Gródek </w:t>
      </w:r>
      <w:r w:rsidR="004E35E1">
        <w:rPr>
          <w:rFonts w:cstheme="minorHAnsi"/>
          <w:sz w:val="24"/>
          <w:szCs w:val="24"/>
        </w:rPr>
        <w:t>– dr. pow. 3432L Kol. Gródek)</w:t>
      </w:r>
    </w:p>
    <w:p w14:paraId="2F5C4451" w14:textId="321D6D69" w:rsidR="004E35E1" w:rsidRDefault="004E35E1" w:rsidP="0027767A">
      <w:pPr>
        <w:pStyle w:val="Akapitzlist"/>
        <w:widowControl w:val="0"/>
        <w:numPr>
          <w:ilvl w:val="0"/>
          <w:numId w:val="3"/>
        </w:numPr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111100L Kozodawy – Ślipcze (dr pow. 3430L Kozodawy – dr. pow. 3432L Czumów)</w:t>
      </w:r>
    </w:p>
    <w:p w14:paraId="6D649C1F" w14:textId="77777777" w:rsidR="004E35E1" w:rsidRDefault="004E35E1" w:rsidP="004E35E1">
      <w:pPr>
        <w:widowControl w:val="0"/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</w:p>
    <w:p w14:paraId="2B635715" w14:textId="188E27FD" w:rsidR="004E35E1" w:rsidRDefault="004E35E1" w:rsidP="00CD76E2">
      <w:pPr>
        <w:widowControl w:val="0"/>
        <w:suppressAutoHyphens/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Wykonanie projektów stałej organizacji ruchu uznane będzie za wykonane w </w:t>
      </w:r>
      <w:r w:rsidR="00CD76E2">
        <w:rPr>
          <w:rFonts w:cstheme="minorHAnsi"/>
          <w:sz w:val="24"/>
          <w:szCs w:val="24"/>
        </w:rPr>
        <w:t>momencie dostarczenia</w:t>
      </w:r>
      <w:r>
        <w:rPr>
          <w:rFonts w:cstheme="minorHAnsi"/>
          <w:sz w:val="24"/>
          <w:szCs w:val="24"/>
        </w:rPr>
        <w:t xml:space="preserve"> do zamawiającego zaopiniowanej i zatwierdzonej </w:t>
      </w:r>
      <w:r w:rsidR="00AB1509">
        <w:rPr>
          <w:rFonts w:cstheme="minorHAnsi"/>
          <w:sz w:val="24"/>
          <w:szCs w:val="24"/>
        </w:rPr>
        <w:t xml:space="preserve">organizacji ruchu </w:t>
      </w:r>
      <w:r>
        <w:rPr>
          <w:rFonts w:cstheme="minorHAnsi"/>
          <w:sz w:val="24"/>
          <w:szCs w:val="24"/>
        </w:rPr>
        <w:t xml:space="preserve">przez niezbędne podmioty (PZD, ZDW, KPP, KWP, </w:t>
      </w:r>
      <w:r w:rsidR="00ED50E6">
        <w:rPr>
          <w:rFonts w:cstheme="minorHAnsi"/>
          <w:sz w:val="24"/>
          <w:szCs w:val="24"/>
        </w:rPr>
        <w:t>Starostwo Powiatowe, Gmina Hrubieszów)</w:t>
      </w:r>
      <w:r w:rsidR="00AB1509">
        <w:rPr>
          <w:rFonts w:cstheme="minorHAnsi"/>
          <w:sz w:val="24"/>
          <w:szCs w:val="24"/>
        </w:rPr>
        <w:t xml:space="preserve">. </w:t>
      </w:r>
    </w:p>
    <w:p w14:paraId="54F1DB97" w14:textId="77777777" w:rsidR="00CD76E2" w:rsidRPr="00CD76E2" w:rsidRDefault="00AB1509" w:rsidP="00CD76E2">
      <w:pPr>
        <w:widowControl w:val="0"/>
        <w:suppressAutoHyphens/>
        <w:spacing w:after="0" w:line="276" w:lineRule="auto"/>
        <w:jc w:val="both"/>
        <w:textAlignment w:val="baseline"/>
        <w:rPr>
          <w:rFonts w:cstheme="minorHAnsi"/>
          <w:sz w:val="24"/>
          <w:szCs w:val="24"/>
          <w:u w:val="single"/>
        </w:rPr>
      </w:pPr>
      <w:r w:rsidRPr="00CD76E2">
        <w:rPr>
          <w:rFonts w:cstheme="minorHAnsi"/>
          <w:sz w:val="24"/>
          <w:szCs w:val="24"/>
          <w:u w:val="single"/>
        </w:rPr>
        <w:t>Na etapie przygotowania wykonawca zobowiązany jest skonsultować z Gminą Hrubieszów proponowane rozwiązania dotyczące wprowadzanego oznakowania.</w:t>
      </w:r>
      <w:r w:rsidR="0020340F" w:rsidRPr="00CD76E2">
        <w:rPr>
          <w:rFonts w:cstheme="minorHAnsi"/>
          <w:sz w:val="24"/>
          <w:szCs w:val="24"/>
          <w:u w:val="single"/>
        </w:rPr>
        <w:t xml:space="preserve"> </w:t>
      </w:r>
    </w:p>
    <w:p w14:paraId="53AC2191" w14:textId="20A0D401" w:rsidR="00AB1509" w:rsidRPr="004E35E1" w:rsidRDefault="0020340F" w:rsidP="00CD76E2">
      <w:pPr>
        <w:widowControl w:val="0"/>
        <w:suppressAutoHyphens/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Każdy projekt stałej organizacji ruchu powinien zawierać zestawienie oznakowania.</w:t>
      </w:r>
    </w:p>
    <w:p w14:paraId="656172FA" w14:textId="33BF7252" w:rsidR="001B063F" w:rsidRDefault="00153D2C" w:rsidP="00CD76E2">
      <w:pPr>
        <w:pStyle w:val="Akapitzlist"/>
        <w:widowControl w:val="0"/>
        <w:suppressAutoHyphens/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</w:p>
    <w:p w14:paraId="5192AF28" w14:textId="77777777" w:rsidR="00CD76E2" w:rsidRDefault="00CD76E2" w:rsidP="00CD76E2">
      <w:pPr>
        <w:pStyle w:val="Akapitzlist"/>
        <w:widowControl w:val="0"/>
        <w:suppressAutoHyphens/>
        <w:spacing w:after="0" w:line="276" w:lineRule="auto"/>
        <w:jc w:val="both"/>
        <w:textAlignment w:val="baseline"/>
        <w:rPr>
          <w:rFonts w:cstheme="minorHAnsi"/>
          <w:sz w:val="24"/>
          <w:szCs w:val="24"/>
        </w:rPr>
      </w:pPr>
    </w:p>
    <w:p w14:paraId="23F7BD7B" w14:textId="77777777" w:rsidR="00CD76E2" w:rsidRPr="001B063F" w:rsidRDefault="00CD76E2" w:rsidP="00CD76E2">
      <w:pPr>
        <w:pStyle w:val="Akapitzlist"/>
        <w:widowControl w:val="0"/>
        <w:suppressAutoHyphens/>
        <w:spacing w:after="0" w:line="276" w:lineRule="auto"/>
        <w:textAlignment w:val="baseline"/>
        <w:rPr>
          <w:rFonts w:cstheme="minorHAnsi"/>
          <w:sz w:val="24"/>
          <w:szCs w:val="24"/>
        </w:rPr>
      </w:pPr>
    </w:p>
    <w:sectPr w:rsidR="00CD76E2" w:rsidRPr="001B06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ADE38" w14:textId="77777777" w:rsidR="0022111D" w:rsidRDefault="0022111D" w:rsidP="00CD76E2">
      <w:pPr>
        <w:spacing w:after="0" w:line="240" w:lineRule="auto"/>
      </w:pPr>
      <w:r>
        <w:separator/>
      </w:r>
    </w:p>
  </w:endnote>
  <w:endnote w:type="continuationSeparator" w:id="0">
    <w:p w14:paraId="116B832C" w14:textId="77777777" w:rsidR="0022111D" w:rsidRDefault="0022111D" w:rsidP="00CD7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AFEF1" w14:textId="77777777" w:rsidR="0022111D" w:rsidRDefault="0022111D" w:rsidP="00CD76E2">
      <w:pPr>
        <w:spacing w:after="0" w:line="240" w:lineRule="auto"/>
      </w:pPr>
      <w:r>
        <w:separator/>
      </w:r>
    </w:p>
  </w:footnote>
  <w:footnote w:type="continuationSeparator" w:id="0">
    <w:p w14:paraId="29395017" w14:textId="77777777" w:rsidR="0022111D" w:rsidRDefault="0022111D" w:rsidP="00CD7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4BA7" w14:textId="602A6B7D" w:rsidR="00CD76E2" w:rsidRDefault="00CD76E2">
    <w:pPr>
      <w:pStyle w:val="Nagwek"/>
    </w:pPr>
    <w:r>
      <w:t>RIPG.271.</w:t>
    </w:r>
    <w:r w:rsidR="00477FFE">
      <w:t>39.2026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02B58"/>
    <w:multiLevelType w:val="multilevel"/>
    <w:tmpl w:val="3334B1FA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24D420C"/>
    <w:multiLevelType w:val="hybridMultilevel"/>
    <w:tmpl w:val="1D56E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834F1"/>
    <w:multiLevelType w:val="multilevel"/>
    <w:tmpl w:val="A39A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E8126B"/>
    <w:multiLevelType w:val="hybridMultilevel"/>
    <w:tmpl w:val="6B18F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4B33CD"/>
    <w:multiLevelType w:val="hybridMultilevel"/>
    <w:tmpl w:val="120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2705">
    <w:abstractNumId w:val="0"/>
  </w:num>
  <w:num w:numId="2" w16cid:durableId="690183267">
    <w:abstractNumId w:val="4"/>
  </w:num>
  <w:num w:numId="3" w16cid:durableId="2062627033">
    <w:abstractNumId w:val="3"/>
  </w:num>
  <w:num w:numId="4" w16cid:durableId="793912015">
    <w:abstractNumId w:val="2"/>
  </w:num>
  <w:num w:numId="5" w16cid:durableId="1291084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9B"/>
    <w:rsid w:val="000172B7"/>
    <w:rsid w:val="0005159B"/>
    <w:rsid w:val="00153D2C"/>
    <w:rsid w:val="001B063F"/>
    <w:rsid w:val="001D68B9"/>
    <w:rsid w:val="001E3F5C"/>
    <w:rsid w:val="0020340F"/>
    <w:rsid w:val="0022111D"/>
    <w:rsid w:val="0027767A"/>
    <w:rsid w:val="003F0094"/>
    <w:rsid w:val="00477FFE"/>
    <w:rsid w:val="004E35E1"/>
    <w:rsid w:val="00584C39"/>
    <w:rsid w:val="006A2052"/>
    <w:rsid w:val="006E699F"/>
    <w:rsid w:val="007A5FAD"/>
    <w:rsid w:val="00800868"/>
    <w:rsid w:val="009B3514"/>
    <w:rsid w:val="00AB1509"/>
    <w:rsid w:val="00BD2601"/>
    <w:rsid w:val="00C72651"/>
    <w:rsid w:val="00CD76E2"/>
    <w:rsid w:val="00D43724"/>
    <w:rsid w:val="00ED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30F1"/>
  <w15:chartTrackingRefBased/>
  <w15:docId w15:val="{29D8437A-451E-4B91-99CB-413ADE9F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1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051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0515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1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0515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1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1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1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1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15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qFormat/>
    <w:rsid w:val="00051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15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15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15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15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15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15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15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1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1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1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1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15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15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15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15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15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159B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qFormat/>
    <w:rsid w:val="001B063F"/>
    <w:pPr>
      <w:widowControl w:val="0"/>
      <w:suppressAutoHyphens/>
      <w:spacing w:before="10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D7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76E2"/>
  </w:style>
  <w:style w:type="paragraph" w:styleId="Stopka">
    <w:name w:val="footer"/>
    <w:basedOn w:val="Normalny"/>
    <w:link w:val="StopkaZnak"/>
    <w:uiPriority w:val="99"/>
    <w:unhideWhenUsed/>
    <w:rsid w:val="00CD7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MK. Kanonienko</dc:creator>
  <cp:keywords/>
  <dc:description/>
  <cp:lastModifiedBy>Kamila KS. Sykut</cp:lastModifiedBy>
  <cp:revision>7</cp:revision>
  <dcterms:created xsi:type="dcterms:W3CDTF">2026-07-08T06:13:00Z</dcterms:created>
  <dcterms:modified xsi:type="dcterms:W3CDTF">2026-10-14T07:47:00Z</dcterms:modified>
</cp:coreProperties>
</file>