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A8859" w14:textId="77777777" w:rsidR="008A4152" w:rsidRDefault="008A4152" w:rsidP="008A4152">
      <w:pPr>
        <w:pStyle w:val="Tytu"/>
        <w:jc w:val="left"/>
        <w:rPr>
          <w:rFonts w:ascii="Arial" w:hAnsi="Arial" w:cs="Arial"/>
          <w:b w:val="0"/>
          <w:bCs/>
          <w:color w:val="000000" w:themeColor="text1"/>
          <w:sz w:val="28"/>
          <w:szCs w:val="28"/>
          <w:lang w:bidi="pl-PL"/>
        </w:rPr>
      </w:pPr>
      <w:bookmarkStart w:id="0" w:name="opis-przedmiotu-zamówienia"/>
      <w:bookmarkStart w:id="1" w:name="X3a6e8814cae177bb30359e534d2d4a81b3653a5"/>
      <w:r w:rsidRPr="00C13F3E">
        <w:rPr>
          <w:rFonts w:ascii="Arial" w:hAnsi="Arial" w:cs="Arial"/>
          <w:bCs/>
          <w:color w:val="000000" w:themeColor="text1"/>
          <w:sz w:val="28"/>
          <w:szCs w:val="28"/>
          <w:lang w:bidi="pl-PL"/>
        </w:rPr>
        <w:t xml:space="preserve">Załącznik nr </w:t>
      </w:r>
      <w:r>
        <w:rPr>
          <w:rFonts w:ascii="Arial" w:hAnsi="Arial" w:cs="Arial"/>
          <w:bCs/>
          <w:color w:val="000000" w:themeColor="text1"/>
          <w:sz w:val="28"/>
          <w:szCs w:val="28"/>
          <w:lang w:bidi="pl-PL"/>
        </w:rPr>
        <w:t>4</w:t>
      </w:r>
      <w:r w:rsidRPr="00C13F3E">
        <w:rPr>
          <w:rFonts w:ascii="Arial" w:hAnsi="Arial" w:cs="Arial"/>
          <w:bCs/>
          <w:color w:val="000000" w:themeColor="text1"/>
          <w:sz w:val="28"/>
          <w:szCs w:val="28"/>
          <w:lang w:bidi="pl-PL"/>
        </w:rPr>
        <w:t xml:space="preserve"> </w:t>
      </w:r>
      <w:r>
        <w:rPr>
          <w:rFonts w:ascii="Arial" w:hAnsi="Arial" w:cs="Arial"/>
          <w:bCs/>
          <w:color w:val="000000" w:themeColor="text1"/>
          <w:sz w:val="28"/>
          <w:szCs w:val="28"/>
          <w:lang w:bidi="pl-PL"/>
        </w:rPr>
        <w:t>–</w:t>
      </w:r>
      <w:r w:rsidRPr="00C13F3E">
        <w:rPr>
          <w:rFonts w:ascii="Arial" w:hAnsi="Arial" w:cs="Arial"/>
          <w:bCs/>
          <w:color w:val="000000" w:themeColor="text1"/>
          <w:sz w:val="28"/>
          <w:szCs w:val="28"/>
          <w:lang w:bidi="pl-PL"/>
        </w:rPr>
        <w:t xml:space="preserve"> </w:t>
      </w:r>
      <w:r>
        <w:rPr>
          <w:rFonts w:ascii="Arial" w:hAnsi="Arial" w:cs="Arial"/>
          <w:bCs/>
          <w:color w:val="000000" w:themeColor="text1"/>
          <w:sz w:val="28"/>
          <w:szCs w:val="28"/>
          <w:lang w:bidi="pl-PL"/>
        </w:rPr>
        <w:t>Opis przedmiotu zamówienia</w:t>
      </w:r>
    </w:p>
    <w:p w14:paraId="4B1DA8CE" w14:textId="78551EFA" w:rsidR="008A4152" w:rsidRPr="008C5E38" w:rsidRDefault="008A4152" w:rsidP="008A4152">
      <w:pPr>
        <w:pStyle w:val="Nagwek2"/>
        <w:shd w:val="clear" w:color="auto" w:fill="FFFFFF"/>
        <w:spacing w:before="360" w:line="360" w:lineRule="auto"/>
        <w:jc w:val="center"/>
        <w:rPr>
          <w:rFonts w:ascii="Arial" w:hAnsi="Arial" w:cs="Arial"/>
          <w:color w:val="auto"/>
          <w:sz w:val="24"/>
          <w:szCs w:val="24"/>
        </w:rPr>
      </w:pPr>
      <w:r w:rsidRPr="008C5E38">
        <w:rPr>
          <w:rFonts w:ascii="Arial" w:hAnsi="Arial" w:cs="Arial"/>
          <w:color w:val="auto"/>
          <w:sz w:val="24"/>
          <w:szCs w:val="24"/>
        </w:rPr>
        <w:t>Doposażenie pracowni szkolnych – dostawa laptopów i licencji na specjalistyczne oprogramowania edukacyjne w ramach Fundusze Europejskie dla Śląskiego 2021-2027 (Fundusz na rzecz Sprawiedliwej Transformacji)</w:t>
      </w:r>
    </w:p>
    <w:p w14:paraId="4BE1C4F2" w14:textId="2DBFA43C" w:rsidR="008A4152" w:rsidRPr="008C5E38" w:rsidRDefault="008A4152" w:rsidP="008A4152">
      <w:pPr>
        <w:pStyle w:val="Tytu"/>
        <w:spacing w:after="360"/>
        <w:rPr>
          <w:rFonts w:ascii="Arial" w:hAnsi="Arial" w:cs="Arial"/>
          <w:color w:val="000000" w:themeColor="text1"/>
          <w:sz w:val="24"/>
          <w:szCs w:val="24"/>
          <w:lang w:bidi="pl-PL"/>
        </w:rPr>
      </w:pPr>
      <w:r w:rsidRPr="008C5E38">
        <w:rPr>
          <w:rFonts w:ascii="Arial" w:hAnsi="Arial" w:cs="Arial"/>
          <w:sz w:val="24"/>
          <w:szCs w:val="24"/>
        </w:rPr>
        <w:t>ZST.</w:t>
      </w:r>
      <w:r w:rsidRPr="008C5E38">
        <w:rPr>
          <w:rFonts w:ascii="Arial" w:hAnsi="Arial" w:cs="Arial"/>
          <w:color w:val="000000" w:themeColor="text1"/>
          <w:sz w:val="24"/>
          <w:szCs w:val="24"/>
        </w:rPr>
        <w:t>251.2</w:t>
      </w:r>
      <w:r>
        <w:rPr>
          <w:rFonts w:ascii="Arial" w:hAnsi="Arial" w:cs="Arial"/>
          <w:color w:val="000000" w:themeColor="text1"/>
          <w:sz w:val="24"/>
          <w:szCs w:val="24"/>
        </w:rPr>
        <w:t>7</w:t>
      </w:r>
      <w:r w:rsidRPr="008C5E38">
        <w:rPr>
          <w:rFonts w:ascii="Arial" w:hAnsi="Arial" w:cs="Arial"/>
          <w:color w:val="000000" w:themeColor="text1"/>
          <w:sz w:val="24"/>
          <w:szCs w:val="24"/>
        </w:rPr>
        <w:t>.2026.FST</w:t>
      </w:r>
    </w:p>
    <w:p w14:paraId="64840BA1" w14:textId="77777777" w:rsidR="002122C0" w:rsidRPr="008A4152" w:rsidRDefault="00D36E86" w:rsidP="00E737C9">
      <w:pPr>
        <w:pStyle w:val="Nagwek3"/>
        <w:spacing w:line="360" w:lineRule="auto"/>
        <w:rPr>
          <w:rFonts w:ascii="Arial" w:hAnsi="Arial" w:cs="Arial"/>
          <w:color w:val="auto"/>
          <w:sz w:val="24"/>
          <w:szCs w:val="24"/>
        </w:rPr>
      </w:pPr>
      <w:bookmarkStart w:id="2" w:name="Xf943b9ecfb515b050f071ff83bae37d13ff80d2"/>
      <w:r w:rsidRPr="008A4152">
        <w:rPr>
          <w:rFonts w:ascii="Arial" w:hAnsi="Arial" w:cs="Arial"/>
          <w:color w:val="auto"/>
          <w:sz w:val="24"/>
          <w:szCs w:val="24"/>
        </w:rPr>
        <w:t>1. Przedmiot i zakres dostawy</w:t>
      </w:r>
    </w:p>
    <w:p w14:paraId="38BF0936" w14:textId="3DC0132F" w:rsidR="002122C0" w:rsidRPr="008A4152" w:rsidRDefault="00D36E86" w:rsidP="00E737C9">
      <w:pPr>
        <w:pStyle w:val="Compact"/>
        <w:numPr>
          <w:ilvl w:val="0"/>
          <w:numId w:val="2"/>
        </w:numPr>
        <w:spacing w:line="360" w:lineRule="auto"/>
        <w:rPr>
          <w:rFonts w:ascii="Arial" w:hAnsi="Arial" w:cs="Arial"/>
          <w:sz w:val="24"/>
        </w:rPr>
      </w:pPr>
      <w:r w:rsidRPr="008A4152">
        <w:rPr>
          <w:rFonts w:ascii="Arial" w:hAnsi="Arial" w:cs="Arial"/>
          <w:sz w:val="24"/>
        </w:rPr>
        <w:t xml:space="preserve">Przedmiotem zamówienia jest dostawa </w:t>
      </w:r>
      <w:r w:rsidR="008A4152" w:rsidRPr="008A4152">
        <w:rPr>
          <w:rFonts w:ascii="Arial" w:hAnsi="Arial" w:cs="Arial"/>
          <w:sz w:val="24"/>
        </w:rPr>
        <w:t>11</w:t>
      </w:r>
      <w:r w:rsidRPr="008A4152">
        <w:rPr>
          <w:rFonts w:ascii="Arial" w:hAnsi="Arial" w:cs="Arial"/>
          <w:sz w:val="24"/>
        </w:rPr>
        <w:t xml:space="preserve"> kompletnych mobilnych stanowisk edukacyjnych, obejmujących laptop z wbudowanym ekranem 3D bez okularów, system interakcji przestrzennej, oprogramowanie edukacyjne, licencje, instalację i uruchomienie.</w:t>
      </w:r>
    </w:p>
    <w:p w14:paraId="13D141C6" w14:textId="5A446B70" w:rsidR="002122C0" w:rsidRPr="008A4152" w:rsidRDefault="00D36E86" w:rsidP="008A4152">
      <w:pPr>
        <w:pStyle w:val="Compact"/>
        <w:numPr>
          <w:ilvl w:val="0"/>
          <w:numId w:val="2"/>
        </w:numPr>
        <w:spacing w:line="360" w:lineRule="auto"/>
        <w:rPr>
          <w:rFonts w:ascii="Arial" w:hAnsi="Arial" w:cs="Arial"/>
          <w:sz w:val="24"/>
        </w:rPr>
      </w:pPr>
      <w:r w:rsidRPr="008A4152">
        <w:rPr>
          <w:rFonts w:ascii="Arial" w:hAnsi="Arial" w:cs="Arial"/>
          <w:sz w:val="24"/>
        </w:rPr>
        <w:t xml:space="preserve">Każde stanowisko musi tworzyć działający zestaw. Za zgodność sprzętu, sterowników, systemu śledzenia, urządzenia wskazującego i aplikacji odpowiada </w:t>
      </w:r>
      <w:r w:rsidR="008B7E3B">
        <w:rPr>
          <w:rFonts w:ascii="Arial" w:hAnsi="Arial" w:cs="Arial"/>
          <w:sz w:val="24"/>
        </w:rPr>
        <w:t>W</w:t>
      </w:r>
      <w:r w:rsidRPr="008A4152">
        <w:rPr>
          <w:rFonts w:ascii="Arial" w:hAnsi="Arial" w:cs="Arial"/>
          <w:sz w:val="24"/>
        </w:rPr>
        <w:t>ykonawca.</w:t>
      </w:r>
    </w:p>
    <w:p w14:paraId="5DD504A5" w14:textId="77777777" w:rsidR="002122C0" w:rsidRPr="008A4152" w:rsidRDefault="00D36E86" w:rsidP="008A4152">
      <w:pPr>
        <w:pStyle w:val="Compact"/>
        <w:numPr>
          <w:ilvl w:val="0"/>
          <w:numId w:val="2"/>
        </w:numPr>
        <w:spacing w:line="360" w:lineRule="auto"/>
        <w:rPr>
          <w:rFonts w:ascii="Arial" w:hAnsi="Arial" w:cs="Arial"/>
          <w:sz w:val="24"/>
        </w:rPr>
      </w:pPr>
      <w:r w:rsidRPr="008A4152">
        <w:rPr>
          <w:rFonts w:ascii="Arial" w:hAnsi="Arial" w:cs="Arial"/>
          <w:sz w:val="24"/>
        </w:rPr>
        <w:t>Dopuszcza się komponenty różnych producentów, zewnętrzne moduły śledzenia oraz dodatkowe warstwy integracyjne i wtyczki. Wszystkie niezbędne elementy, licencje, przewody i adaptery muszą być objęte ceną.</w:t>
      </w:r>
    </w:p>
    <w:p w14:paraId="5020253A" w14:textId="77777777" w:rsidR="002122C0" w:rsidRPr="008A4152" w:rsidRDefault="00D36E86" w:rsidP="008A4152">
      <w:pPr>
        <w:pStyle w:val="Compact"/>
        <w:numPr>
          <w:ilvl w:val="0"/>
          <w:numId w:val="2"/>
        </w:numPr>
        <w:spacing w:line="360" w:lineRule="auto"/>
        <w:rPr>
          <w:rFonts w:ascii="Arial" w:hAnsi="Arial" w:cs="Arial"/>
          <w:sz w:val="24"/>
        </w:rPr>
      </w:pPr>
      <w:r w:rsidRPr="008A4152">
        <w:rPr>
          <w:rFonts w:ascii="Arial" w:hAnsi="Arial" w:cs="Arial"/>
          <w:sz w:val="24"/>
        </w:rPr>
        <w:t>Zewnętrzny ekran 3D, gogle lub okulary nie zastępują wymaganego wbudowanego ekranu autostereoskopowego laptopa.</w:t>
      </w:r>
    </w:p>
    <w:p w14:paraId="7C410280" w14:textId="77777777" w:rsidR="002122C0" w:rsidRPr="008A4152" w:rsidRDefault="00D36E86" w:rsidP="000B0D23">
      <w:pPr>
        <w:pStyle w:val="Nagwek3"/>
        <w:spacing w:before="240" w:after="360"/>
        <w:rPr>
          <w:rFonts w:ascii="Arial" w:hAnsi="Arial" w:cs="Arial"/>
          <w:color w:val="auto"/>
          <w:sz w:val="24"/>
          <w:szCs w:val="24"/>
        </w:rPr>
      </w:pPr>
      <w:bookmarkStart w:id="3" w:name="Xbbc7908d9c4828f4401c0a4911fcdf37ffc3940"/>
      <w:bookmarkEnd w:id="2"/>
      <w:r w:rsidRPr="008A4152">
        <w:rPr>
          <w:rFonts w:ascii="Arial" w:hAnsi="Arial" w:cs="Arial"/>
          <w:color w:val="auto"/>
          <w:sz w:val="24"/>
          <w:szCs w:val="24"/>
        </w:rPr>
        <w:t>2. Minimalne wymagania sprzętowe</w:t>
      </w: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23"/>
        <w:gridCol w:w="7139"/>
      </w:tblGrid>
      <w:tr w:rsidR="002122C0" w:rsidRPr="008E526E" w14:paraId="378C80BD" w14:textId="77777777" w:rsidTr="00DC2A1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shd w:val="clear" w:color="auto" w:fill="E8E8E8" w:themeFill="background2"/>
          </w:tcPr>
          <w:p w14:paraId="6509DFEF" w14:textId="77777777" w:rsidR="002122C0" w:rsidRPr="008E526E" w:rsidRDefault="00D36E86" w:rsidP="00DC2A13">
            <w:pPr>
              <w:pStyle w:val="Compact"/>
              <w:spacing w:before="0" w:after="0"/>
              <w:jc w:val="center"/>
              <w:rPr>
                <w:rFonts w:ascii="Arial" w:hAnsi="Arial" w:cs="Arial"/>
                <w:szCs w:val="22"/>
              </w:rPr>
            </w:pPr>
            <w:r w:rsidRPr="008E526E">
              <w:rPr>
                <w:rFonts w:ascii="Arial" w:hAnsi="Arial" w:cs="Arial"/>
                <w:szCs w:val="22"/>
              </w:rPr>
              <w:t>Element</w:t>
            </w:r>
          </w:p>
        </w:tc>
        <w:tc>
          <w:tcPr>
            <w:tcW w:w="0" w:type="auto"/>
            <w:tcBorders>
              <w:bottom w:val="none" w:sz="0" w:space="0" w:color="auto"/>
            </w:tcBorders>
            <w:shd w:val="clear" w:color="auto" w:fill="E8E8E8" w:themeFill="background2"/>
          </w:tcPr>
          <w:p w14:paraId="46E0C258" w14:textId="77777777" w:rsidR="002122C0" w:rsidRPr="008E526E" w:rsidRDefault="00D36E86" w:rsidP="00DC2A13">
            <w:pPr>
              <w:pStyle w:val="Compact"/>
              <w:spacing w:before="0" w:after="0"/>
              <w:jc w:val="center"/>
              <w:rPr>
                <w:rFonts w:ascii="Arial" w:hAnsi="Arial" w:cs="Arial"/>
                <w:szCs w:val="22"/>
              </w:rPr>
            </w:pPr>
            <w:r w:rsidRPr="008E526E">
              <w:rPr>
                <w:rFonts w:ascii="Arial" w:hAnsi="Arial" w:cs="Arial"/>
                <w:szCs w:val="22"/>
              </w:rPr>
              <w:t>Wymaganie minimalne</w:t>
            </w:r>
          </w:p>
        </w:tc>
      </w:tr>
      <w:tr w:rsidR="002122C0" w:rsidRPr="008E526E" w14:paraId="0349AE55" w14:textId="77777777" w:rsidTr="008A4152">
        <w:tc>
          <w:tcPr>
            <w:tcW w:w="0" w:type="auto"/>
          </w:tcPr>
          <w:p w14:paraId="2433932D"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Procesor</w:t>
            </w:r>
          </w:p>
        </w:tc>
        <w:tc>
          <w:tcPr>
            <w:tcW w:w="0" w:type="auto"/>
          </w:tcPr>
          <w:p w14:paraId="69A1E7E2"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Procesor wielordzeniowy, co najmniej 8 rdzeni fizycznych, obsługujący co najmniej 16 wątków, zgodny z oferowanym oprogramowaniem. Dopuszcza się architekturę hybrydową.</w:t>
            </w:r>
          </w:p>
        </w:tc>
      </w:tr>
      <w:tr w:rsidR="002122C0" w:rsidRPr="008E526E" w14:paraId="7BDC6821" w14:textId="77777777" w:rsidTr="008A4152">
        <w:tc>
          <w:tcPr>
            <w:tcW w:w="0" w:type="auto"/>
          </w:tcPr>
          <w:p w14:paraId="3CB1B591"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Pamięć operacyjna</w:t>
            </w:r>
          </w:p>
        </w:tc>
        <w:tc>
          <w:tcPr>
            <w:tcW w:w="0" w:type="auto"/>
          </w:tcPr>
          <w:p w14:paraId="088F487C"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Co najmniej 32 GB DDR4, DDR5, LPDDR5 lub nowszej generacji, w konfiguracji wielokanałowej.</w:t>
            </w:r>
          </w:p>
        </w:tc>
      </w:tr>
      <w:tr w:rsidR="002122C0" w:rsidRPr="008E526E" w14:paraId="0E78C741" w14:textId="77777777" w:rsidTr="008A4152">
        <w:tc>
          <w:tcPr>
            <w:tcW w:w="0" w:type="auto"/>
          </w:tcPr>
          <w:p w14:paraId="5193A4D6"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Grafika</w:t>
            </w:r>
          </w:p>
        </w:tc>
        <w:tc>
          <w:tcPr>
            <w:tcW w:w="0" w:type="auto"/>
          </w:tcPr>
          <w:p w14:paraId="2827807B"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Dedykowany układ graficzny z co najmniej 6 GB własnej pamięci GDDR6 lub nowszej, obsługujący akcelerację wszystkich dostarczonych aplikacji i stereoskopii.</w:t>
            </w:r>
          </w:p>
        </w:tc>
      </w:tr>
      <w:tr w:rsidR="002122C0" w:rsidRPr="008E526E" w14:paraId="519282C5" w14:textId="77777777" w:rsidTr="008A4152">
        <w:tc>
          <w:tcPr>
            <w:tcW w:w="0" w:type="auto"/>
          </w:tcPr>
          <w:p w14:paraId="4A80B08D"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Dysk</w:t>
            </w:r>
          </w:p>
        </w:tc>
        <w:tc>
          <w:tcPr>
            <w:tcW w:w="0" w:type="auto"/>
          </w:tcPr>
          <w:p w14:paraId="4601E3F2"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SSD NVMe PCIe o pojemności co najmniej 1 TB.</w:t>
            </w:r>
          </w:p>
        </w:tc>
      </w:tr>
      <w:tr w:rsidR="002122C0" w:rsidRPr="008E526E" w14:paraId="01C8BAC9" w14:textId="77777777" w:rsidTr="008A4152">
        <w:tc>
          <w:tcPr>
            <w:tcW w:w="0" w:type="auto"/>
          </w:tcPr>
          <w:p w14:paraId="7CAFA0D2"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Ekran</w:t>
            </w:r>
          </w:p>
        </w:tc>
        <w:tc>
          <w:tcPr>
            <w:tcW w:w="0" w:type="auto"/>
          </w:tcPr>
          <w:p w14:paraId="78B98FA6"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Wbudowany, o przekątnej od 15,6 do 16,0 cala. Dopuszcza się LCD/IPS, OLED oraz inne technologie spełniające wymagania funkcjonalne.</w:t>
            </w:r>
          </w:p>
        </w:tc>
      </w:tr>
      <w:tr w:rsidR="002122C0" w:rsidRPr="008E526E" w14:paraId="5E640B1C" w14:textId="77777777" w:rsidTr="008A4152">
        <w:tc>
          <w:tcPr>
            <w:tcW w:w="0" w:type="auto"/>
          </w:tcPr>
          <w:p w14:paraId="0CB25EA8"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Rozdzielczość 2D</w:t>
            </w:r>
          </w:p>
        </w:tc>
        <w:tc>
          <w:tcPr>
            <w:tcW w:w="0" w:type="auto"/>
          </w:tcPr>
          <w:p w14:paraId="31E5F7E6"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Co najmniej 3200 × 2000 pikseli. Dopuszcza się inne proporcje ekranu, jeśli oba wymiary rozdzielczości są nie mniejsze od wskazanych.</w:t>
            </w:r>
          </w:p>
        </w:tc>
      </w:tr>
      <w:tr w:rsidR="002122C0" w:rsidRPr="008E526E" w14:paraId="505BE167" w14:textId="77777777" w:rsidTr="008A4152">
        <w:tc>
          <w:tcPr>
            <w:tcW w:w="0" w:type="auto"/>
          </w:tcPr>
          <w:p w14:paraId="3F0B1696"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Tryb 3D</w:t>
            </w:r>
          </w:p>
        </w:tc>
        <w:tc>
          <w:tcPr>
            <w:tcW w:w="0" w:type="auto"/>
          </w:tcPr>
          <w:p w14:paraId="276E5FBF"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 xml:space="preserve">Autostereoskopia bez okularów, z oddzielnym obrazem dla lewego i prawego oka oraz automatycznym dostosowaniem obrazu do położenia użytkownika. Nie określa się minimalnej rozdzielczości na </w:t>
            </w:r>
            <w:r w:rsidRPr="008E526E">
              <w:rPr>
                <w:rFonts w:ascii="Arial" w:hAnsi="Arial" w:cs="Arial"/>
                <w:szCs w:val="22"/>
              </w:rPr>
              <w:lastRenderedPageBreak/>
              <w:t>oko. Wymagana jest czytelność treści i poprawna realizacja testów odbiorowych.</w:t>
            </w:r>
          </w:p>
        </w:tc>
      </w:tr>
      <w:tr w:rsidR="002122C0" w:rsidRPr="008E526E" w14:paraId="441C5038" w14:textId="77777777" w:rsidTr="008A4152">
        <w:tc>
          <w:tcPr>
            <w:tcW w:w="0" w:type="auto"/>
          </w:tcPr>
          <w:p w14:paraId="6FE2FD0A"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lastRenderedPageBreak/>
              <w:t>Kolor</w:t>
            </w:r>
          </w:p>
        </w:tc>
        <w:tc>
          <w:tcPr>
            <w:tcW w:w="0" w:type="auto"/>
          </w:tcPr>
          <w:p w14:paraId="7212538E"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Deklarowane przez producenta pokrycie co najmniej 100% sRGB lub co najmniej 95% Adobe RGB albo co najmniej 95% DCI-P3. Nie wymaga się równoczesnego spełnienia wszystkich trzech wariantów.</w:t>
            </w:r>
          </w:p>
        </w:tc>
      </w:tr>
      <w:tr w:rsidR="002122C0" w:rsidRPr="008E526E" w14:paraId="566DCCB5" w14:textId="77777777" w:rsidTr="008A4152">
        <w:tc>
          <w:tcPr>
            <w:tcW w:w="0" w:type="auto"/>
          </w:tcPr>
          <w:p w14:paraId="0D3E41E6"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Śledzenie użytkownika</w:t>
            </w:r>
          </w:p>
        </w:tc>
        <w:tc>
          <w:tcPr>
            <w:tcW w:w="0" w:type="auto"/>
          </w:tcPr>
          <w:p w14:paraId="2872C7F5"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Wbudowany system śledzenia oczu lub głowy, niezbędny do poprawnego działania wbudowanej autostereoskopii.</w:t>
            </w:r>
          </w:p>
        </w:tc>
      </w:tr>
      <w:tr w:rsidR="002122C0" w:rsidRPr="008E526E" w14:paraId="12E3FDDD" w14:textId="77777777" w:rsidTr="008A4152">
        <w:tc>
          <w:tcPr>
            <w:tcW w:w="0" w:type="auto"/>
          </w:tcPr>
          <w:p w14:paraId="4D531944"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Przełączanie trybu</w:t>
            </w:r>
          </w:p>
        </w:tc>
        <w:tc>
          <w:tcPr>
            <w:tcW w:w="0" w:type="auto"/>
          </w:tcPr>
          <w:p w14:paraId="07FD138F"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Możliwość przełączania pomiędzy standardowym obrazem 2D i stereoskopowym 3D.</w:t>
            </w:r>
          </w:p>
        </w:tc>
      </w:tr>
      <w:tr w:rsidR="002122C0" w:rsidRPr="008E526E" w14:paraId="18056124" w14:textId="77777777" w:rsidTr="008A4152">
        <w:tc>
          <w:tcPr>
            <w:tcW w:w="0" w:type="auto"/>
          </w:tcPr>
          <w:p w14:paraId="4F8EC181"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Łączność</w:t>
            </w:r>
          </w:p>
        </w:tc>
        <w:tc>
          <w:tcPr>
            <w:tcW w:w="0" w:type="auto"/>
          </w:tcPr>
          <w:p w14:paraId="32A250E0"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Wi-Fi co najmniej 6, Bluetooth co najmniej 5.0.</w:t>
            </w:r>
          </w:p>
        </w:tc>
      </w:tr>
      <w:tr w:rsidR="002122C0" w:rsidRPr="008E526E" w14:paraId="3D23951D" w14:textId="77777777" w:rsidTr="008A4152">
        <w:tc>
          <w:tcPr>
            <w:tcW w:w="0" w:type="auto"/>
          </w:tcPr>
          <w:p w14:paraId="216C6BA9"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Złącza</w:t>
            </w:r>
          </w:p>
        </w:tc>
        <w:tc>
          <w:tcPr>
            <w:tcW w:w="0" w:type="auto"/>
          </w:tcPr>
          <w:p w14:paraId="576AF41B"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Możliwość jednoczesnego podłączenia wszystkich dostarczonych elementów stanowiska. Dopuszcza się dostarczony koncentrator lub stację dokującą.</w:t>
            </w:r>
          </w:p>
        </w:tc>
      </w:tr>
      <w:tr w:rsidR="002122C0" w:rsidRPr="008E526E" w14:paraId="7FD68ADD" w14:textId="77777777" w:rsidTr="008A4152">
        <w:tc>
          <w:tcPr>
            <w:tcW w:w="0" w:type="auto"/>
          </w:tcPr>
          <w:p w14:paraId="191C4331"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System operacyjny</w:t>
            </w:r>
          </w:p>
        </w:tc>
        <w:tc>
          <w:tcPr>
            <w:tcW w:w="0" w:type="auto"/>
          </w:tcPr>
          <w:p w14:paraId="6C4A777B"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System z ważną licencją, interfejsem w języku polskim i zgodnością ze wszystkimi dostarczonymi aplikacjami, sterownikami i modułami 3D.</w:t>
            </w:r>
          </w:p>
        </w:tc>
      </w:tr>
      <w:tr w:rsidR="002122C0" w:rsidRPr="008E526E" w14:paraId="4D107AD9" w14:textId="77777777" w:rsidTr="001937D1">
        <w:trPr>
          <w:trHeight w:val="336"/>
        </w:trPr>
        <w:tc>
          <w:tcPr>
            <w:tcW w:w="0" w:type="auto"/>
          </w:tcPr>
          <w:p w14:paraId="649A30C0"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Wyposażenie</w:t>
            </w:r>
          </w:p>
        </w:tc>
        <w:tc>
          <w:tcPr>
            <w:tcW w:w="0" w:type="auto"/>
          </w:tcPr>
          <w:p w14:paraId="0A4D2852" w14:textId="77777777" w:rsidR="002122C0" w:rsidRPr="008E526E" w:rsidRDefault="00D36E86" w:rsidP="008A4152">
            <w:pPr>
              <w:pStyle w:val="Compact"/>
              <w:spacing w:before="0" w:after="0"/>
              <w:rPr>
                <w:rFonts w:ascii="Arial" w:hAnsi="Arial" w:cs="Arial"/>
                <w:szCs w:val="22"/>
              </w:rPr>
            </w:pPr>
            <w:r w:rsidRPr="008E526E">
              <w:rPr>
                <w:rFonts w:ascii="Arial" w:hAnsi="Arial" w:cs="Arial"/>
                <w:szCs w:val="22"/>
              </w:rPr>
              <w:t>Zasilacz, niezbędne przewody i akcesoria, instrukcja uruchomienia i użytkowania stanowiska w języku polskim.</w:t>
            </w:r>
          </w:p>
        </w:tc>
      </w:tr>
      <w:tr w:rsidR="001937D1" w:rsidRPr="008E526E" w14:paraId="130AB687" w14:textId="77777777" w:rsidTr="00B845BD">
        <w:trPr>
          <w:trHeight w:val="650"/>
        </w:trPr>
        <w:tc>
          <w:tcPr>
            <w:tcW w:w="0" w:type="auto"/>
          </w:tcPr>
          <w:p w14:paraId="13694DC7" w14:textId="77777777" w:rsidR="001937D1" w:rsidRDefault="00A7266E" w:rsidP="008A4152">
            <w:pPr>
              <w:pStyle w:val="Compact"/>
              <w:spacing w:before="0" w:after="0"/>
              <w:rPr>
                <w:rFonts w:ascii="Arial" w:hAnsi="Arial" w:cs="Arial"/>
                <w:color w:val="000000" w:themeColor="text1"/>
                <w:szCs w:val="22"/>
              </w:rPr>
            </w:pPr>
            <w:r w:rsidRPr="008E526E">
              <w:rPr>
                <w:rFonts w:ascii="Arial" w:hAnsi="Arial" w:cs="Arial"/>
                <w:color w:val="000000" w:themeColor="text1"/>
                <w:szCs w:val="22"/>
              </w:rPr>
              <w:t>Mysz bezprzewodowa</w:t>
            </w:r>
          </w:p>
          <w:p w14:paraId="5B59BA42" w14:textId="76B83017" w:rsidR="008E526E" w:rsidRPr="008E526E" w:rsidRDefault="008E526E" w:rsidP="008A4152">
            <w:pPr>
              <w:pStyle w:val="Compact"/>
              <w:spacing w:before="0" w:after="0"/>
              <w:rPr>
                <w:rFonts w:ascii="Arial" w:hAnsi="Arial" w:cs="Arial"/>
                <w:szCs w:val="22"/>
              </w:rPr>
            </w:pPr>
            <w:r>
              <w:rPr>
                <w:rFonts w:ascii="Arial" w:hAnsi="Arial" w:cs="Arial"/>
                <w:szCs w:val="22"/>
              </w:rPr>
              <w:t>11 sztuk</w:t>
            </w:r>
          </w:p>
        </w:tc>
        <w:tc>
          <w:tcPr>
            <w:tcW w:w="0" w:type="auto"/>
          </w:tcPr>
          <w:p w14:paraId="02BB0D8F" w14:textId="77777777" w:rsidR="008E526E" w:rsidRPr="008E526E" w:rsidRDefault="008E526E" w:rsidP="008E526E">
            <w:pPr>
              <w:pStyle w:val="Akapitzlist"/>
              <w:numPr>
                <w:ilvl w:val="0"/>
                <w:numId w:val="9"/>
              </w:numPr>
              <w:tabs>
                <w:tab w:val="left" w:pos="1276"/>
              </w:tabs>
              <w:spacing w:before="0" w:after="0" w:line="240" w:lineRule="auto"/>
              <w:rPr>
                <w:rFonts w:ascii="Arial" w:hAnsi="Arial" w:cs="Arial"/>
                <w:color w:val="000000" w:themeColor="text1"/>
                <w:sz w:val="22"/>
                <w:szCs w:val="22"/>
              </w:rPr>
            </w:pPr>
            <w:r w:rsidRPr="008E526E">
              <w:rPr>
                <w:rFonts w:ascii="Arial" w:hAnsi="Arial" w:cs="Arial"/>
                <w:color w:val="000000" w:themeColor="text1"/>
                <w:sz w:val="22"/>
                <w:szCs w:val="22"/>
              </w:rPr>
              <w:t>Komunikacja z komputerem: Bezprzewodowa</w:t>
            </w:r>
          </w:p>
          <w:p w14:paraId="5D03D45B" w14:textId="77777777" w:rsidR="008E526E" w:rsidRPr="008E526E" w:rsidRDefault="008E526E" w:rsidP="008E526E">
            <w:pPr>
              <w:pStyle w:val="Akapitzlist"/>
              <w:numPr>
                <w:ilvl w:val="0"/>
                <w:numId w:val="9"/>
              </w:numPr>
              <w:tabs>
                <w:tab w:val="left" w:pos="1276"/>
              </w:tabs>
              <w:spacing w:before="0" w:after="0" w:line="240" w:lineRule="auto"/>
              <w:rPr>
                <w:rFonts w:ascii="Arial" w:hAnsi="Arial" w:cs="Arial"/>
                <w:color w:val="000000" w:themeColor="text1"/>
                <w:sz w:val="22"/>
                <w:szCs w:val="22"/>
              </w:rPr>
            </w:pPr>
            <w:r w:rsidRPr="008E526E">
              <w:rPr>
                <w:rFonts w:ascii="Arial" w:hAnsi="Arial" w:cs="Arial"/>
                <w:color w:val="000000" w:themeColor="text1"/>
                <w:sz w:val="22"/>
                <w:szCs w:val="22"/>
              </w:rPr>
              <w:t>Mysz pionowa: Nie</w:t>
            </w:r>
          </w:p>
          <w:p w14:paraId="1C4B6266" w14:textId="76F683BF" w:rsidR="001937D1" w:rsidRPr="008E526E" w:rsidRDefault="008E526E" w:rsidP="008E526E">
            <w:pPr>
              <w:pStyle w:val="Akapitzlist"/>
              <w:numPr>
                <w:ilvl w:val="0"/>
                <w:numId w:val="9"/>
              </w:numPr>
              <w:tabs>
                <w:tab w:val="left" w:pos="1276"/>
              </w:tabs>
              <w:spacing w:before="0" w:after="0" w:line="240" w:lineRule="auto"/>
              <w:rPr>
                <w:rFonts w:ascii="Arial" w:hAnsi="Arial" w:cs="Arial"/>
                <w:color w:val="000000" w:themeColor="text1"/>
                <w:sz w:val="22"/>
                <w:szCs w:val="22"/>
              </w:rPr>
            </w:pPr>
            <w:r w:rsidRPr="008E526E">
              <w:rPr>
                <w:rFonts w:ascii="Arial" w:hAnsi="Arial" w:cs="Arial"/>
                <w:color w:val="000000" w:themeColor="text1"/>
                <w:sz w:val="22"/>
                <w:szCs w:val="22"/>
              </w:rPr>
              <w:t>Liczba przycisków: 3</w:t>
            </w:r>
          </w:p>
        </w:tc>
      </w:tr>
    </w:tbl>
    <w:p w14:paraId="0C45C55B" w14:textId="77777777" w:rsidR="002122C0" w:rsidRPr="008A4152" w:rsidRDefault="00D36E86" w:rsidP="000B0D23">
      <w:pPr>
        <w:pStyle w:val="Nagwek3"/>
        <w:spacing w:before="360" w:line="360" w:lineRule="auto"/>
        <w:rPr>
          <w:rFonts w:ascii="Arial" w:hAnsi="Arial" w:cs="Arial"/>
          <w:color w:val="auto"/>
          <w:sz w:val="24"/>
          <w:szCs w:val="24"/>
        </w:rPr>
      </w:pPr>
      <w:bookmarkStart w:id="4" w:name="X61cbe9078aad1f819efa970f091aa6836d9d82e"/>
      <w:bookmarkEnd w:id="3"/>
      <w:r w:rsidRPr="008A4152">
        <w:rPr>
          <w:rFonts w:ascii="Arial" w:hAnsi="Arial" w:cs="Arial"/>
          <w:color w:val="auto"/>
          <w:sz w:val="24"/>
          <w:szCs w:val="24"/>
        </w:rPr>
        <w:t>3. System interakcji przestrzennej</w:t>
      </w:r>
    </w:p>
    <w:p w14:paraId="6BB0E476" w14:textId="77777777" w:rsidR="002122C0" w:rsidRPr="008A4152" w:rsidRDefault="00D36E86" w:rsidP="000B0D23">
      <w:pPr>
        <w:pStyle w:val="Compact"/>
        <w:numPr>
          <w:ilvl w:val="0"/>
          <w:numId w:val="3"/>
        </w:numPr>
        <w:spacing w:line="360" w:lineRule="auto"/>
        <w:rPr>
          <w:rFonts w:ascii="Arial" w:hAnsi="Arial" w:cs="Arial"/>
          <w:sz w:val="24"/>
        </w:rPr>
      </w:pPr>
      <w:r w:rsidRPr="008A4152">
        <w:rPr>
          <w:rFonts w:ascii="Arial" w:hAnsi="Arial" w:cs="Arial"/>
          <w:sz w:val="24"/>
        </w:rPr>
        <w:t>W skład każdego stanowiska musi wchodzić urządzenie wskazujące oraz system śledzenia jego położenia w przestrzeni. Dopuszcza się rysik, kontroler lub inne śledzone urządzenie ręczne, fabrycznie zintegrowane albo dostarczone jako rozwiązanie zewnętrzne.</w:t>
      </w:r>
    </w:p>
    <w:p w14:paraId="7C3969BE" w14:textId="77777777" w:rsidR="002122C0" w:rsidRPr="008A4152" w:rsidRDefault="00D36E86" w:rsidP="008A4152">
      <w:pPr>
        <w:pStyle w:val="Compact"/>
        <w:numPr>
          <w:ilvl w:val="0"/>
          <w:numId w:val="3"/>
        </w:numPr>
        <w:spacing w:line="360" w:lineRule="auto"/>
        <w:rPr>
          <w:rFonts w:ascii="Arial" w:hAnsi="Arial" w:cs="Arial"/>
          <w:sz w:val="24"/>
        </w:rPr>
      </w:pPr>
      <w:r w:rsidRPr="008A4152">
        <w:rPr>
          <w:rFonts w:ascii="Arial" w:hAnsi="Arial" w:cs="Arial"/>
          <w:sz w:val="24"/>
        </w:rPr>
        <w:t>System musi rozpoznawać przestrzenne położenie urządzenia co najmniej w trzech osiach oraz zapewniać możliwość zmiany orientacji wybranego obiektu za pomocą ruchu urządzenia lub jego elementów sterujących.</w:t>
      </w:r>
    </w:p>
    <w:p w14:paraId="419A8700" w14:textId="77777777" w:rsidR="002122C0" w:rsidRPr="008A4152" w:rsidRDefault="00D36E86" w:rsidP="008A4152">
      <w:pPr>
        <w:pStyle w:val="Compact"/>
        <w:numPr>
          <w:ilvl w:val="0"/>
          <w:numId w:val="3"/>
        </w:numPr>
        <w:spacing w:line="360" w:lineRule="auto"/>
        <w:rPr>
          <w:rFonts w:ascii="Arial" w:hAnsi="Arial" w:cs="Arial"/>
          <w:sz w:val="24"/>
        </w:rPr>
      </w:pPr>
      <w:r w:rsidRPr="008A4152">
        <w:rPr>
          <w:rFonts w:ascii="Arial" w:hAnsi="Arial" w:cs="Arial"/>
          <w:sz w:val="24"/>
        </w:rPr>
        <w:t>Połączenie z laptopem może być przewodowe USB albo bezprzewodowe za pośrednictwem dostarczonego interfejsu USB. Dopuszcza się dodatkowe czujniki, kamery i stacje bazowe.</w:t>
      </w:r>
    </w:p>
    <w:p w14:paraId="6039D0E8" w14:textId="77777777" w:rsidR="002122C0" w:rsidRPr="008A4152" w:rsidRDefault="00D36E86" w:rsidP="008A4152">
      <w:pPr>
        <w:pStyle w:val="Compact"/>
        <w:numPr>
          <w:ilvl w:val="0"/>
          <w:numId w:val="3"/>
        </w:numPr>
        <w:spacing w:line="360" w:lineRule="auto"/>
        <w:rPr>
          <w:rFonts w:ascii="Arial" w:hAnsi="Arial" w:cs="Arial"/>
          <w:sz w:val="24"/>
        </w:rPr>
      </w:pPr>
      <w:r w:rsidRPr="008A4152">
        <w:rPr>
          <w:rFonts w:ascii="Arial" w:hAnsi="Arial" w:cs="Arial"/>
          <w:sz w:val="24"/>
        </w:rPr>
        <w:t>Urządzenie ma umożliwiać wskazywanie i wybieranie obiektów, chwytanie, przesuwanie w przestrzeni, obracanie, zwalnianie obiektu oraz obsługę wymaganych narzędzi aplikacji. Mysz i klawiatura mogą pełnić funkcję pomocniczą.</w:t>
      </w:r>
    </w:p>
    <w:p w14:paraId="2510402E" w14:textId="77777777" w:rsidR="002122C0" w:rsidRPr="008A4152" w:rsidRDefault="00D36E86" w:rsidP="008A4152">
      <w:pPr>
        <w:pStyle w:val="Compact"/>
        <w:numPr>
          <w:ilvl w:val="0"/>
          <w:numId w:val="3"/>
        </w:numPr>
        <w:spacing w:line="360" w:lineRule="auto"/>
        <w:rPr>
          <w:rFonts w:ascii="Arial" w:hAnsi="Arial" w:cs="Arial"/>
          <w:sz w:val="24"/>
        </w:rPr>
      </w:pPr>
      <w:r w:rsidRPr="008A4152">
        <w:rPr>
          <w:rFonts w:ascii="Arial" w:hAnsi="Arial" w:cs="Arial"/>
          <w:sz w:val="24"/>
        </w:rPr>
        <w:t>System zewnętrzny musi współpracować z laptopem, jego wbudowanym ekranem 3D i systemem śledzenia użytkownika. Wymagane jest jednoczesne działanie stereoskopii i interakcji, bez wyłączania śledzenia użytkownika.</w:t>
      </w:r>
    </w:p>
    <w:p w14:paraId="7B7AEDC3" w14:textId="77777777" w:rsidR="002122C0" w:rsidRPr="008A4152" w:rsidRDefault="00D36E86" w:rsidP="008A4152">
      <w:pPr>
        <w:pStyle w:val="Compact"/>
        <w:numPr>
          <w:ilvl w:val="0"/>
          <w:numId w:val="3"/>
        </w:numPr>
        <w:spacing w:line="360" w:lineRule="auto"/>
        <w:rPr>
          <w:rFonts w:ascii="Arial" w:hAnsi="Arial" w:cs="Arial"/>
          <w:sz w:val="24"/>
        </w:rPr>
      </w:pPr>
      <w:r w:rsidRPr="008A4152">
        <w:rPr>
          <w:rFonts w:ascii="Arial" w:hAnsi="Arial" w:cs="Arial"/>
          <w:sz w:val="24"/>
        </w:rPr>
        <w:lastRenderedPageBreak/>
        <w:t>Kalibracja musi zapewniać zgodność kierunku wskazywania i ruchu urządzenia z prezentowaną sceną. Wykonawca dostarczy procedurę ponownej kalibracji.</w:t>
      </w:r>
    </w:p>
    <w:p w14:paraId="360055DD" w14:textId="77777777" w:rsidR="002122C0" w:rsidRPr="008A4152" w:rsidRDefault="00D36E86" w:rsidP="008A4152">
      <w:pPr>
        <w:pStyle w:val="Compact"/>
        <w:numPr>
          <w:ilvl w:val="0"/>
          <w:numId w:val="3"/>
        </w:numPr>
        <w:spacing w:line="360" w:lineRule="auto"/>
        <w:rPr>
          <w:rFonts w:ascii="Arial" w:hAnsi="Arial" w:cs="Arial"/>
          <w:sz w:val="24"/>
        </w:rPr>
      </w:pPr>
      <w:r w:rsidRPr="008A4152">
        <w:rPr>
          <w:rFonts w:ascii="Arial" w:hAnsi="Arial" w:cs="Arial"/>
          <w:sz w:val="24"/>
        </w:rPr>
        <w:t>Sam rysik do touchpada, zwykła mysz, manipulator do zmiany widoku CAD albo emulacja kursora 2D nie stanowią samodzielnie równoważnego systemu. Mogą być elementem zestawu, jeśli cały zestaw spełnia wymagania niniejszej części.</w:t>
      </w:r>
    </w:p>
    <w:p w14:paraId="45EADB39" w14:textId="77777777" w:rsidR="002122C0" w:rsidRPr="008A4152" w:rsidRDefault="00D36E86" w:rsidP="008A4152">
      <w:pPr>
        <w:pStyle w:val="Compact"/>
        <w:numPr>
          <w:ilvl w:val="0"/>
          <w:numId w:val="3"/>
        </w:numPr>
        <w:spacing w:line="360" w:lineRule="auto"/>
        <w:rPr>
          <w:rFonts w:ascii="Arial" w:hAnsi="Arial" w:cs="Arial"/>
          <w:sz w:val="24"/>
        </w:rPr>
      </w:pPr>
      <w:r w:rsidRPr="008A4152">
        <w:rPr>
          <w:rFonts w:ascii="Arial" w:hAnsi="Arial" w:cs="Arial"/>
          <w:sz w:val="24"/>
        </w:rPr>
        <w:t>Nie wymaga się, aby laptop, urządzenie wskazujące i system śledzenia pochodziły od tego samego producenta.</w:t>
      </w:r>
    </w:p>
    <w:p w14:paraId="5DE8EEAD" w14:textId="77777777" w:rsidR="002122C0" w:rsidRPr="008A4152" w:rsidRDefault="00D36E86" w:rsidP="008A4152">
      <w:pPr>
        <w:pStyle w:val="Nagwek3"/>
        <w:spacing w:line="360" w:lineRule="auto"/>
        <w:rPr>
          <w:rFonts w:ascii="Arial" w:hAnsi="Arial" w:cs="Arial"/>
          <w:color w:val="auto"/>
          <w:sz w:val="24"/>
          <w:szCs w:val="24"/>
        </w:rPr>
      </w:pPr>
      <w:bookmarkStart w:id="5" w:name="Xb9230f8610dbc73b7dac48cd8070125b8aa5896"/>
      <w:bookmarkEnd w:id="4"/>
      <w:r w:rsidRPr="008A4152">
        <w:rPr>
          <w:rFonts w:ascii="Arial" w:hAnsi="Arial" w:cs="Arial"/>
          <w:color w:val="auto"/>
          <w:sz w:val="24"/>
          <w:szCs w:val="24"/>
        </w:rPr>
        <w:t>4. Licencje i wspólne wymagania oprogramowania</w:t>
      </w:r>
    </w:p>
    <w:p w14:paraId="4C193BF0" w14:textId="0C7C66EB" w:rsidR="002122C0" w:rsidRPr="008A4152" w:rsidRDefault="00D36E86" w:rsidP="008A4152">
      <w:pPr>
        <w:pStyle w:val="Compact"/>
        <w:numPr>
          <w:ilvl w:val="0"/>
          <w:numId w:val="4"/>
        </w:numPr>
        <w:spacing w:line="360" w:lineRule="auto"/>
        <w:rPr>
          <w:rFonts w:ascii="Arial" w:hAnsi="Arial" w:cs="Arial"/>
          <w:sz w:val="24"/>
        </w:rPr>
      </w:pPr>
      <w:r w:rsidRPr="0098598A">
        <w:rPr>
          <w:rFonts w:ascii="Arial" w:hAnsi="Arial" w:cs="Arial"/>
          <w:sz w:val="24"/>
        </w:rPr>
        <w:t xml:space="preserve">Wykonawca dostarczy licencje </w:t>
      </w:r>
      <w:r w:rsidR="0098598A" w:rsidRPr="0098598A">
        <w:rPr>
          <w:rFonts w:ascii="Arial" w:hAnsi="Arial" w:cs="Arial"/>
          <w:color w:val="000000" w:themeColor="text1"/>
          <w:sz w:val="24"/>
        </w:rPr>
        <w:t>na 11 stanowisk</w:t>
      </w:r>
      <w:r w:rsidR="0098598A" w:rsidRPr="0098598A">
        <w:rPr>
          <w:rFonts w:ascii="Arial" w:hAnsi="Arial" w:cs="Arial"/>
          <w:sz w:val="24"/>
        </w:rPr>
        <w:t xml:space="preserve"> </w:t>
      </w:r>
      <w:r w:rsidRPr="0098598A">
        <w:rPr>
          <w:rFonts w:ascii="Arial" w:hAnsi="Arial" w:cs="Arial"/>
          <w:sz w:val="24"/>
        </w:rPr>
        <w:t>na 24 miesiące, liczone od dnia podpisania protokołu odbioru danego</w:t>
      </w:r>
      <w:r w:rsidRPr="008A4152">
        <w:rPr>
          <w:rFonts w:ascii="Arial" w:hAnsi="Arial" w:cs="Arial"/>
          <w:sz w:val="24"/>
        </w:rPr>
        <w:t xml:space="preserve"> stanowiska bez zastrzeżeń. Dopuszcza się licencje dłuższe lub bezterminowe bez dodatkowych opłat.</w:t>
      </w:r>
    </w:p>
    <w:p w14:paraId="7F1D3EE6" w14:textId="77777777" w:rsidR="002122C0" w:rsidRPr="008A4152" w:rsidRDefault="00D36E86" w:rsidP="008A4152">
      <w:pPr>
        <w:pStyle w:val="Compact"/>
        <w:numPr>
          <w:ilvl w:val="0"/>
          <w:numId w:val="4"/>
        </w:numPr>
        <w:spacing w:line="360" w:lineRule="auto"/>
        <w:rPr>
          <w:rFonts w:ascii="Arial" w:hAnsi="Arial" w:cs="Arial"/>
          <w:sz w:val="24"/>
        </w:rPr>
      </w:pPr>
      <w:r w:rsidRPr="008A4152">
        <w:rPr>
          <w:rFonts w:ascii="Arial" w:hAnsi="Arial" w:cs="Arial"/>
          <w:sz w:val="24"/>
        </w:rPr>
        <w:t>Licencje mają umożliwiać jednoczesną pracę na wszystkich zamówionych stanowiskach. Dopuszcza się licencjonowanie stanowiskowe, sieciowe lub inne, które zapewni taki zakres użytkowania.</w:t>
      </w:r>
    </w:p>
    <w:p w14:paraId="20030028" w14:textId="77777777" w:rsidR="002122C0" w:rsidRPr="008A4152" w:rsidRDefault="00D36E86" w:rsidP="008A4152">
      <w:pPr>
        <w:pStyle w:val="Compact"/>
        <w:numPr>
          <w:ilvl w:val="0"/>
          <w:numId w:val="4"/>
        </w:numPr>
        <w:spacing w:line="360" w:lineRule="auto"/>
        <w:rPr>
          <w:rFonts w:ascii="Arial" w:hAnsi="Arial" w:cs="Arial"/>
          <w:sz w:val="24"/>
        </w:rPr>
      </w:pPr>
      <w:r w:rsidRPr="008A4152">
        <w:rPr>
          <w:rFonts w:ascii="Arial" w:hAnsi="Arial" w:cs="Arial"/>
          <w:sz w:val="24"/>
        </w:rPr>
        <w:t>Wymagane obszary tematyczne mogą być realizowane przez jedną aplikację, pakiet aplikacji lub zestaw modułów różnych producentów. Nie wymaga się sześciu oddzielnych produktów ani konkretnego sklepu z aplikacjami.</w:t>
      </w:r>
    </w:p>
    <w:p w14:paraId="2E29C916" w14:textId="77777777" w:rsidR="002122C0" w:rsidRPr="008A4152" w:rsidRDefault="00D36E86" w:rsidP="008A4152">
      <w:pPr>
        <w:pStyle w:val="Compact"/>
        <w:numPr>
          <w:ilvl w:val="0"/>
          <w:numId w:val="4"/>
        </w:numPr>
        <w:spacing w:line="360" w:lineRule="auto"/>
        <w:rPr>
          <w:rFonts w:ascii="Arial" w:hAnsi="Arial" w:cs="Arial"/>
          <w:sz w:val="24"/>
        </w:rPr>
      </w:pPr>
      <w:r w:rsidRPr="008A4152">
        <w:rPr>
          <w:rFonts w:ascii="Arial" w:hAnsi="Arial" w:cs="Arial"/>
          <w:sz w:val="24"/>
        </w:rPr>
        <w:t>Oprogramowanie musi prezentować wymagane modele i ćwiczenia stereoskopowo na wbudowanym ekranie laptopa, bez okularów i gogli. Standardowy model 3D wyświetlany wyłącznie na płaskim obrazie 2D nie spełnia wymagania.</w:t>
      </w:r>
    </w:p>
    <w:p w14:paraId="14142092" w14:textId="77777777" w:rsidR="002122C0" w:rsidRPr="008A4152" w:rsidRDefault="00D36E86" w:rsidP="008A4152">
      <w:pPr>
        <w:pStyle w:val="Compact"/>
        <w:numPr>
          <w:ilvl w:val="0"/>
          <w:numId w:val="4"/>
        </w:numPr>
        <w:spacing w:line="360" w:lineRule="auto"/>
        <w:rPr>
          <w:rFonts w:ascii="Arial" w:hAnsi="Arial" w:cs="Arial"/>
          <w:sz w:val="24"/>
        </w:rPr>
      </w:pPr>
      <w:r w:rsidRPr="008A4152">
        <w:rPr>
          <w:rFonts w:ascii="Arial" w:hAnsi="Arial" w:cs="Arial"/>
          <w:sz w:val="24"/>
        </w:rPr>
        <w:t>Dopuszcza się natywną obsługę urządzeń albo dostarczone przez wykonawcę integracje, sterowniki i wtyczki, jeśli zapewniają wszystkie wymagane funkcje. Sama konwersja obrazu 2D na efekt głębi nie zastępuje wymaganej interakcji z modelami.</w:t>
      </w:r>
    </w:p>
    <w:p w14:paraId="633230C4" w14:textId="77777777" w:rsidR="002122C0" w:rsidRPr="008A4152" w:rsidRDefault="00D36E86" w:rsidP="008A4152">
      <w:pPr>
        <w:pStyle w:val="Compact"/>
        <w:numPr>
          <w:ilvl w:val="0"/>
          <w:numId w:val="4"/>
        </w:numPr>
        <w:spacing w:line="360" w:lineRule="auto"/>
        <w:rPr>
          <w:rFonts w:ascii="Arial" w:hAnsi="Arial" w:cs="Arial"/>
          <w:sz w:val="24"/>
        </w:rPr>
      </w:pPr>
      <w:r w:rsidRPr="008A4152">
        <w:rPr>
          <w:rFonts w:ascii="Arial" w:hAnsi="Arial" w:cs="Arial"/>
          <w:sz w:val="24"/>
        </w:rPr>
        <w:t>Urządzenie wskazujące ma stanowić podstawowe narzędzie manipulacji modelami i obsługi ćwiczeń przestrzennych. Nie wymaga się obsługi tym urządzeniem administracji systemem, instalacji ani wprowadzania długich tekstów.</w:t>
      </w:r>
    </w:p>
    <w:p w14:paraId="1785C418" w14:textId="77777777" w:rsidR="002122C0" w:rsidRPr="008A4152" w:rsidRDefault="00D36E86" w:rsidP="008A4152">
      <w:pPr>
        <w:pStyle w:val="Compact"/>
        <w:numPr>
          <w:ilvl w:val="0"/>
          <w:numId w:val="4"/>
        </w:numPr>
        <w:spacing w:line="360" w:lineRule="auto"/>
        <w:rPr>
          <w:rFonts w:ascii="Arial" w:hAnsi="Arial" w:cs="Arial"/>
          <w:sz w:val="24"/>
        </w:rPr>
      </w:pPr>
      <w:r w:rsidRPr="008A4152">
        <w:rPr>
          <w:rFonts w:ascii="Arial" w:hAnsi="Arial" w:cs="Arial"/>
          <w:sz w:val="24"/>
        </w:rPr>
        <w:t>Ćwiczenia muszą nadawać się do wielokrotnego powtarzania. Nie dopuszcza się limitu liczby uruchomień lub powtórzeń w okresie licencji.</w:t>
      </w:r>
    </w:p>
    <w:p w14:paraId="01C08DFC" w14:textId="77777777" w:rsidR="002122C0" w:rsidRPr="008A4152" w:rsidRDefault="00D36E86" w:rsidP="008A4152">
      <w:pPr>
        <w:pStyle w:val="Compact"/>
        <w:numPr>
          <w:ilvl w:val="0"/>
          <w:numId w:val="4"/>
        </w:numPr>
        <w:spacing w:line="360" w:lineRule="auto"/>
        <w:rPr>
          <w:rFonts w:ascii="Arial" w:hAnsi="Arial" w:cs="Arial"/>
          <w:sz w:val="24"/>
        </w:rPr>
      </w:pPr>
      <w:r w:rsidRPr="008A4152">
        <w:rPr>
          <w:rFonts w:ascii="Arial" w:hAnsi="Arial" w:cs="Arial"/>
          <w:sz w:val="24"/>
        </w:rPr>
        <w:lastRenderedPageBreak/>
        <w:t>Wykonawca zapewni instalację, aktywację, konfigurację, kalibrację i sprawdzenie wszystkich modułów na każdym stanowisku.</w:t>
      </w:r>
    </w:p>
    <w:p w14:paraId="5313B80A" w14:textId="77777777" w:rsidR="002122C0" w:rsidRPr="008A4152" w:rsidRDefault="00D36E86" w:rsidP="008A4152">
      <w:pPr>
        <w:pStyle w:val="Compact"/>
        <w:numPr>
          <w:ilvl w:val="0"/>
          <w:numId w:val="4"/>
        </w:numPr>
        <w:spacing w:line="360" w:lineRule="auto"/>
        <w:rPr>
          <w:rFonts w:ascii="Arial" w:hAnsi="Arial" w:cs="Arial"/>
          <w:sz w:val="24"/>
        </w:rPr>
      </w:pPr>
      <w:r w:rsidRPr="008A4152">
        <w:rPr>
          <w:rFonts w:ascii="Arial" w:hAnsi="Arial" w:cs="Arial"/>
          <w:sz w:val="24"/>
        </w:rPr>
        <w:t>Warunki dostępu do Internetu, aktywacji, kont użytkowników i pracy lokalnej należy wskazać w ofercie. Niedopuszczalne są dodatkowe opłaty nieujęte w cenie, niezbędne do realizacji wymaganego zakresu.</w:t>
      </w:r>
    </w:p>
    <w:p w14:paraId="36883A04" w14:textId="6F1D4281" w:rsidR="002122C0" w:rsidRPr="008A4152" w:rsidRDefault="009C3F86" w:rsidP="008A4152">
      <w:pPr>
        <w:pStyle w:val="Compact"/>
        <w:numPr>
          <w:ilvl w:val="0"/>
          <w:numId w:val="4"/>
        </w:numPr>
        <w:spacing w:line="360" w:lineRule="auto"/>
        <w:rPr>
          <w:rFonts w:ascii="Arial" w:hAnsi="Arial" w:cs="Arial"/>
          <w:sz w:val="24"/>
        </w:rPr>
      </w:pPr>
      <w:r>
        <w:rPr>
          <w:rFonts w:ascii="Arial" w:hAnsi="Arial" w:cs="Arial"/>
          <w:sz w:val="24"/>
        </w:rPr>
        <w:t>I</w:t>
      </w:r>
      <w:r w:rsidR="00D36E86" w:rsidRPr="008A4152">
        <w:rPr>
          <w:rFonts w:ascii="Arial" w:hAnsi="Arial" w:cs="Arial"/>
          <w:sz w:val="24"/>
        </w:rPr>
        <w:t>nterfejs polski.</w:t>
      </w:r>
    </w:p>
    <w:p w14:paraId="232688E4" w14:textId="77777777" w:rsidR="002122C0" w:rsidRPr="008A4152" w:rsidRDefault="00D36E86" w:rsidP="008A4152">
      <w:pPr>
        <w:pStyle w:val="Nagwek3"/>
        <w:spacing w:line="360" w:lineRule="auto"/>
        <w:rPr>
          <w:rFonts w:ascii="Arial" w:hAnsi="Arial" w:cs="Arial"/>
          <w:color w:val="auto"/>
          <w:sz w:val="24"/>
          <w:szCs w:val="24"/>
        </w:rPr>
      </w:pPr>
      <w:bookmarkStart w:id="6" w:name="Xe94122fb026c1cdb3c1a287a011985b39701a65"/>
      <w:bookmarkEnd w:id="5"/>
      <w:r w:rsidRPr="008A4152">
        <w:rPr>
          <w:rFonts w:ascii="Arial" w:hAnsi="Arial" w:cs="Arial"/>
          <w:color w:val="auto"/>
          <w:sz w:val="24"/>
          <w:szCs w:val="24"/>
        </w:rPr>
        <w:t>5. Minimalne obszary i funkcje edukacyjne</w:t>
      </w:r>
    </w:p>
    <w:p w14:paraId="185E59B7" w14:textId="77777777" w:rsidR="002122C0" w:rsidRPr="008A4152" w:rsidRDefault="00D36E86" w:rsidP="008A4152">
      <w:pPr>
        <w:pStyle w:val="Nagwek4"/>
        <w:spacing w:line="360" w:lineRule="auto"/>
        <w:rPr>
          <w:rFonts w:ascii="Arial" w:hAnsi="Arial" w:cs="Arial"/>
          <w:i w:val="0"/>
          <w:iCs w:val="0"/>
          <w:color w:val="auto"/>
          <w:sz w:val="24"/>
        </w:rPr>
      </w:pPr>
      <w:bookmarkStart w:id="7" w:name="Xe49e61638a8e1a81d048209af7d9e77040297f4"/>
      <w:r w:rsidRPr="008A4152">
        <w:rPr>
          <w:rFonts w:ascii="Arial" w:hAnsi="Arial" w:cs="Arial"/>
          <w:i w:val="0"/>
          <w:iCs w:val="0"/>
          <w:color w:val="auto"/>
          <w:sz w:val="24"/>
        </w:rPr>
        <w:t>5.1. Obsługa i naprawa pojazdów</w:t>
      </w:r>
    </w:p>
    <w:p w14:paraId="76A46E82" w14:textId="77777777" w:rsidR="002122C0" w:rsidRPr="008A4152" w:rsidRDefault="00D36E86" w:rsidP="008A4152">
      <w:pPr>
        <w:pStyle w:val="FirstParagraph"/>
        <w:spacing w:line="360" w:lineRule="auto"/>
        <w:rPr>
          <w:rFonts w:ascii="Arial" w:hAnsi="Arial" w:cs="Arial"/>
          <w:sz w:val="24"/>
        </w:rPr>
      </w:pPr>
      <w:r w:rsidRPr="008A4152">
        <w:rPr>
          <w:rFonts w:ascii="Arial" w:hAnsi="Arial" w:cs="Arial"/>
          <w:sz w:val="24"/>
        </w:rPr>
        <w:t>Oprogramowanie musi umożliwiać naukę obsługi, diagnostyki, konserwacji i napraw pojazdów w wirtualnym środowisku. Wymagane są uporządkowane zadania serwisowe realizowane krok po kroku, tryb swobodnego treningu oraz tryb sprawdzający bez podpowiedzi, z pomiarem czasu. Użytkownik musi mieć możliwość wyboru i manipulowania przestrzennymi modelami części oraz powtarzania procedur bez materiałów eksploatacyjnych.</w:t>
      </w:r>
    </w:p>
    <w:p w14:paraId="1D3077CD" w14:textId="77777777" w:rsidR="002122C0" w:rsidRPr="008A4152" w:rsidRDefault="00D36E86" w:rsidP="008A4152">
      <w:pPr>
        <w:pStyle w:val="Nagwek4"/>
        <w:spacing w:line="360" w:lineRule="auto"/>
        <w:rPr>
          <w:rFonts w:ascii="Arial" w:hAnsi="Arial" w:cs="Arial"/>
          <w:i w:val="0"/>
          <w:iCs w:val="0"/>
          <w:color w:val="auto"/>
          <w:sz w:val="24"/>
        </w:rPr>
      </w:pPr>
      <w:bookmarkStart w:id="8" w:name="Xadc7b14221e121e5b704ba79514c6965001426b"/>
      <w:bookmarkEnd w:id="7"/>
      <w:r w:rsidRPr="008A4152">
        <w:rPr>
          <w:rFonts w:ascii="Arial" w:hAnsi="Arial" w:cs="Arial"/>
          <w:i w:val="0"/>
          <w:iCs w:val="0"/>
          <w:color w:val="auto"/>
          <w:sz w:val="24"/>
        </w:rPr>
        <w:t>5.2. Budowa i diagnostyka układów pojazdu</w:t>
      </w:r>
    </w:p>
    <w:p w14:paraId="6770AFA3" w14:textId="77777777" w:rsidR="002122C0" w:rsidRPr="008A4152" w:rsidRDefault="00D36E86" w:rsidP="008A4152">
      <w:pPr>
        <w:pStyle w:val="FirstParagraph"/>
        <w:spacing w:line="360" w:lineRule="auto"/>
        <w:rPr>
          <w:rFonts w:ascii="Arial" w:hAnsi="Arial" w:cs="Arial"/>
          <w:sz w:val="24"/>
        </w:rPr>
      </w:pPr>
      <w:r w:rsidRPr="008A4152">
        <w:rPr>
          <w:rFonts w:ascii="Arial" w:hAnsi="Arial" w:cs="Arial"/>
          <w:sz w:val="24"/>
        </w:rPr>
        <w:t>Wymagane treści obejmują zespół napędowy, przeniesienie napędu, hamulce, układ kierowniczy, zawieszenie i wybrane układy elektryczne lub elektroniczne. Interaktywne modele muszą umożliwiać oglądanie podzespołów z różnych stron, identyfikowanie części, ćwiczenie kolejności działań oraz weryfikację poprawności zadania. Dopuszcza się realizację zakresów 5.1 i 5.2 w jednej aplikacji.</w:t>
      </w:r>
    </w:p>
    <w:p w14:paraId="690EFAF2" w14:textId="77777777" w:rsidR="002122C0" w:rsidRPr="008A4152" w:rsidRDefault="00D36E86" w:rsidP="008A4152">
      <w:pPr>
        <w:pStyle w:val="Nagwek4"/>
        <w:spacing w:line="360" w:lineRule="auto"/>
        <w:rPr>
          <w:rFonts w:ascii="Arial" w:hAnsi="Arial" w:cs="Arial"/>
          <w:i w:val="0"/>
          <w:iCs w:val="0"/>
          <w:color w:val="auto"/>
          <w:sz w:val="24"/>
        </w:rPr>
      </w:pPr>
      <w:bookmarkStart w:id="9" w:name="Xca94c8962395a8d2a5bb687339bc262c84bbc8f"/>
      <w:bookmarkEnd w:id="8"/>
      <w:r w:rsidRPr="008A4152">
        <w:rPr>
          <w:rFonts w:ascii="Arial" w:hAnsi="Arial" w:cs="Arial"/>
          <w:i w:val="0"/>
          <w:iCs w:val="0"/>
          <w:color w:val="auto"/>
          <w:sz w:val="24"/>
        </w:rPr>
        <w:t>5.3. Mechanika stosowana i elementy maszyn</w:t>
      </w:r>
    </w:p>
    <w:p w14:paraId="7EBE03FB" w14:textId="77777777" w:rsidR="002122C0" w:rsidRPr="008A4152" w:rsidRDefault="00D36E86" w:rsidP="008A4152">
      <w:pPr>
        <w:pStyle w:val="FirstParagraph"/>
        <w:spacing w:line="360" w:lineRule="auto"/>
        <w:rPr>
          <w:rFonts w:ascii="Arial" w:hAnsi="Arial" w:cs="Arial"/>
          <w:sz w:val="24"/>
        </w:rPr>
      </w:pPr>
      <w:r w:rsidRPr="008A4152">
        <w:rPr>
          <w:rFonts w:ascii="Arial" w:hAnsi="Arial" w:cs="Arial"/>
          <w:sz w:val="24"/>
        </w:rPr>
        <w:t>Wymagane są modele przekładni, kół zębatych, wałów, łożysk, połączeń mechanicznych i elementów przenoszenia napędu. Użytkownik ma analizować położenie części, kierunek ruchu i współpracę elementów oraz wskazywać, chwytać, przesuwać i obracać obiekty przy zachowaniu stereoskopii.</w:t>
      </w:r>
    </w:p>
    <w:p w14:paraId="5AABADDE" w14:textId="77777777" w:rsidR="002122C0" w:rsidRPr="008A4152" w:rsidRDefault="00D36E86" w:rsidP="008A4152">
      <w:pPr>
        <w:pStyle w:val="Nagwek4"/>
        <w:spacing w:line="360" w:lineRule="auto"/>
        <w:rPr>
          <w:rFonts w:ascii="Arial" w:hAnsi="Arial" w:cs="Arial"/>
          <w:i w:val="0"/>
          <w:iCs w:val="0"/>
          <w:color w:val="auto"/>
          <w:sz w:val="24"/>
        </w:rPr>
      </w:pPr>
      <w:bookmarkStart w:id="10" w:name="Xd2b83c659ac5d4dffc53ecac1396c8fa5c6b0e4"/>
      <w:bookmarkEnd w:id="9"/>
      <w:r w:rsidRPr="008A4152">
        <w:rPr>
          <w:rFonts w:ascii="Arial" w:hAnsi="Arial" w:cs="Arial"/>
          <w:i w:val="0"/>
          <w:iCs w:val="0"/>
          <w:color w:val="auto"/>
          <w:sz w:val="24"/>
        </w:rPr>
        <w:t>5.4. Hydraulika stosowana</w:t>
      </w:r>
    </w:p>
    <w:p w14:paraId="0739F6E4" w14:textId="77777777" w:rsidR="002122C0" w:rsidRPr="008A4152" w:rsidRDefault="00D36E86" w:rsidP="008A4152">
      <w:pPr>
        <w:pStyle w:val="FirstParagraph"/>
        <w:spacing w:line="360" w:lineRule="auto"/>
        <w:rPr>
          <w:rFonts w:ascii="Arial" w:hAnsi="Arial" w:cs="Arial"/>
          <w:sz w:val="24"/>
        </w:rPr>
      </w:pPr>
      <w:r w:rsidRPr="008A4152">
        <w:rPr>
          <w:rFonts w:ascii="Arial" w:hAnsi="Arial" w:cs="Arial"/>
          <w:sz w:val="24"/>
        </w:rPr>
        <w:t>Wymagane są modele pompy lub źródła ciśnienia, przewodów, zbiornika, zaworów, siłowników oraz elementów regulacyjnych i pomiarowych. Oprogramowanie ma umożliwiać analizę przepływu, zmian ciśnienia i działania elementów wykonawczych, a także interaktywne składanie lub diagnostykę układu. Wymagana jest demonstracja prawa Pascala na przykładzie układu z tłokami i pomiarem ciśnienia.</w:t>
      </w:r>
    </w:p>
    <w:p w14:paraId="55C1491E" w14:textId="77777777" w:rsidR="002122C0" w:rsidRPr="008A4152" w:rsidRDefault="00D36E86" w:rsidP="008A4152">
      <w:pPr>
        <w:pStyle w:val="Nagwek4"/>
        <w:spacing w:line="360" w:lineRule="auto"/>
        <w:rPr>
          <w:rFonts w:ascii="Arial" w:hAnsi="Arial" w:cs="Arial"/>
          <w:i w:val="0"/>
          <w:iCs w:val="0"/>
          <w:color w:val="auto"/>
          <w:sz w:val="24"/>
        </w:rPr>
      </w:pPr>
      <w:bookmarkStart w:id="11" w:name="Xd99ac97bd16d56b5eb10cfb421e3b8da25147af"/>
      <w:bookmarkEnd w:id="10"/>
      <w:r w:rsidRPr="008A4152">
        <w:rPr>
          <w:rFonts w:ascii="Arial" w:hAnsi="Arial" w:cs="Arial"/>
          <w:i w:val="0"/>
          <w:iCs w:val="0"/>
          <w:color w:val="auto"/>
          <w:sz w:val="24"/>
        </w:rPr>
        <w:lastRenderedPageBreak/>
        <w:t>5.5. Pneumatyka stosowana</w:t>
      </w:r>
    </w:p>
    <w:p w14:paraId="731ED7E4" w14:textId="77777777" w:rsidR="002122C0" w:rsidRPr="008A4152" w:rsidRDefault="00D36E86" w:rsidP="008A4152">
      <w:pPr>
        <w:pStyle w:val="FirstParagraph"/>
        <w:spacing w:line="360" w:lineRule="auto"/>
        <w:rPr>
          <w:rFonts w:ascii="Arial" w:hAnsi="Arial" w:cs="Arial"/>
          <w:sz w:val="24"/>
        </w:rPr>
      </w:pPr>
      <w:r w:rsidRPr="008A4152">
        <w:rPr>
          <w:rFonts w:ascii="Arial" w:hAnsi="Arial" w:cs="Arial"/>
          <w:sz w:val="24"/>
        </w:rPr>
        <w:t>Wymagane są modele źródła sprężonego powietrza, przewodów, zaworów rozdzielających i sterujących, regulatorów, manometrów i siłowników. Oprogramowanie ma umożliwiać ćwiczenie konfiguracji lub diagnostyki obwodów oraz obserwowanie skutków zmian ustawień lub połączeń. Istotne elementy muszą być prezentowane stereoskopowo i obsługiwane urządzeniem wskazującym.</w:t>
      </w:r>
    </w:p>
    <w:p w14:paraId="014D376C" w14:textId="77777777" w:rsidR="002122C0" w:rsidRPr="008A4152" w:rsidRDefault="00D36E86" w:rsidP="008A4152">
      <w:pPr>
        <w:pStyle w:val="Nagwek4"/>
        <w:spacing w:line="360" w:lineRule="auto"/>
        <w:rPr>
          <w:rFonts w:ascii="Arial" w:hAnsi="Arial" w:cs="Arial"/>
          <w:i w:val="0"/>
          <w:iCs w:val="0"/>
          <w:color w:val="auto"/>
          <w:sz w:val="24"/>
        </w:rPr>
      </w:pPr>
      <w:bookmarkStart w:id="12" w:name="X9540ac4df8fe7f96f0fe70f8018c282e8dddc81"/>
      <w:bookmarkEnd w:id="11"/>
      <w:r w:rsidRPr="008A4152">
        <w:rPr>
          <w:rFonts w:ascii="Arial" w:hAnsi="Arial" w:cs="Arial"/>
          <w:i w:val="0"/>
          <w:iCs w:val="0"/>
          <w:color w:val="auto"/>
          <w:sz w:val="24"/>
        </w:rPr>
        <w:t>5.6. Modele i aktywności STEM</w:t>
      </w:r>
    </w:p>
    <w:p w14:paraId="0A53EBCD" w14:textId="77777777" w:rsidR="002122C0" w:rsidRPr="008A4152" w:rsidRDefault="00D36E86" w:rsidP="008A4152">
      <w:pPr>
        <w:pStyle w:val="FirstParagraph"/>
        <w:spacing w:line="360" w:lineRule="auto"/>
        <w:rPr>
          <w:rFonts w:ascii="Arial" w:hAnsi="Arial" w:cs="Arial"/>
          <w:sz w:val="24"/>
        </w:rPr>
      </w:pPr>
      <w:r w:rsidRPr="008A4152">
        <w:rPr>
          <w:rFonts w:ascii="Arial" w:hAnsi="Arial" w:cs="Arial"/>
          <w:sz w:val="24"/>
        </w:rPr>
        <w:t>Wymagana jest biblioteka interaktywnych modeli z biologii, chemii, fizyki, geografii lub nauk o Ziemi oraz matematyki. W odpowiednich modelach muszą być dostępne: rozkładanie i ponowne składanie, uruchamianie i zatrzymywanie animacji, przekroje płaszczyzną, etykiety z możliwością pokazywania i ukrywania, narzędzie pomiaru długości oraz blokowanie położenia modelu. Wymagane jest tworzenie własnych materiałów z modelami, tekstem, notatkami, rysunkami, liniami i odnośnikami oraz import obrazów, dźwięku, filmów i modeli 3D. Funkcje mogą być realizowane łącznie przez kilka dostarczonych narzędzi. Wykonawca wskaże obsługiwane formaty plików.</w:t>
      </w:r>
    </w:p>
    <w:p w14:paraId="5089C87A" w14:textId="77777777" w:rsidR="002122C0" w:rsidRPr="008A4152" w:rsidRDefault="00D36E86" w:rsidP="008A4152">
      <w:pPr>
        <w:pStyle w:val="Nagwek3"/>
        <w:spacing w:line="360" w:lineRule="auto"/>
        <w:rPr>
          <w:rFonts w:ascii="Arial" w:hAnsi="Arial" w:cs="Arial"/>
          <w:color w:val="auto"/>
          <w:sz w:val="24"/>
          <w:szCs w:val="24"/>
        </w:rPr>
      </w:pPr>
      <w:bookmarkStart w:id="13" w:name="X35e16c2e64490342139a4d1939c251a7b7a28d9"/>
      <w:bookmarkEnd w:id="6"/>
      <w:bookmarkEnd w:id="12"/>
      <w:r w:rsidRPr="008A4152">
        <w:rPr>
          <w:rFonts w:ascii="Arial" w:hAnsi="Arial" w:cs="Arial"/>
          <w:color w:val="auto"/>
          <w:sz w:val="24"/>
          <w:szCs w:val="24"/>
        </w:rPr>
        <w:t>6. Dokumentowanie zgodności i równoważności</w:t>
      </w:r>
    </w:p>
    <w:p w14:paraId="50DCCDB8" w14:textId="77777777" w:rsidR="002122C0" w:rsidRPr="008A4152" w:rsidRDefault="00D36E86" w:rsidP="008A4152">
      <w:pPr>
        <w:pStyle w:val="Compact"/>
        <w:numPr>
          <w:ilvl w:val="0"/>
          <w:numId w:val="5"/>
        </w:numPr>
        <w:spacing w:line="360" w:lineRule="auto"/>
        <w:rPr>
          <w:rFonts w:ascii="Arial" w:hAnsi="Arial" w:cs="Arial"/>
          <w:sz w:val="24"/>
        </w:rPr>
      </w:pPr>
      <w:r w:rsidRPr="008A4152">
        <w:rPr>
          <w:rFonts w:ascii="Arial" w:hAnsi="Arial" w:cs="Arial"/>
          <w:sz w:val="24"/>
        </w:rPr>
        <w:t>Wykonawca wskaże producenta, pełny model i kod konfiguracji laptopa, rodzaj ekranu, urządzenie wskazujące, system śledzenia, nazwy i wersje aplikacji oraz warstwy integracyjne.</w:t>
      </w:r>
    </w:p>
    <w:p w14:paraId="41CCE276" w14:textId="77777777" w:rsidR="002122C0" w:rsidRPr="008A4152" w:rsidRDefault="00D36E86" w:rsidP="008A4152">
      <w:pPr>
        <w:pStyle w:val="Compact"/>
        <w:numPr>
          <w:ilvl w:val="0"/>
          <w:numId w:val="5"/>
        </w:numPr>
        <w:spacing w:line="360" w:lineRule="auto"/>
        <w:rPr>
          <w:rFonts w:ascii="Arial" w:hAnsi="Arial" w:cs="Arial"/>
          <w:sz w:val="24"/>
        </w:rPr>
      </w:pPr>
      <w:r w:rsidRPr="008A4152">
        <w:rPr>
          <w:rFonts w:ascii="Arial" w:hAnsi="Arial" w:cs="Arial"/>
          <w:sz w:val="24"/>
        </w:rPr>
        <w:t>Wykonawca przedstawi tabelę zgodności odnoszącą się do każdej pozycji OPZ, ze wskazaniem dokumentu, instrukcji, deklaracji integratora lub scenariusza demonstracji potwierdzającego spełnienie wymagania.</w:t>
      </w:r>
    </w:p>
    <w:p w14:paraId="6C18A1CE" w14:textId="77777777" w:rsidR="002122C0" w:rsidRPr="008A4152" w:rsidRDefault="00D36E86" w:rsidP="008A4152">
      <w:pPr>
        <w:pStyle w:val="Compact"/>
        <w:numPr>
          <w:ilvl w:val="0"/>
          <w:numId w:val="5"/>
        </w:numPr>
        <w:spacing w:line="360" w:lineRule="auto"/>
        <w:rPr>
          <w:rFonts w:ascii="Arial" w:hAnsi="Arial" w:cs="Arial"/>
          <w:sz w:val="24"/>
        </w:rPr>
      </w:pPr>
      <w:r w:rsidRPr="008A4152">
        <w:rPr>
          <w:rFonts w:ascii="Arial" w:hAnsi="Arial" w:cs="Arial"/>
          <w:sz w:val="24"/>
        </w:rPr>
        <w:t>Parametry sprzętowe należy potwierdzić dokumentacją oferowanej konfiguracji. Nazwa rodziny produktowej nie potwierdza wyposażenia konkretnej wersji w ekran autostereoskopowy.</w:t>
      </w:r>
    </w:p>
    <w:p w14:paraId="08044CFB" w14:textId="77777777" w:rsidR="002122C0" w:rsidRPr="008A4152" w:rsidRDefault="00D36E86" w:rsidP="008A4152">
      <w:pPr>
        <w:pStyle w:val="Compact"/>
        <w:numPr>
          <w:ilvl w:val="0"/>
          <w:numId w:val="5"/>
        </w:numPr>
        <w:spacing w:line="360" w:lineRule="auto"/>
        <w:rPr>
          <w:rFonts w:ascii="Arial" w:hAnsi="Arial" w:cs="Arial"/>
          <w:sz w:val="24"/>
        </w:rPr>
      </w:pPr>
      <w:r w:rsidRPr="008A4152">
        <w:rPr>
          <w:rFonts w:ascii="Arial" w:hAnsi="Arial" w:cs="Arial"/>
          <w:sz w:val="24"/>
        </w:rPr>
        <w:t>Dokumentacja laptopa potwierdzająca wyświetlanie 3D nie stanowi sama w sobie potwierdzenia współpracy z aplikacjami i urządzeniem wskazującym.</w:t>
      </w:r>
    </w:p>
    <w:p w14:paraId="2809F773" w14:textId="77777777" w:rsidR="002122C0" w:rsidRPr="008A4152" w:rsidRDefault="00D36E86" w:rsidP="008A4152">
      <w:pPr>
        <w:pStyle w:val="Compact"/>
        <w:numPr>
          <w:ilvl w:val="0"/>
          <w:numId w:val="5"/>
        </w:numPr>
        <w:spacing w:line="360" w:lineRule="auto"/>
        <w:rPr>
          <w:rFonts w:ascii="Arial" w:hAnsi="Arial" w:cs="Arial"/>
          <w:sz w:val="24"/>
        </w:rPr>
      </w:pPr>
      <w:r w:rsidRPr="008A4152">
        <w:rPr>
          <w:rFonts w:ascii="Arial" w:hAnsi="Arial" w:cs="Arial"/>
          <w:sz w:val="24"/>
        </w:rPr>
        <w:t>Nie wymaga się określonego producenta ani nazwy technologii. Równoważność oznacza spełnienie opisanych parametrów i funkcji całego stanowiska.</w:t>
      </w:r>
    </w:p>
    <w:p w14:paraId="2166CE72" w14:textId="77777777" w:rsidR="002122C0" w:rsidRPr="008A4152" w:rsidRDefault="00D36E86">
      <w:pPr>
        <w:pStyle w:val="Nagwek3"/>
        <w:rPr>
          <w:rFonts w:ascii="Arial" w:hAnsi="Arial" w:cs="Arial"/>
          <w:color w:val="auto"/>
          <w:sz w:val="24"/>
          <w:szCs w:val="24"/>
        </w:rPr>
      </w:pPr>
      <w:bookmarkStart w:id="14" w:name="Xf1cdc44235329f9819308f5905341960c4e3be7"/>
      <w:bookmarkEnd w:id="13"/>
      <w:r w:rsidRPr="008A4152">
        <w:rPr>
          <w:rFonts w:ascii="Arial" w:hAnsi="Arial" w:cs="Arial"/>
          <w:color w:val="auto"/>
          <w:sz w:val="24"/>
          <w:szCs w:val="24"/>
        </w:rPr>
        <w:lastRenderedPageBreak/>
        <w:t>7. Odbiór i testy funkcjonalne</w:t>
      </w:r>
    </w:p>
    <w:p w14:paraId="000AB2D3" w14:textId="7403722C" w:rsidR="002122C0" w:rsidRPr="008A4152" w:rsidRDefault="00D36E86" w:rsidP="000B0D23">
      <w:pPr>
        <w:pStyle w:val="FirstParagraph"/>
        <w:spacing w:line="360" w:lineRule="auto"/>
        <w:rPr>
          <w:rFonts w:ascii="Arial" w:hAnsi="Arial" w:cs="Arial"/>
          <w:sz w:val="24"/>
        </w:rPr>
      </w:pPr>
      <w:r w:rsidRPr="008A4152">
        <w:rPr>
          <w:rFonts w:ascii="Arial" w:hAnsi="Arial" w:cs="Arial"/>
          <w:sz w:val="24"/>
        </w:rPr>
        <w:t xml:space="preserve">Odbiór obejmuje sprawdzenie każdego stanowiska według poniższych kryteriów. Dane do testów i modele zapewnia </w:t>
      </w:r>
      <w:r w:rsidR="001B1818">
        <w:rPr>
          <w:rFonts w:ascii="Arial" w:hAnsi="Arial" w:cs="Arial"/>
          <w:sz w:val="24"/>
        </w:rPr>
        <w:t>W</w:t>
      </w:r>
      <w:r w:rsidRPr="008A4152">
        <w:rPr>
          <w:rFonts w:ascii="Arial" w:hAnsi="Arial" w:cs="Arial"/>
          <w:sz w:val="24"/>
        </w:rPr>
        <w:t>ykonawca.</w:t>
      </w: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350"/>
        <w:gridCol w:w="6712"/>
      </w:tblGrid>
      <w:tr w:rsidR="002122C0" w:rsidRPr="008A4152" w14:paraId="35BBD9A1" w14:textId="77777777" w:rsidTr="001B1818">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shd w:val="clear" w:color="auto" w:fill="E8E8E8" w:themeFill="background2"/>
          </w:tcPr>
          <w:p w14:paraId="357B001A"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Test</w:t>
            </w:r>
          </w:p>
        </w:tc>
        <w:tc>
          <w:tcPr>
            <w:tcW w:w="0" w:type="auto"/>
            <w:tcBorders>
              <w:bottom w:val="none" w:sz="0" w:space="0" w:color="auto"/>
            </w:tcBorders>
            <w:shd w:val="clear" w:color="auto" w:fill="E8E8E8" w:themeFill="background2"/>
          </w:tcPr>
          <w:p w14:paraId="4ABFA8CF"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Warunek pozytywnego wyniku</w:t>
            </w:r>
          </w:p>
        </w:tc>
      </w:tr>
      <w:tr w:rsidR="002122C0" w:rsidRPr="008A4152" w14:paraId="463A7A81" w14:textId="77777777" w:rsidTr="000B0D23">
        <w:tc>
          <w:tcPr>
            <w:tcW w:w="0" w:type="auto"/>
          </w:tcPr>
          <w:p w14:paraId="0298B375"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Konfiguracja</w:t>
            </w:r>
          </w:p>
        </w:tc>
        <w:tc>
          <w:tcPr>
            <w:tcW w:w="0" w:type="auto"/>
          </w:tcPr>
          <w:p w14:paraId="37294B4C"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Zgodność modelu i wyposażenia z ofertą oraz wymaganiami sprzętowymi.</w:t>
            </w:r>
          </w:p>
        </w:tc>
      </w:tr>
      <w:tr w:rsidR="002122C0" w:rsidRPr="008A4152" w14:paraId="46055902" w14:textId="77777777" w:rsidTr="000B0D23">
        <w:tc>
          <w:tcPr>
            <w:tcW w:w="0" w:type="auto"/>
          </w:tcPr>
          <w:p w14:paraId="4C7A73D0"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Stereoskopia</w:t>
            </w:r>
          </w:p>
        </w:tc>
        <w:tc>
          <w:tcPr>
            <w:tcW w:w="0" w:type="auto"/>
          </w:tcPr>
          <w:p w14:paraId="10B9E14F"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Widoczna głębia na wbudowanym ekranie bez okularów; odrębne obrazy dla oczu; poprawne dostosowanie obrazu przy zmianie położenia użytkownika w deklarowanej strefie pracy.</w:t>
            </w:r>
          </w:p>
        </w:tc>
      </w:tr>
      <w:tr w:rsidR="002122C0" w:rsidRPr="008A4152" w14:paraId="2AEC57BD" w14:textId="77777777" w:rsidTr="000B0D23">
        <w:tc>
          <w:tcPr>
            <w:tcW w:w="0" w:type="auto"/>
          </w:tcPr>
          <w:p w14:paraId="56347C3D"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Tryby obrazu</w:t>
            </w:r>
          </w:p>
        </w:tc>
        <w:tc>
          <w:tcPr>
            <w:tcW w:w="0" w:type="auto"/>
          </w:tcPr>
          <w:p w14:paraId="368F1A2F"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Poprawne przełączenie pomiędzy 2D a 3D.</w:t>
            </w:r>
          </w:p>
        </w:tc>
      </w:tr>
      <w:tr w:rsidR="002122C0" w:rsidRPr="008A4152" w14:paraId="0FD73067" w14:textId="77777777" w:rsidTr="000B0D23">
        <w:tc>
          <w:tcPr>
            <w:tcW w:w="0" w:type="auto"/>
          </w:tcPr>
          <w:p w14:paraId="47EEBF42"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Interakcja</w:t>
            </w:r>
          </w:p>
        </w:tc>
        <w:tc>
          <w:tcPr>
            <w:tcW w:w="0" w:type="auto"/>
          </w:tcPr>
          <w:p w14:paraId="2D2C1966"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Wskazanie, wybór, chwycenie, przesunięcie w trzech osiach, obrót i zwolnienie modelu bez korzystania z myszy jako podstawowego narzędzia manipulacji.</w:t>
            </w:r>
          </w:p>
        </w:tc>
      </w:tr>
      <w:tr w:rsidR="002122C0" w:rsidRPr="008A4152" w14:paraId="4CFBE6CC" w14:textId="77777777" w:rsidTr="000B0D23">
        <w:tc>
          <w:tcPr>
            <w:tcW w:w="0" w:type="auto"/>
          </w:tcPr>
          <w:p w14:paraId="4D68AACC"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Współdziałanie</w:t>
            </w:r>
          </w:p>
        </w:tc>
        <w:tc>
          <w:tcPr>
            <w:tcW w:w="0" w:type="auto"/>
          </w:tcPr>
          <w:p w14:paraId="436D239C"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Jednoczesne działanie śledzenia użytkownika, autostereoskopii i śledzenia urządzenia wskazującego.</w:t>
            </w:r>
          </w:p>
        </w:tc>
      </w:tr>
      <w:tr w:rsidR="002122C0" w:rsidRPr="008A4152" w14:paraId="071F7E51" w14:textId="77777777" w:rsidTr="000B0D23">
        <w:tc>
          <w:tcPr>
            <w:tcW w:w="0" w:type="auto"/>
          </w:tcPr>
          <w:p w14:paraId="76D1F2C1"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Pojazdy</w:t>
            </w:r>
          </w:p>
        </w:tc>
        <w:tc>
          <w:tcPr>
            <w:tcW w:w="0" w:type="auto"/>
          </w:tcPr>
          <w:p w14:paraId="6F5ABD5D"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Realizacja zadania obsługowego oraz ćwiczenia identyfikacji części lub diagnostyki, z pokazaniem funkcji trybów treningowego i sprawdzającego.</w:t>
            </w:r>
          </w:p>
        </w:tc>
      </w:tr>
      <w:tr w:rsidR="002122C0" w:rsidRPr="008A4152" w14:paraId="75FEC23F" w14:textId="77777777" w:rsidTr="000B0D23">
        <w:tc>
          <w:tcPr>
            <w:tcW w:w="0" w:type="auto"/>
          </w:tcPr>
          <w:p w14:paraId="5E3DA1B2"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Mechanika</w:t>
            </w:r>
          </w:p>
        </w:tc>
        <w:tc>
          <w:tcPr>
            <w:tcW w:w="0" w:type="auto"/>
          </w:tcPr>
          <w:p w14:paraId="7D71134F"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Manipulacja zespołem mechanicznym i prezentacja współpracy jego elementów.</w:t>
            </w:r>
          </w:p>
        </w:tc>
      </w:tr>
      <w:tr w:rsidR="002122C0" w:rsidRPr="008A4152" w14:paraId="2F7BDEA3" w14:textId="77777777" w:rsidTr="000B0D23">
        <w:tc>
          <w:tcPr>
            <w:tcW w:w="0" w:type="auto"/>
          </w:tcPr>
          <w:p w14:paraId="496ED12A"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Hydraulika</w:t>
            </w:r>
          </w:p>
        </w:tc>
        <w:tc>
          <w:tcPr>
            <w:tcW w:w="0" w:type="auto"/>
          </w:tcPr>
          <w:p w14:paraId="3B5B0FD9"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Prezentacja układu, zmiany parametru lub stanu oraz skutku tej zmiany.</w:t>
            </w:r>
          </w:p>
        </w:tc>
      </w:tr>
      <w:tr w:rsidR="002122C0" w:rsidRPr="008A4152" w14:paraId="1ABCE70A" w14:textId="77777777" w:rsidTr="000B0D23">
        <w:tc>
          <w:tcPr>
            <w:tcW w:w="0" w:type="auto"/>
          </w:tcPr>
          <w:p w14:paraId="3E18CEC9"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Pneumatyka</w:t>
            </w:r>
          </w:p>
        </w:tc>
        <w:tc>
          <w:tcPr>
            <w:tcW w:w="0" w:type="auto"/>
          </w:tcPr>
          <w:p w14:paraId="58C1B801"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Ćwiczenie konfiguracji lub diagnostyki i obserwacja skutków zmiany ustawienia lub połączenia.</w:t>
            </w:r>
          </w:p>
        </w:tc>
      </w:tr>
      <w:tr w:rsidR="002122C0" w:rsidRPr="008A4152" w14:paraId="14A81CC4" w14:textId="77777777" w:rsidTr="000B0D23">
        <w:tc>
          <w:tcPr>
            <w:tcW w:w="0" w:type="auto"/>
          </w:tcPr>
          <w:p w14:paraId="5BF83AF4"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STEM</w:t>
            </w:r>
          </w:p>
        </w:tc>
        <w:tc>
          <w:tcPr>
            <w:tcW w:w="0" w:type="auto"/>
          </w:tcPr>
          <w:p w14:paraId="5CFA980D"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Prezentacja modeli ze wszystkich wymaganych dziedzin oraz funkcji przekroju, etykiet, pomiaru, rozkładania i tworzenia własnego materiału.</w:t>
            </w:r>
          </w:p>
        </w:tc>
      </w:tr>
      <w:tr w:rsidR="002122C0" w:rsidRPr="008A4152" w14:paraId="2CFF03E8" w14:textId="77777777" w:rsidTr="000B0D23">
        <w:tc>
          <w:tcPr>
            <w:tcW w:w="0" w:type="auto"/>
          </w:tcPr>
          <w:p w14:paraId="10645037"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Licencje i ponowne uruchomienie</w:t>
            </w:r>
          </w:p>
        </w:tc>
        <w:tc>
          <w:tcPr>
            <w:tcW w:w="0" w:type="auto"/>
          </w:tcPr>
          <w:p w14:paraId="73660C9E" w14:textId="77777777" w:rsidR="002122C0" w:rsidRPr="008A4152" w:rsidRDefault="00D36E86" w:rsidP="00C11E0B">
            <w:pPr>
              <w:pStyle w:val="Compact"/>
              <w:spacing w:before="0" w:after="0"/>
              <w:rPr>
                <w:rFonts w:ascii="Arial" w:hAnsi="Arial" w:cs="Arial"/>
                <w:sz w:val="24"/>
              </w:rPr>
            </w:pPr>
            <w:r w:rsidRPr="008A4152">
              <w:rPr>
                <w:rFonts w:ascii="Arial" w:hAnsi="Arial" w:cs="Arial"/>
                <w:sz w:val="24"/>
              </w:rPr>
              <w:t>Aktywne licencje na wymagany okres oraz poprawne działanie zestawu po ponownym uruchomieniu laptopa.</w:t>
            </w:r>
          </w:p>
        </w:tc>
      </w:tr>
    </w:tbl>
    <w:p w14:paraId="4E45B485" w14:textId="77777777" w:rsidR="002122C0" w:rsidRPr="008A4152" w:rsidRDefault="00D36E86" w:rsidP="000B0D23">
      <w:pPr>
        <w:pStyle w:val="Tekstpodstawowy"/>
        <w:spacing w:line="360" w:lineRule="auto"/>
        <w:rPr>
          <w:rFonts w:ascii="Arial" w:hAnsi="Arial" w:cs="Arial"/>
          <w:sz w:val="24"/>
        </w:rPr>
      </w:pPr>
      <w:r w:rsidRPr="008A4152">
        <w:rPr>
          <w:rFonts w:ascii="Arial" w:hAnsi="Arial" w:cs="Arial"/>
          <w:sz w:val="24"/>
        </w:rPr>
        <w:t>Niespełnienie wymagania odbiorowego wymaga usunięcia niezgodności i ponowienia odpowiedniego testu przed podpisaniem protokołu odbioru bez zastrzeżeń. Procedurę i terminy usuwania niezgodności określa umowa.</w:t>
      </w:r>
    </w:p>
    <w:p w14:paraId="632B38F7" w14:textId="77777777" w:rsidR="002122C0" w:rsidRPr="008A4152" w:rsidRDefault="00D36E86" w:rsidP="000B0D23">
      <w:pPr>
        <w:pStyle w:val="Nagwek3"/>
        <w:spacing w:line="360" w:lineRule="auto"/>
        <w:rPr>
          <w:rFonts w:ascii="Arial" w:hAnsi="Arial" w:cs="Arial"/>
          <w:color w:val="auto"/>
          <w:sz w:val="24"/>
          <w:szCs w:val="24"/>
        </w:rPr>
      </w:pPr>
      <w:bookmarkStart w:id="15" w:name="Xd3cf7939e620dccc96d25dde61ba4b2d8f0c5ab"/>
      <w:bookmarkEnd w:id="14"/>
      <w:r w:rsidRPr="008A4152">
        <w:rPr>
          <w:rFonts w:ascii="Arial" w:hAnsi="Arial" w:cs="Arial"/>
          <w:color w:val="auto"/>
          <w:sz w:val="24"/>
          <w:szCs w:val="24"/>
        </w:rPr>
        <w:t>8. Dokumentacja, wdrożenie i wsparcie</w:t>
      </w:r>
    </w:p>
    <w:p w14:paraId="0C355618" w14:textId="77777777" w:rsidR="002122C0" w:rsidRPr="008A4152" w:rsidRDefault="00D36E86" w:rsidP="000B0D23">
      <w:pPr>
        <w:pStyle w:val="Compact"/>
        <w:numPr>
          <w:ilvl w:val="0"/>
          <w:numId w:val="6"/>
        </w:numPr>
        <w:spacing w:line="360" w:lineRule="auto"/>
        <w:rPr>
          <w:rFonts w:ascii="Arial" w:hAnsi="Arial" w:cs="Arial"/>
          <w:sz w:val="24"/>
        </w:rPr>
      </w:pPr>
      <w:r w:rsidRPr="008A4152">
        <w:rPr>
          <w:rFonts w:ascii="Arial" w:hAnsi="Arial" w:cs="Arial"/>
          <w:sz w:val="24"/>
        </w:rPr>
        <w:t>Wykonawca dostarczy instrukcję uruchomienia, kalibracji i odtworzenia konfiguracji, wykaz licencji oraz dane kontaktowe wsparcia.</w:t>
      </w:r>
    </w:p>
    <w:p w14:paraId="75347B95" w14:textId="68E78F6F" w:rsidR="002122C0" w:rsidRPr="008A4152" w:rsidRDefault="00D36E86" w:rsidP="000B0D23">
      <w:pPr>
        <w:pStyle w:val="Compact"/>
        <w:numPr>
          <w:ilvl w:val="0"/>
          <w:numId w:val="6"/>
        </w:numPr>
        <w:spacing w:line="360" w:lineRule="auto"/>
        <w:rPr>
          <w:rFonts w:ascii="Arial" w:hAnsi="Arial" w:cs="Arial"/>
          <w:sz w:val="24"/>
        </w:rPr>
      </w:pPr>
      <w:r w:rsidRPr="008A4152">
        <w:rPr>
          <w:rFonts w:ascii="Arial" w:hAnsi="Arial" w:cs="Arial"/>
          <w:sz w:val="24"/>
        </w:rPr>
        <w:t xml:space="preserve">Wykonawca przeprowadzi instruktaż dla </w:t>
      </w:r>
      <w:r w:rsidR="00357E4B">
        <w:rPr>
          <w:rFonts w:ascii="Arial" w:hAnsi="Arial" w:cs="Arial"/>
          <w:sz w:val="24"/>
        </w:rPr>
        <w:t xml:space="preserve">3 </w:t>
      </w:r>
      <w:r w:rsidRPr="008A4152">
        <w:rPr>
          <w:rFonts w:ascii="Arial" w:hAnsi="Arial" w:cs="Arial"/>
          <w:sz w:val="24"/>
        </w:rPr>
        <w:t xml:space="preserve">osób wskazanych przez </w:t>
      </w:r>
      <w:r w:rsidR="00357E4B">
        <w:rPr>
          <w:rFonts w:ascii="Arial" w:hAnsi="Arial" w:cs="Arial"/>
          <w:sz w:val="24"/>
        </w:rPr>
        <w:t>Z</w:t>
      </w:r>
      <w:r w:rsidRPr="008A4152">
        <w:rPr>
          <w:rFonts w:ascii="Arial" w:hAnsi="Arial" w:cs="Arial"/>
          <w:sz w:val="24"/>
        </w:rPr>
        <w:t>amawiającego: uruchamianie, przełączanie trybów obrazu, kalibracja, obsługa ćwiczeń i podstawowe rozwiązywanie problemów.</w:t>
      </w:r>
    </w:p>
    <w:p w14:paraId="7975EB0D" w14:textId="2A9127CE" w:rsidR="002122C0" w:rsidRDefault="00D36E86" w:rsidP="000B0D23">
      <w:pPr>
        <w:pStyle w:val="Compact"/>
        <w:numPr>
          <w:ilvl w:val="0"/>
          <w:numId w:val="6"/>
        </w:numPr>
        <w:spacing w:line="360" w:lineRule="auto"/>
        <w:rPr>
          <w:rFonts w:ascii="Arial" w:hAnsi="Arial" w:cs="Arial"/>
          <w:sz w:val="24"/>
        </w:rPr>
      </w:pPr>
      <w:r w:rsidRPr="008A4152">
        <w:rPr>
          <w:rFonts w:ascii="Arial" w:hAnsi="Arial" w:cs="Arial"/>
          <w:sz w:val="24"/>
        </w:rPr>
        <w:t xml:space="preserve">Wymagany okres gwarancji sprzętu i wsparcia integracji wynosi </w:t>
      </w:r>
      <w:r w:rsidR="00C11E0B">
        <w:rPr>
          <w:rFonts w:ascii="Arial" w:hAnsi="Arial" w:cs="Arial"/>
          <w:sz w:val="24"/>
        </w:rPr>
        <w:t xml:space="preserve">minimum </w:t>
      </w:r>
      <w:r w:rsidR="00C11E0B">
        <w:rPr>
          <w:rFonts w:ascii="Arial" w:hAnsi="Arial" w:cs="Arial"/>
          <w:sz w:val="24"/>
        </w:rPr>
        <w:br/>
      </w:r>
      <w:r w:rsidRPr="008A4152">
        <w:rPr>
          <w:rFonts w:ascii="Arial" w:hAnsi="Arial" w:cs="Arial"/>
          <w:sz w:val="24"/>
        </w:rPr>
        <w:t>24 miesiące od odbioru</w:t>
      </w:r>
      <w:r w:rsidR="00357E4B">
        <w:rPr>
          <w:rFonts w:ascii="Arial" w:hAnsi="Arial" w:cs="Arial"/>
          <w:sz w:val="24"/>
        </w:rPr>
        <w:t xml:space="preserve"> końcowego przedmiotu zamówienia</w:t>
      </w:r>
      <w:r w:rsidRPr="008A4152">
        <w:rPr>
          <w:rFonts w:ascii="Arial" w:hAnsi="Arial" w:cs="Arial"/>
          <w:sz w:val="24"/>
        </w:rPr>
        <w:t xml:space="preserve">. Zakres obejmuje </w:t>
      </w:r>
      <w:r w:rsidRPr="008A4152">
        <w:rPr>
          <w:rFonts w:ascii="Arial" w:hAnsi="Arial" w:cs="Arial"/>
          <w:sz w:val="24"/>
        </w:rPr>
        <w:lastRenderedPageBreak/>
        <w:t>dostarczone moduły i zachowanie współpracy elementów w konfiguracji odebranej przez zamawiającego.</w:t>
      </w:r>
    </w:p>
    <w:p w14:paraId="21BEBD56" w14:textId="77777777" w:rsidR="00DF21D7" w:rsidRPr="00DF21D7" w:rsidRDefault="00DF21D7" w:rsidP="000569C6">
      <w:pPr>
        <w:tabs>
          <w:tab w:val="left" w:pos="426"/>
        </w:tabs>
        <w:spacing w:before="240" w:after="0" w:line="360" w:lineRule="auto"/>
        <w:rPr>
          <w:rFonts w:ascii="Arial" w:hAnsi="Arial" w:cs="Arial"/>
          <w:sz w:val="24"/>
        </w:rPr>
      </w:pPr>
      <w:r w:rsidRPr="00DF21D7">
        <w:rPr>
          <w:rFonts w:ascii="Arial" w:hAnsi="Arial" w:cs="Arial"/>
          <w:sz w:val="24"/>
        </w:rPr>
        <w:t>Zainstalowane oprogramowanie na zestawie komputerowym musi spełniać standardy Centralnej Komisji Egzaminacyjnej w zakresie wyposażenia ośrodków egzaminacyjnych podczas realizacji egzaminów zawodowych.</w:t>
      </w:r>
    </w:p>
    <w:p w14:paraId="2D724D0E" w14:textId="77777777" w:rsidR="00DF21D7" w:rsidRPr="00652289" w:rsidRDefault="00DF21D7" w:rsidP="000569C6">
      <w:pPr>
        <w:tabs>
          <w:tab w:val="left" w:pos="284"/>
        </w:tabs>
        <w:spacing w:before="120" w:after="0" w:line="360" w:lineRule="auto"/>
        <w:rPr>
          <w:rFonts w:ascii="Arial" w:hAnsi="Arial" w:cs="Arial"/>
          <w:sz w:val="24"/>
        </w:rPr>
      </w:pPr>
      <w:r w:rsidRPr="00652289">
        <w:rPr>
          <w:rFonts w:ascii="Arial" w:hAnsi="Arial" w:cs="Arial"/>
          <w:sz w:val="24"/>
        </w:rPr>
        <w:t xml:space="preserve">W komunikacie CKE określa wyposażenie stanowiska egzaminacyjnego dla zdającego w kwalifikacjach INF.03, MEC.09, ELM.01, ELM.03, ELM.06, ELM.07, ELM.08: </w:t>
      </w:r>
    </w:p>
    <w:tbl>
      <w:tblPr>
        <w:tblStyle w:val="Tabela-Siatka"/>
        <w:tblW w:w="0" w:type="auto"/>
        <w:tblLook w:val="04A0" w:firstRow="1" w:lastRow="0" w:firstColumn="1" w:lastColumn="0" w:noHBand="0" w:noVBand="1"/>
      </w:tblPr>
      <w:tblGrid>
        <w:gridCol w:w="563"/>
        <w:gridCol w:w="1417"/>
        <w:gridCol w:w="6650"/>
      </w:tblGrid>
      <w:tr w:rsidR="00DF21D7" w:rsidRPr="00AB126D" w14:paraId="61131B99" w14:textId="77777777" w:rsidTr="004C595D">
        <w:tc>
          <w:tcPr>
            <w:tcW w:w="563" w:type="dxa"/>
            <w:vAlign w:val="center"/>
          </w:tcPr>
          <w:p w14:paraId="1502F080" w14:textId="77777777" w:rsidR="00DF21D7" w:rsidRPr="00AB126D" w:rsidRDefault="00DF21D7" w:rsidP="004C595D">
            <w:pPr>
              <w:pStyle w:val="Akapitzlist"/>
              <w:spacing w:before="0" w:line="240" w:lineRule="auto"/>
              <w:ind w:left="0"/>
              <w:jc w:val="center"/>
              <w:rPr>
                <w:rFonts w:ascii="Arial" w:hAnsi="Arial" w:cs="Arial"/>
                <w:sz w:val="22"/>
                <w:szCs w:val="22"/>
              </w:rPr>
            </w:pPr>
            <w:r w:rsidRPr="00AB126D">
              <w:rPr>
                <w:rFonts w:ascii="Arial" w:hAnsi="Arial" w:cs="Arial"/>
                <w:sz w:val="22"/>
                <w:szCs w:val="22"/>
              </w:rPr>
              <w:t>Lp.</w:t>
            </w:r>
          </w:p>
        </w:tc>
        <w:tc>
          <w:tcPr>
            <w:tcW w:w="1417" w:type="dxa"/>
            <w:vAlign w:val="center"/>
          </w:tcPr>
          <w:p w14:paraId="2CD10CE2" w14:textId="77777777" w:rsidR="00DF21D7" w:rsidRPr="00AB126D" w:rsidRDefault="00DF21D7" w:rsidP="004C595D">
            <w:pPr>
              <w:pStyle w:val="Akapitzlist"/>
              <w:spacing w:before="0" w:line="240" w:lineRule="auto"/>
              <w:ind w:left="0"/>
              <w:jc w:val="center"/>
              <w:rPr>
                <w:rFonts w:ascii="Arial" w:hAnsi="Arial" w:cs="Arial"/>
                <w:sz w:val="22"/>
                <w:szCs w:val="22"/>
              </w:rPr>
            </w:pPr>
            <w:r w:rsidRPr="00AB126D">
              <w:rPr>
                <w:rFonts w:ascii="Arial" w:hAnsi="Arial" w:cs="Arial"/>
                <w:sz w:val="22"/>
                <w:szCs w:val="22"/>
              </w:rPr>
              <w:t>Symbol kwalifikacji</w:t>
            </w:r>
          </w:p>
        </w:tc>
        <w:tc>
          <w:tcPr>
            <w:tcW w:w="6650" w:type="dxa"/>
            <w:vAlign w:val="center"/>
          </w:tcPr>
          <w:p w14:paraId="6AE7FE49" w14:textId="77777777" w:rsidR="00DF21D7" w:rsidRPr="00AB126D" w:rsidRDefault="00DF21D7" w:rsidP="004C595D">
            <w:pPr>
              <w:pStyle w:val="Akapitzlist"/>
              <w:spacing w:before="0" w:line="240" w:lineRule="auto"/>
              <w:ind w:left="0"/>
              <w:jc w:val="center"/>
              <w:rPr>
                <w:rFonts w:ascii="Arial" w:hAnsi="Arial" w:cs="Arial"/>
                <w:sz w:val="22"/>
                <w:szCs w:val="22"/>
              </w:rPr>
            </w:pPr>
            <w:r w:rsidRPr="00AB126D">
              <w:rPr>
                <w:rFonts w:ascii="Arial" w:hAnsi="Arial" w:cs="Arial"/>
                <w:sz w:val="22"/>
                <w:szCs w:val="22"/>
              </w:rPr>
              <w:t>Istotne funkcje- parametry techniczno-eksploatacyjne/ uwagi</w:t>
            </w:r>
          </w:p>
        </w:tc>
      </w:tr>
      <w:tr w:rsidR="00DF21D7" w:rsidRPr="00AB126D" w14:paraId="4B842F5C" w14:textId="77777777" w:rsidTr="004C595D">
        <w:tc>
          <w:tcPr>
            <w:tcW w:w="563" w:type="dxa"/>
          </w:tcPr>
          <w:p w14:paraId="351697C5" w14:textId="77777777" w:rsidR="00DF21D7" w:rsidRPr="00AB126D" w:rsidRDefault="00DF21D7" w:rsidP="00DF21D7">
            <w:pPr>
              <w:pStyle w:val="Akapitzlist"/>
              <w:numPr>
                <w:ilvl w:val="0"/>
                <w:numId w:val="10"/>
              </w:numPr>
              <w:spacing w:before="0" w:line="240" w:lineRule="auto"/>
              <w:jc w:val="both"/>
              <w:rPr>
                <w:rFonts w:ascii="Arial" w:hAnsi="Arial" w:cs="Arial"/>
                <w:sz w:val="22"/>
                <w:szCs w:val="22"/>
              </w:rPr>
            </w:pPr>
          </w:p>
        </w:tc>
        <w:tc>
          <w:tcPr>
            <w:tcW w:w="1417" w:type="dxa"/>
          </w:tcPr>
          <w:p w14:paraId="3EC93C94" w14:textId="77777777" w:rsidR="00DF21D7" w:rsidRPr="00AB126D" w:rsidRDefault="00DF21D7" w:rsidP="004C595D">
            <w:pPr>
              <w:pStyle w:val="Akapitzlist"/>
              <w:spacing w:before="0" w:line="240" w:lineRule="auto"/>
              <w:ind w:left="0"/>
              <w:jc w:val="both"/>
              <w:rPr>
                <w:rFonts w:ascii="Arial" w:hAnsi="Arial" w:cs="Arial"/>
                <w:sz w:val="22"/>
                <w:szCs w:val="22"/>
              </w:rPr>
            </w:pPr>
            <w:r w:rsidRPr="00AB126D">
              <w:rPr>
                <w:rFonts w:ascii="Arial" w:hAnsi="Arial" w:cs="Arial"/>
                <w:sz w:val="22"/>
                <w:szCs w:val="22"/>
              </w:rPr>
              <w:t>INF.03</w:t>
            </w:r>
          </w:p>
        </w:tc>
        <w:tc>
          <w:tcPr>
            <w:tcW w:w="6650" w:type="dxa"/>
          </w:tcPr>
          <w:p w14:paraId="4925D5B4" w14:textId="77777777" w:rsidR="00DF21D7" w:rsidRPr="00AB126D" w:rsidRDefault="00DF21D7" w:rsidP="004C595D">
            <w:pPr>
              <w:pStyle w:val="Akapitzlist"/>
              <w:spacing w:before="0" w:line="240" w:lineRule="auto"/>
              <w:ind w:left="0"/>
              <w:jc w:val="both"/>
              <w:rPr>
                <w:rFonts w:ascii="Arial" w:hAnsi="Arial" w:cs="Arial"/>
                <w:sz w:val="22"/>
                <w:szCs w:val="22"/>
              </w:rPr>
            </w:pPr>
            <w:r w:rsidRPr="00AB126D">
              <w:rPr>
                <w:rFonts w:ascii="Arial" w:hAnsi="Arial" w:cs="Arial"/>
                <w:sz w:val="22"/>
                <w:szCs w:val="22"/>
              </w:rPr>
              <w:t>System operacyjny z rodziny Windows dla oferowanych laptopów.</w:t>
            </w:r>
          </w:p>
        </w:tc>
      </w:tr>
      <w:tr w:rsidR="00DF21D7" w:rsidRPr="00AB126D" w14:paraId="763EA6B4" w14:textId="77777777" w:rsidTr="004C595D">
        <w:tc>
          <w:tcPr>
            <w:tcW w:w="563" w:type="dxa"/>
          </w:tcPr>
          <w:p w14:paraId="2919B583" w14:textId="77777777" w:rsidR="00DF21D7" w:rsidRPr="00AB126D" w:rsidRDefault="00DF21D7" w:rsidP="00DF21D7">
            <w:pPr>
              <w:pStyle w:val="Akapitzlist"/>
              <w:numPr>
                <w:ilvl w:val="0"/>
                <w:numId w:val="10"/>
              </w:numPr>
              <w:spacing w:before="0" w:line="240" w:lineRule="auto"/>
              <w:jc w:val="both"/>
              <w:rPr>
                <w:rFonts w:ascii="Arial" w:hAnsi="Arial" w:cs="Arial"/>
                <w:sz w:val="22"/>
                <w:szCs w:val="22"/>
              </w:rPr>
            </w:pPr>
          </w:p>
        </w:tc>
        <w:tc>
          <w:tcPr>
            <w:tcW w:w="1417" w:type="dxa"/>
          </w:tcPr>
          <w:p w14:paraId="5A553B4E" w14:textId="77777777" w:rsidR="00DF21D7" w:rsidRPr="00AB126D" w:rsidRDefault="00DF21D7" w:rsidP="004C595D">
            <w:pPr>
              <w:pStyle w:val="Akapitzlist"/>
              <w:spacing w:before="0" w:line="240" w:lineRule="auto"/>
              <w:ind w:left="0"/>
              <w:jc w:val="both"/>
              <w:rPr>
                <w:rFonts w:ascii="Arial" w:hAnsi="Arial" w:cs="Arial"/>
                <w:sz w:val="22"/>
                <w:szCs w:val="22"/>
              </w:rPr>
            </w:pPr>
            <w:r w:rsidRPr="00AB126D">
              <w:rPr>
                <w:rFonts w:ascii="Arial" w:hAnsi="Arial" w:cs="Arial"/>
                <w:sz w:val="22"/>
                <w:szCs w:val="22"/>
              </w:rPr>
              <w:t>MEC.09</w:t>
            </w:r>
          </w:p>
        </w:tc>
        <w:tc>
          <w:tcPr>
            <w:tcW w:w="6650" w:type="dxa"/>
          </w:tcPr>
          <w:p w14:paraId="12D0FB93" w14:textId="77777777" w:rsidR="00DF21D7" w:rsidRPr="00AB126D" w:rsidRDefault="00DF21D7" w:rsidP="004C595D">
            <w:pPr>
              <w:pStyle w:val="Akapitzlist"/>
              <w:spacing w:before="0" w:line="240" w:lineRule="auto"/>
              <w:ind w:left="0"/>
              <w:rPr>
                <w:rFonts w:ascii="Arial" w:hAnsi="Arial" w:cs="Arial"/>
                <w:sz w:val="22"/>
                <w:szCs w:val="22"/>
              </w:rPr>
            </w:pPr>
            <w:r w:rsidRPr="00AB126D">
              <w:rPr>
                <w:rFonts w:ascii="Arial" w:hAnsi="Arial" w:cs="Arial"/>
                <w:sz w:val="22"/>
                <w:szCs w:val="22"/>
              </w:rPr>
              <w:t>System operacyjny umożliwiający działanie programów CAD.</w:t>
            </w:r>
          </w:p>
          <w:p w14:paraId="765000E1" w14:textId="77777777" w:rsidR="00DF21D7" w:rsidRPr="00AB126D" w:rsidRDefault="00DF21D7" w:rsidP="004C595D">
            <w:pPr>
              <w:pStyle w:val="Akapitzlist"/>
              <w:spacing w:before="0" w:line="240" w:lineRule="auto"/>
              <w:ind w:left="0"/>
              <w:rPr>
                <w:rFonts w:ascii="Arial" w:hAnsi="Arial" w:cs="Arial"/>
                <w:sz w:val="22"/>
                <w:szCs w:val="22"/>
              </w:rPr>
            </w:pPr>
            <w:r w:rsidRPr="00AB126D">
              <w:rPr>
                <w:rFonts w:ascii="Arial" w:hAnsi="Arial" w:cs="Arial"/>
                <w:sz w:val="22"/>
                <w:szCs w:val="22"/>
              </w:rPr>
              <w:t xml:space="preserve">W szkole posiadamy oprogramowanie Solid Edge 2019 oraz 2024 do nauczania przedmiotu „Komputerowe wspomaganie projektowania”. Na tym oprogramowaniu przeprowadzamy egzamin zawodowy w wymienionej kwalifikacji. Solid Edge </w:t>
            </w:r>
            <w:r w:rsidRPr="00AB126D">
              <w:rPr>
                <w:rFonts w:ascii="Arial" w:hAnsi="Arial" w:cs="Arial"/>
                <w:sz w:val="22"/>
                <w:szCs w:val="22"/>
              </w:rPr>
              <w:br/>
              <w:t>w wersji 2019, jak i nowszy dedykowany jest do współpracy z systemem operacyjnym Windows.</w:t>
            </w:r>
          </w:p>
        </w:tc>
      </w:tr>
      <w:tr w:rsidR="00DF21D7" w:rsidRPr="00AB126D" w14:paraId="195C4636" w14:textId="77777777" w:rsidTr="004C595D">
        <w:tc>
          <w:tcPr>
            <w:tcW w:w="563" w:type="dxa"/>
          </w:tcPr>
          <w:p w14:paraId="5C8E480B" w14:textId="77777777" w:rsidR="00DF21D7" w:rsidRPr="00AB126D" w:rsidRDefault="00DF21D7" w:rsidP="00DF21D7">
            <w:pPr>
              <w:pStyle w:val="Akapitzlist"/>
              <w:numPr>
                <w:ilvl w:val="0"/>
                <w:numId w:val="10"/>
              </w:numPr>
              <w:spacing w:before="0" w:line="240" w:lineRule="auto"/>
              <w:jc w:val="both"/>
              <w:rPr>
                <w:rFonts w:ascii="Arial" w:hAnsi="Arial" w:cs="Arial"/>
                <w:sz w:val="22"/>
                <w:szCs w:val="22"/>
              </w:rPr>
            </w:pPr>
          </w:p>
        </w:tc>
        <w:tc>
          <w:tcPr>
            <w:tcW w:w="1417" w:type="dxa"/>
          </w:tcPr>
          <w:p w14:paraId="596EA330" w14:textId="77777777" w:rsidR="00DF21D7" w:rsidRPr="00AB126D" w:rsidRDefault="00DF21D7" w:rsidP="004C595D">
            <w:pPr>
              <w:pStyle w:val="Akapitzlist"/>
              <w:spacing w:before="0" w:line="240" w:lineRule="auto"/>
              <w:ind w:left="0"/>
              <w:jc w:val="both"/>
              <w:rPr>
                <w:rFonts w:ascii="Arial" w:hAnsi="Arial" w:cs="Arial"/>
                <w:sz w:val="22"/>
                <w:szCs w:val="22"/>
              </w:rPr>
            </w:pPr>
            <w:r w:rsidRPr="00AB126D">
              <w:rPr>
                <w:rFonts w:ascii="Arial" w:hAnsi="Arial" w:cs="Arial"/>
                <w:sz w:val="22"/>
                <w:szCs w:val="22"/>
              </w:rPr>
              <w:t>ELM.01</w:t>
            </w:r>
          </w:p>
        </w:tc>
        <w:tc>
          <w:tcPr>
            <w:tcW w:w="6650" w:type="dxa"/>
          </w:tcPr>
          <w:p w14:paraId="04775670" w14:textId="77777777" w:rsidR="00DF21D7" w:rsidRPr="00AB126D" w:rsidRDefault="00DF21D7" w:rsidP="004C595D">
            <w:pPr>
              <w:pStyle w:val="Akapitzlist"/>
              <w:spacing w:before="0" w:line="240" w:lineRule="auto"/>
              <w:ind w:left="0"/>
              <w:rPr>
                <w:rFonts w:ascii="Arial" w:hAnsi="Arial" w:cs="Arial"/>
                <w:sz w:val="22"/>
                <w:szCs w:val="22"/>
              </w:rPr>
            </w:pPr>
            <w:r w:rsidRPr="00AB126D">
              <w:rPr>
                <w:rFonts w:ascii="Arial" w:hAnsi="Arial" w:cs="Arial"/>
                <w:sz w:val="22"/>
                <w:szCs w:val="22"/>
              </w:rPr>
              <w:t xml:space="preserve">Laptop z zainstalowanym systemem operacyjnym </w:t>
            </w:r>
            <w:r w:rsidRPr="00AB126D">
              <w:rPr>
                <w:rFonts w:ascii="Arial" w:hAnsi="Arial" w:cs="Arial"/>
                <w:sz w:val="22"/>
                <w:szCs w:val="22"/>
              </w:rPr>
              <w:br/>
              <w:t xml:space="preserve">i oprogramowaniem do programowania sterowników PLC. </w:t>
            </w:r>
          </w:p>
          <w:p w14:paraId="713BACAC" w14:textId="77777777" w:rsidR="00DF21D7" w:rsidRPr="00AB126D" w:rsidRDefault="00DF21D7" w:rsidP="004C595D">
            <w:pPr>
              <w:pStyle w:val="Akapitzlist"/>
              <w:spacing w:before="0" w:line="240" w:lineRule="auto"/>
              <w:ind w:left="0"/>
              <w:jc w:val="both"/>
              <w:rPr>
                <w:rFonts w:ascii="Arial" w:hAnsi="Arial" w:cs="Arial"/>
                <w:sz w:val="22"/>
                <w:szCs w:val="22"/>
              </w:rPr>
            </w:pPr>
            <w:r w:rsidRPr="00AB126D">
              <w:rPr>
                <w:rFonts w:ascii="Arial" w:hAnsi="Arial" w:cs="Arial"/>
                <w:sz w:val="22"/>
                <w:szCs w:val="22"/>
              </w:rPr>
              <w:t>W szkole pracujemy na sterownikach PLC Siemens, które programowane są za pomocą oprogramowania TIA Portal dedykowanego pod System operacyjny Windows Professional.</w:t>
            </w:r>
          </w:p>
        </w:tc>
      </w:tr>
    </w:tbl>
    <w:bookmarkEnd w:id="0"/>
    <w:bookmarkEnd w:id="1"/>
    <w:bookmarkEnd w:id="15"/>
    <w:p w14:paraId="7B8BF1CE" w14:textId="7C29A70C" w:rsidR="000569C6" w:rsidRPr="000569C6" w:rsidRDefault="000569C6" w:rsidP="000569C6">
      <w:pPr>
        <w:spacing w:before="240" w:after="0" w:line="360" w:lineRule="auto"/>
        <w:rPr>
          <w:rFonts w:ascii="Arial" w:hAnsi="Arial" w:cs="Arial"/>
          <w:color w:val="000000" w:themeColor="text1"/>
          <w:sz w:val="24"/>
          <w:lang w:eastAsia="zh-CN"/>
        </w:rPr>
      </w:pPr>
      <w:r w:rsidRPr="000569C6">
        <w:rPr>
          <w:rFonts w:ascii="Arial" w:hAnsi="Arial" w:cs="Arial"/>
          <w:color w:val="000000" w:themeColor="text1"/>
          <w:sz w:val="24"/>
          <w:lang w:eastAsia="zh-CN"/>
        </w:rPr>
        <w:t>System operacyjny: zamawiający z uwagi na posiadane oprogramowanie dziedzinowe, pakiety biurowe Microsoft Office oraz wymagania Centralnej Komisji Egzaminacyjnej określające wyposażenie stanowiska egzaminacyjnego dla zdającego w kwalifikacjach realizowanych w placówce wymaga systemu operacyjnego Windows 11 Professional 64bit. Preinstalowany fabrycznie na dysku twardym system w polskiej wersji językowej. Dostarczony nośnik OEM w lub partycja „recovery” - przygotowane przez producenta komputera do automatycznej instalacji na danej jednostce (system wraz ze sterownikami), pozwalające na ponowną instalację systemu. Klucz licencyjny powinien być zapisany na trwale w BIOS i umożliwiać instalację systemu operacyjnego bez konieczności ręcznego wpisywania klucza licencyjnego. Licencja dożywotnia (bezterminowa) – nie abonamentowa.</w:t>
      </w:r>
    </w:p>
    <w:p w14:paraId="6842C6FB" w14:textId="42C8721C" w:rsidR="002122C0" w:rsidRPr="008A4152" w:rsidRDefault="002122C0">
      <w:pPr>
        <w:rPr>
          <w:rFonts w:ascii="Arial" w:hAnsi="Arial" w:cs="Arial"/>
          <w:sz w:val="24"/>
        </w:rPr>
      </w:pPr>
    </w:p>
    <w:sectPr w:rsidR="002122C0" w:rsidRPr="008A4152" w:rsidSect="008A4152">
      <w:footerReference w:type="default" r:id="rId7"/>
      <w:footnotePr>
        <w:numRestart w:val="eachSect"/>
      </w:footnotePr>
      <w:pgSz w:w="11906" w:h="16838"/>
      <w:pgMar w:top="851" w:right="1417" w:bottom="1417" w:left="1417" w:header="708" w:footer="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98DD2" w14:textId="77777777" w:rsidR="0037362D" w:rsidRDefault="0037362D">
      <w:pPr>
        <w:spacing w:after="0"/>
      </w:pPr>
      <w:r>
        <w:separator/>
      </w:r>
    </w:p>
  </w:endnote>
  <w:endnote w:type="continuationSeparator" w:id="0">
    <w:p w14:paraId="0F1446CD" w14:textId="77777777" w:rsidR="0037362D" w:rsidRDefault="003736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rlito">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0F454" w14:textId="4CFA5C88" w:rsidR="002122C0" w:rsidRDefault="008A4152">
    <w:pPr>
      <w:jc w:val="center"/>
    </w:pPr>
    <w:r w:rsidRPr="00AA7BA5">
      <w:rPr>
        <w:noProof/>
      </w:rPr>
      <w:drawing>
        <wp:inline distT="0" distB="0" distL="0" distR="0" wp14:anchorId="3BBCB721" wp14:editId="51CA5224">
          <wp:extent cx="5760085" cy="733344"/>
          <wp:effectExtent l="0" t="0" r="0" b="0"/>
          <wp:docPr id="149667441" name="Obraz 1" descr="Obraz zawierający tekst, zrzut ekranu,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46639" name="Obraz 1" descr="Obraz zawierający tekst, zrzut ekranu, Czcionka, logo&#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733344"/>
                  </a:xfrm>
                  <a:prstGeom prst="rect">
                    <a:avLst/>
                  </a:prstGeom>
                  <a:noFill/>
                  <a:ln>
                    <a:noFill/>
                  </a:ln>
                </pic:spPr>
              </pic:pic>
            </a:graphicData>
          </a:graphic>
        </wp:inline>
      </w:drawing>
    </w:r>
    <w:r w:rsidR="00D36E86">
      <w:fldChar w:fldCharType="begin"/>
    </w:r>
    <w:r w:rsidR="00D36E86">
      <w:instrText xml:space="preserve"> PAGE </w:instrText>
    </w:r>
    <w:r w:rsidR="00D36E86">
      <w:fldChar w:fldCharType="separate"/>
    </w:r>
    <w:r w:rsidR="00D36E86">
      <w:t>1</w:t>
    </w:r>
    <w:r w:rsidR="00D36E8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61B3" w14:textId="77777777" w:rsidR="0037362D" w:rsidRDefault="0037362D">
      <w:pPr>
        <w:spacing w:after="0"/>
      </w:pPr>
      <w:r>
        <w:separator/>
      </w:r>
    </w:p>
  </w:footnote>
  <w:footnote w:type="continuationSeparator" w:id="0">
    <w:p w14:paraId="3FD58231" w14:textId="77777777" w:rsidR="0037362D" w:rsidRDefault="0037362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09A863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071059B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85AC8B1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ECE0D21"/>
    <w:multiLevelType w:val="hybridMultilevel"/>
    <w:tmpl w:val="C31A2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FE32C61"/>
    <w:multiLevelType w:val="hybridMultilevel"/>
    <w:tmpl w:val="51A81C7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D3B61F4"/>
    <w:multiLevelType w:val="hybridMultilevel"/>
    <w:tmpl w:val="521E9910"/>
    <w:lvl w:ilvl="0" w:tplc="D9CADA92">
      <w:start w:val="1"/>
      <w:numFmt w:val="decimal"/>
      <w:suff w:val="space"/>
      <w:lvlText w:val="%1."/>
      <w:lvlJc w:val="left"/>
      <w:pPr>
        <w:ind w:left="28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5388409">
    <w:abstractNumId w:val="0"/>
  </w:num>
  <w:num w:numId="2" w16cid:durableId="11129434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93951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10017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45698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30539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5873616">
    <w:abstractNumId w:val="1"/>
  </w:num>
  <w:num w:numId="8" w16cid:durableId="773087499">
    <w:abstractNumId w:val="1"/>
  </w:num>
  <w:num w:numId="9" w16cid:durableId="554048060">
    <w:abstractNumId w:val="3"/>
  </w:num>
  <w:num w:numId="10" w16cid:durableId="1119641953">
    <w:abstractNumId w:val="5"/>
  </w:num>
  <w:num w:numId="11" w16cid:durableId="10502317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2C0"/>
    <w:rsid w:val="000569C6"/>
    <w:rsid w:val="000B0D23"/>
    <w:rsid w:val="001937D1"/>
    <w:rsid w:val="001B1818"/>
    <w:rsid w:val="002122C0"/>
    <w:rsid w:val="00284767"/>
    <w:rsid w:val="00357E4B"/>
    <w:rsid w:val="0037362D"/>
    <w:rsid w:val="00434196"/>
    <w:rsid w:val="004961AC"/>
    <w:rsid w:val="008A4152"/>
    <w:rsid w:val="008B7E3B"/>
    <w:rsid w:val="008E526E"/>
    <w:rsid w:val="0098598A"/>
    <w:rsid w:val="009C3F86"/>
    <w:rsid w:val="009E71F0"/>
    <w:rsid w:val="00A34850"/>
    <w:rsid w:val="00A7266E"/>
    <w:rsid w:val="00B04628"/>
    <w:rsid w:val="00B826FB"/>
    <w:rsid w:val="00B845BD"/>
    <w:rsid w:val="00C11E0B"/>
    <w:rsid w:val="00C23C0E"/>
    <w:rsid w:val="00D36E86"/>
    <w:rsid w:val="00DC2A13"/>
    <w:rsid w:val="00DF21D7"/>
    <w:rsid w:val="00E737C9"/>
    <w:rsid w:val="00EC0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F3220"/>
  <w15:docId w15:val="{B4CD1D9F-8C22-4DA8-A8EC-42D5D17CD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rFonts w:ascii="Carlito" w:eastAsia="Carlito" w:hAnsi="Carlito" w:cs="Carlito"/>
      <w:sz w:val="22"/>
      <w:lang w:val="pl-PL" w:eastAsia="pl-PL"/>
    </w:rPr>
  </w:style>
  <w:style w:type="paragraph" w:styleId="Nagwek1">
    <w:name w:val="heading 1"/>
    <w:basedOn w:val="Normalny"/>
    <w:next w:val="Tekstpodstawowy"/>
    <w:link w:val="Nagwek1Znak"/>
    <w:uiPriority w:val="9"/>
    <w:qFormat/>
    <w:rsid w:val="00A10FD9"/>
    <w:pPr>
      <w:keepNext/>
      <w:keepLines/>
      <w:spacing w:before="360" w:after="80"/>
      <w:outlineLvl w:val="0"/>
    </w:pPr>
    <w:rPr>
      <w:b/>
      <w:color w:val="0F4761" w:themeColor="accent1" w:themeShade="BF"/>
      <w:sz w:val="40"/>
      <w:szCs w:val="40"/>
    </w:rPr>
  </w:style>
  <w:style w:type="paragraph" w:styleId="Nagwek2">
    <w:name w:val="heading 2"/>
    <w:basedOn w:val="Normalny"/>
    <w:next w:val="Tekstpodstawowy"/>
    <w:link w:val="Nagwek2Znak"/>
    <w:uiPriority w:val="9"/>
    <w:semiHidden/>
    <w:unhideWhenUsed/>
    <w:qFormat/>
    <w:rsid w:val="00A10FD9"/>
    <w:pPr>
      <w:keepNext/>
      <w:keepLines/>
      <w:spacing w:before="160" w:after="80"/>
      <w:outlineLvl w:val="1"/>
    </w:pPr>
    <w:rPr>
      <w:b/>
      <w:color w:val="0F4761" w:themeColor="accent1" w:themeShade="BF"/>
      <w:sz w:val="32"/>
      <w:szCs w:val="32"/>
    </w:rPr>
  </w:style>
  <w:style w:type="paragraph" w:styleId="Nagwek3">
    <w:name w:val="heading 3"/>
    <w:basedOn w:val="Normalny"/>
    <w:next w:val="Tekstpodstawowy"/>
    <w:link w:val="Nagwek3Znak"/>
    <w:uiPriority w:val="9"/>
    <w:semiHidden/>
    <w:unhideWhenUsed/>
    <w:qFormat/>
    <w:rsid w:val="00A10FD9"/>
    <w:pPr>
      <w:keepNext/>
      <w:keepLines/>
      <w:spacing w:before="160" w:after="80"/>
      <w:outlineLvl w:val="2"/>
    </w:pPr>
    <w:rPr>
      <w:b/>
      <w:color w:val="0F4761" w:themeColor="accent1" w:themeShade="BF"/>
      <w:sz w:val="28"/>
      <w:szCs w:val="28"/>
    </w:rPr>
  </w:style>
  <w:style w:type="paragraph" w:styleId="Nagwek4">
    <w:name w:val="heading 4"/>
    <w:basedOn w:val="Normalny"/>
    <w:next w:val="Tekstpodstawowy"/>
    <w:link w:val="Nagwek4Znak"/>
    <w:uiPriority w:val="9"/>
    <w:semiHidden/>
    <w:unhideWhenUsed/>
    <w:qFormat/>
    <w:rsid w:val="00A10FD9"/>
    <w:pPr>
      <w:keepNext/>
      <w:keepLines/>
      <w:spacing w:before="80" w:after="40"/>
      <w:outlineLvl w:val="3"/>
    </w:pPr>
    <w:rPr>
      <w:b/>
      <w:i/>
      <w:iCs/>
      <w:color w:val="0F4761" w:themeColor="accent1" w:themeShade="BF"/>
    </w:rPr>
  </w:style>
  <w:style w:type="paragraph" w:styleId="Nagwek5">
    <w:name w:val="heading 5"/>
    <w:basedOn w:val="Normalny"/>
    <w:next w:val="Tekstpodstawowy"/>
    <w:link w:val="Nagwek5Znak"/>
    <w:uiPriority w:val="9"/>
    <w:semiHidden/>
    <w:unhideWhenUsed/>
    <w:qFormat/>
    <w:rsid w:val="00A10FD9"/>
    <w:pPr>
      <w:keepNext/>
      <w:keepLines/>
      <w:spacing w:before="80" w:after="40"/>
      <w:outlineLvl w:val="4"/>
    </w:pPr>
    <w:rPr>
      <w:b/>
      <w:color w:val="0F4761" w:themeColor="accent1" w:themeShade="BF"/>
    </w:rPr>
  </w:style>
  <w:style w:type="paragraph" w:styleId="Nagwek6">
    <w:name w:val="heading 6"/>
    <w:basedOn w:val="Normalny"/>
    <w:next w:val="Tekstpodstawowy"/>
    <w:link w:val="Nagwek6Znak"/>
    <w:uiPriority w:val="9"/>
    <w:semiHidden/>
    <w:unhideWhenUsed/>
    <w:qFormat/>
    <w:rsid w:val="00A10FD9"/>
    <w:pPr>
      <w:keepNext/>
      <w:keepLines/>
      <w:spacing w:before="40" w:after="0"/>
      <w:outlineLvl w:val="5"/>
    </w:pPr>
    <w:rPr>
      <w:b/>
      <w:i/>
      <w:iCs/>
      <w:color w:val="595959" w:themeColor="text1" w:themeTint="A6"/>
    </w:rPr>
  </w:style>
  <w:style w:type="paragraph" w:styleId="Nagwek7">
    <w:name w:val="heading 7"/>
    <w:basedOn w:val="Normalny"/>
    <w:next w:val="Tekstpodstawowy"/>
    <w:link w:val="Nagwek7Znak"/>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Tekstpodstawowy"/>
    <w:link w:val="Nagwek8Znak"/>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Tekstpodstawowy"/>
    <w:link w:val="Nagwek9Znak"/>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qFormat/>
    <w:pPr>
      <w:spacing w:before="180" w:after="180"/>
    </w:pPr>
  </w:style>
  <w:style w:type="paragraph" w:customStyle="1" w:styleId="FirstParagraph">
    <w:name w:val="First Paragraph"/>
    <w:basedOn w:val="Tekstpodstawowy"/>
    <w:next w:val="Tekstpodstawowy"/>
    <w:qFormat/>
  </w:style>
  <w:style w:type="paragraph" w:customStyle="1" w:styleId="Compact">
    <w:name w:val="Compact"/>
    <w:basedOn w:val="Tekstpodstawowy"/>
    <w:qFormat/>
    <w:pPr>
      <w:spacing w:before="36" w:after="36"/>
    </w:pPr>
  </w:style>
  <w:style w:type="paragraph" w:styleId="Tytu">
    <w:name w:val="Title"/>
    <w:basedOn w:val="Normalny"/>
    <w:next w:val="Tekstpodstawowy"/>
    <w:link w:val="TytuZnak"/>
    <w:uiPriority w:val="10"/>
    <w:qFormat/>
    <w:rsid w:val="00A10FD9"/>
    <w:pPr>
      <w:spacing w:after="80"/>
      <w:contextualSpacing/>
      <w:jc w:val="center"/>
    </w:pPr>
    <w:rPr>
      <w:b/>
      <w:sz w:val="56"/>
      <w:szCs w:val="56"/>
    </w:rPr>
  </w:style>
  <w:style w:type="character" w:customStyle="1" w:styleId="TytuZnak">
    <w:name w:val="Tytuł Znak"/>
    <w:basedOn w:val="Domylnaczcionkaakapitu"/>
    <w:link w:val="Tytu"/>
    <w:uiPriority w:val="10"/>
    <w:rsid w:val="00A10FD9"/>
    <w:rPr>
      <w:rFonts w:asciiTheme="majorHAnsi" w:eastAsiaTheme="majorEastAsia" w:hAnsiTheme="majorHAnsi" w:cstheme="majorBidi"/>
      <w:sz w:val="56"/>
      <w:szCs w:val="56"/>
    </w:rPr>
  </w:style>
  <w:style w:type="paragraph" w:styleId="Podtytu">
    <w:name w:val="Subtitle"/>
    <w:basedOn w:val="Tytu"/>
    <w:next w:val="Tekstpodstawowy"/>
    <w:link w:val="PodtytuZnak"/>
    <w:uiPriority w:val="11"/>
    <w:qFormat/>
    <w:rsid w:val="00A10FD9"/>
    <w:pPr>
      <w:numPr>
        <w:ilvl w:val="1"/>
      </w:numPr>
    </w:pPr>
    <w:rPr>
      <w:rFonts w:eastAsiaTheme="majorEastAsia" w:cstheme="majorBidi"/>
      <w:spacing w:val="15"/>
      <w:sz w:val="28"/>
      <w:szCs w:val="28"/>
    </w:rPr>
  </w:style>
  <w:style w:type="character" w:customStyle="1" w:styleId="PodtytuZnak">
    <w:name w:val="Podtytuł Znak"/>
    <w:basedOn w:val="Domylnaczcionkaakapitu"/>
    <w:link w:val="Podtytu"/>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ytu"/>
    <w:next w:val="Tekstpodstawowy"/>
    <w:qFormat/>
    <w:pPr>
      <w:keepNext/>
      <w:keepLines/>
    </w:pPr>
    <w:rPr>
      <w:sz w:val="24"/>
      <w:szCs w:val="24"/>
    </w:rPr>
  </w:style>
  <w:style w:type="paragraph" w:styleId="Data">
    <w:name w:val="Date"/>
    <w:basedOn w:val="Tytu"/>
    <w:next w:val="Tekstpodstawowy"/>
    <w:qFormat/>
    <w:pPr>
      <w:keepNext/>
      <w:keepLines/>
    </w:pPr>
    <w:rPr>
      <w:sz w:val="24"/>
      <w:szCs w:val="24"/>
    </w:rPr>
  </w:style>
  <w:style w:type="paragraph" w:customStyle="1" w:styleId="AbstractTitle">
    <w:name w:val="Abstract Title"/>
    <w:basedOn w:val="Normalny"/>
    <w:next w:val="Abstract"/>
    <w:qFormat/>
    <w:pPr>
      <w:keepNext/>
      <w:keepLines/>
      <w:spacing w:before="300" w:after="0"/>
      <w:jc w:val="center"/>
    </w:pPr>
    <w:rPr>
      <w:b/>
      <w:sz w:val="20"/>
      <w:szCs w:val="20"/>
    </w:rPr>
  </w:style>
  <w:style w:type="paragraph" w:customStyle="1" w:styleId="Abstract">
    <w:name w:val="Abstract"/>
    <w:basedOn w:val="Normalny"/>
    <w:next w:val="Tekstpodstawowy"/>
    <w:qFormat/>
    <w:pPr>
      <w:keepNext/>
      <w:keepLines/>
      <w:spacing w:before="100" w:after="300"/>
    </w:pPr>
    <w:rPr>
      <w:sz w:val="20"/>
      <w:szCs w:val="20"/>
    </w:rPr>
  </w:style>
  <w:style w:type="paragraph" w:styleId="Bibliografia">
    <w:name w:val="Bibliography"/>
    <w:basedOn w:val="Normalny"/>
    <w:qFormat/>
  </w:style>
  <w:style w:type="character" w:customStyle="1" w:styleId="Nagwek1Znak">
    <w:name w:val="Nagłówek 1 Znak"/>
    <w:basedOn w:val="Domylnaczcionkaakapitu"/>
    <w:link w:val="Nagwek1"/>
    <w:uiPriority w:val="9"/>
    <w:rsid w:val="00A10FD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10FD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10FD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10FD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10FD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10FD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10FD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10FD9"/>
    <w:rPr>
      <w:rFonts w:eastAsiaTheme="majorEastAsia" w:cstheme="majorBidi"/>
      <w:color w:val="272727" w:themeColor="text1" w:themeTint="D8"/>
    </w:rPr>
  </w:style>
  <w:style w:type="paragraph" w:styleId="Tekstblokowy">
    <w:name w:val="Block Text"/>
    <w:basedOn w:val="Tekstpodstawowy"/>
    <w:next w:val="Tekstpodstawowy"/>
    <w:uiPriority w:val="9"/>
    <w:unhideWhenUsed/>
    <w:qFormat/>
    <w:pPr>
      <w:spacing w:before="100" w:after="100"/>
      <w:ind w:left="480" w:right="480"/>
    </w:pPr>
  </w:style>
  <w:style w:type="paragraph" w:styleId="Tekstprzypisudolnego">
    <w:name w:val="footnote text"/>
    <w:basedOn w:val="Normalny"/>
    <w:uiPriority w:val="9"/>
    <w:unhideWhenUsed/>
    <w:qFormat/>
  </w:style>
  <w:style w:type="paragraph" w:customStyle="1" w:styleId="FootnoteBlockText">
    <w:name w:val="Footnote Block Text"/>
    <w:basedOn w:val="Tekstprzypisudolnego"/>
    <w:next w:val="Tekstprzypisudolnego"/>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ny"/>
    <w:next w:val="Definition"/>
    <w:pPr>
      <w:keepNext/>
      <w:keepLines/>
      <w:spacing w:after="0"/>
    </w:pPr>
    <w:rPr>
      <w:b/>
    </w:rPr>
  </w:style>
  <w:style w:type="paragraph" w:customStyle="1" w:styleId="Definition">
    <w:name w:val="Definition"/>
    <w:basedOn w:val="Normalny"/>
  </w:style>
  <w:style w:type="paragraph" w:styleId="Legenda">
    <w:name w:val="caption"/>
    <w:basedOn w:val="Normalny"/>
    <w:link w:val="LegendaZnak"/>
    <w:pPr>
      <w:spacing w:after="120"/>
    </w:pP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ny"/>
  </w:style>
  <w:style w:type="paragraph" w:customStyle="1" w:styleId="CaptionedFigure">
    <w:name w:val="Captioned Figure"/>
    <w:basedOn w:val="Figure"/>
    <w:pPr>
      <w:keepNext/>
    </w:pPr>
  </w:style>
  <w:style w:type="character" w:customStyle="1" w:styleId="LegendaZnak">
    <w:name w:val="Legenda Znak"/>
    <w:basedOn w:val="Domylnaczcionkaakapitu"/>
    <w:link w:val="Legenda"/>
  </w:style>
  <w:style w:type="character" w:customStyle="1" w:styleId="VerbatimChar">
    <w:name w:val="Verbatim Char"/>
    <w:basedOn w:val="LegendaZnak"/>
    <w:link w:val="SourceCode"/>
    <w:rPr>
      <w:rFonts w:ascii="Consolas" w:hAnsi="Consolas"/>
      <w:sz w:val="22"/>
    </w:rPr>
  </w:style>
  <w:style w:type="character" w:customStyle="1" w:styleId="SectionNumber">
    <w:name w:val="Section Number"/>
    <w:basedOn w:val="LegendaZnak"/>
  </w:style>
  <w:style w:type="character" w:styleId="Odwoanieprzypisudolnego">
    <w:name w:val="footnote reference"/>
    <w:basedOn w:val="LegendaZnak"/>
    <w:rPr>
      <w:vertAlign w:val="superscript"/>
    </w:rPr>
  </w:style>
  <w:style w:type="character" w:styleId="Hipercze">
    <w:name w:val="Hyperlink"/>
    <w:basedOn w:val="LegendaZnak"/>
    <w:rPr>
      <w:color w:val="156082" w:themeColor="accent1"/>
    </w:rPr>
  </w:style>
  <w:style w:type="paragraph" w:styleId="Nagwekspisutreci">
    <w:name w:val="TOC Heading"/>
    <w:basedOn w:val="Nagwek1"/>
    <w:next w:val="Tekstpodstawowy"/>
    <w:uiPriority w:val="39"/>
    <w:unhideWhenUsed/>
    <w:qFormat/>
    <w:pPr>
      <w:spacing w:before="240" w:line="259" w:lineRule="auto"/>
      <w:outlineLvl w:val="9"/>
    </w:pPr>
    <w:rPr>
      <w:rFonts w:asciiTheme="majorHAnsi" w:eastAsiaTheme="majorEastAsia" w:hAnsiTheme="majorHAnsi" w:cstheme="majorBidi"/>
      <w:b w:val="0"/>
    </w:rPr>
  </w:style>
  <w:style w:type="paragraph" w:customStyle="1" w:styleId="SourceCode">
    <w:name w:val="Source Code"/>
    <w:basedOn w:val="Normalny"/>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yteHipercze">
    <w:name w:val="FollowedHyperlink"/>
    <w:basedOn w:val="Domylnaczcionkaakapitu"/>
    <w:rsid w:val="008A4152"/>
    <w:rPr>
      <w:color w:val="96607D" w:themeColor="followedHyperlink"/>
      <w:u w:val="single"/>
    </w:rPr>
  </w:style>
  <w:style w:type="paragraph" w:styleId="Nagwek">
    <w:name w:val="header"/>
    <w:basedOn w:val="Normalny"/>
    <w:link w:val="NagwekZnak"/>
    <w:rsid w:val="008A4152"/>
    <w:pPr>
      <w:tabs>
        <w:tab w:val="center" w:pos="4536"/>
        <w:tab w:val="right" w:pos="9072"/>
      </w:tabs>
      <w:spacing w:after="0"/>
    </w:pPr>
  </w:style>
  <w:style w:type="character" w:customStyle="1" w:styleId="NagwekZnak">
    <w:name w:val="Nagłówek Znak"/>
    <w:basedOn w:val="Domylnaczcionkaakapitu"/>
    <w:link w:val="Nagwek"/>
    <w:rsid w:val="008A4152"/>
    <w:rPr>
      <w:rFonts w:ascii="Carlito" w:eastAsia="Carlito" w:hAnsi="Carlito" w:cs="Carlito"/>
      <w:sz w:val="22"/>
      <w:lang w:val="pl-PL" w:eastAsia="pl-PL"/>
    </w:rPr>
  </w:style>
  <w:style w:type="paragraph" w:styleId="Stopka">
    <w:name w:val="footer"/>
    <w:basedOn w:val="Normalny"/>
    <w:link w:val="StopkaZnak"/>
    <w:rsid w:val="008A4152"/>
    <w:pPr>
      <w:tabs>
        <w:tab w:val="center" w:pos="4536"/>
        <w:tab w:val="right" w:pos="9072"/>
      </w:tabs>
      <w:spacing w:after="0"/>
    </w:pPr>
  </w:style>
  <w:style w:type="character" w:customStyle="1" w:styleId="StopkaZnak">
    <w:name w:val="Stopka Znak"/>
    <w:basedOn w:val="Domylnaczcionkaakapitu"/>
    <w:link w:val="Stopka"/>
    <w:rsid w:val="008A4152"/>
    <w:rPr>
      <w:rFonts w:ascii="Carlito" w:eastAsia="Carlito" w:hAnsi="Carlito" w:cs="Carlito"/>
      <w:sz w:val="22"/>
      <w:lang w:val="pl-PL" w:eastAsia="pl-PL"/>
    </w:rPr>
  </w:style>
  <w:style w:type="paragraph" w:styleId="Akapitzlist">
    <w:name w:val="List Paragraph"/>
    <w:aliases w:val="Wypunktowanie,L1,Numerowanie,2 heading,A_wyliczenie,K-P_odwolanie,Akapit z listą5,maz_wyliczenie,opis dzialania,wypunktowanie,CW_Lista,MOC_Treść poziom 2,Akapit z listą1,Punktowanie,MOC_Treść poziom 3,Akapit z listą 1,List bullet,lp1,l"/>
    <w:basedOn w:val="Normalny"/>
    <w:link w:val="AkapitzlistZnak"/>
    <w:qFormat/>
    <w:rsid w:val="008E526E"/>
    <w:pPr>
      <w:spacing w:before="100" w:line="276" w:lineRule="auto"/>
      <w:ind w:left="720"/>
      <w:contextualSpacing/>
    </w:pPr>
    <w:rPr>
      <w:rFonts w:asciiTheme="minorHAnsi" w:eastAsiaTheme="minorEastAsia" w:hAnsiTheme="minorHAnsi" w:cstheme="minorBidi"/>
      <w:sz w:val="20"/>
      <w:szCs w:val="20"/>
      <w:lang w:eastAsia="en-US"/>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MOC_Treść poziom 2 Znak,Punktowanie Znak"/>
    <w:link w:val="Akapitzlist"/>
    <w:uiPriority w:val="34"/>
    <w:qFormat/>
    <w:locked/>
    <w:rsid w:val="008E526E"/>
    <w:rPr>
      <w:sz w:val="20"/>
      <w:szCs w:val="20"/>
      <w:lang w:val="pl-PL" w:eastAsia="en-US"/>
    </w:rPr>
  </w:style>
  <w:style w:type="table" w:styleId="Tabela-Siatka">
    <w:name w:val="Table Grid"/>
    <w:basedOn w:val="Standardowy"/>
    <w:uiPriority w:val="39"/>
    <w:rsid w:val="00DF21D7"/>
    <w:pPr>
      <w:spacing w:before="100" w:after="0"/>
    </w:pPr>
    <w:rPr>
      <w:sz w:val="22"/>
      <w:szCs w:val="22"/>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2058</Words>
  <Characters>12354</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Lukasz Kobeszko</dc:creator>
  <cp:keywords/>
  <cp:lastModifiedBy>Lukasz Kobeszko</cp:lastModifiedBy>
  <cp:revision>20</cp:revision>
  <dcterms:created xsi:type="dcterms:W3CDTF">2026-10-18T14:30:00Z</dcterms:created>
  <dcterms:modified xsi:type="dcterms:W3CDTF">2026-10-20T18:41:00Z</dcterms:modified>
</cp:coreProperties>
</file>