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1 do SWZ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FORMULARZ OFERTOWY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Dostawa wyposażenia meblowego oraz sprzętu komputerowego, sieciowego i biurowego wraz z oprogramowaniem dla Zespołu Szkół Centrum Kształcenia Rolniczego im. chor. Jana Szymańskiego w Marianowie</w:t>
      </w:r>
    </w:p>
    <w:p>
      <w:pPr>
        <w:pStyle w:val="Normal"/>
        <w:keepNext/>
        <w:widowControl/>
        <w:spacing w:after="120" w:before="14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>1. Dane wykonawcy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Wykonawca: 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Adres siedziby: 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NIP albo inny numer identyfikacyjny: ............................ REGON: 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KRS albo rejestr: 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E-mail do kontaktu: ..................................................... Telefon: 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Osoba uprawniona do reprezentacji: 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Wykonawcy wspólnie ubiegający się o zamówienie i pełnomocnik (jeżeli dotyczy):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...........................................................................................................................................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Rodzaj przedsiębiorcy: mikro / mały / średni / inny (pozostawić właściwe).</w:t>
      </w:r>
    </w:p>
    <w:p>
      <w:pPr>
        <w:pStyle w:val="Normal"/>
        <w:keepNext/>
        <w:widowControl/>
        <w:spacing w:after="120" w:before="14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>2. Zakres oferty, cena i gwarancja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Składamy ofertę na część I / część II / obie części (pozostawić właściwe).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907"/>
        <w:gridCol w:w="2098"/>
        <w:gridCol w:w="1757"/>
        <w:gridCol w:w="2098"/>
        <w:gridCol w:w="2778"/>
      </w:tblGrid>
      <w:tr>
        <w:trPr>
          <w:trHeight w:val="397" w:hRule="atLeast"/>
          <w:cantSplit/>
          <w:tblHeader/>
        </w:trPr>
        <w:tc>
          <w:tcPr>
            <w:tcW w:type="dxa" w:w="90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Część</w:t>
            </w:r>
          </w:p>
        </w:tc>
        <w:tc>
          <w:tcPr>
            <w:tcW w:type="dxa" w:w="209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Cena netto PLN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VAT PLN</w:t>
            </w:r>
          </w:p>
        </w:tc>
        <w:tc>
          <w:tcPr>
            <w:tcW w:type="dxa" w:w="209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Cena brutto PLN</w:t>
            </w:r>
          </w:p>
        </w:tc>
        <w:tc>
          <w:tcPr>
            <w:tcW w:type="dxa" w:w="277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Gwarancja w miesiącach</w:t>
            </w:r>
          </w:p>
        </w:tc>
      </w:tr>
      <w:tr>
        <w:trPr>
          <w:trHeight w:val="567" w:hRule="atLeast"/>
          <w:cantSplit/>
        </w:trPr>
        <w:tc>
          <w:tcPr>
            <w:tcW w:type="dxa" w:w="90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</w:t>
            </w:r>
          </w:p>
        </w:tc>
        <w:tc>
          <w:tcPr>
            <w:tcW w:type="dxa" w:w="209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  <w:tc>
          <w:tcPr>
            <w:tcW w:type="dxa" w:w="209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  <w:tc>
          <w:tcPr>
            <w:tcW w:type="dxa" w:w="277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</w:tr>
      <w:tr>
        <w:trPr>
          <w:trHeight w:val="567" w:hRule="atLeast"/>
          <w:cantSplit/>
        </w:trPr>
        <w:tc>
          <w:tcPr>
            <w:tcW w:type="dxa" w:w="90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II</w:t>
            </w:r>
          </w:p>
        </w:tc>
        <w:tc>
          <w:tcPr>
            <w:tcW w:type="dxa" w:w="209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  <w:tc>
          <w:tcPr>
            <w:tcW w:type="dxa" w:w="209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  <w:tc>
          <w:tcPr>
            <w:tcW w:type="dxa" w:w="2778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</w:t>
            </w:r>
          </w:p>
        </w:tc>
      </w:tr>
    </w:tbl>
    <w:p>
      <w:pPr>
        <w:pStyle w:val="Normal"/>
        <w:keepNext w:val="0"/>
        <w:widowControl/>
        <w:spacing w:after="40" w:before="0" w:line="254" w:lineRule="auto"/>
        <w:jc w:val="left"/>
        <w:rPr>
          <w:sz w:val="6"/>
        </w:rPr>
      </w:pPr>
      <w:r>
        <w:rPr>
          <w:rFonts w:ascii="Times New Roman" w:hAnsi="Times New Roman" w:eastAsia="Times New Roman" w:cs="Times New Roman"/>
          <w:b w:val="0"/>
          <w:color w:val="000000"/>
          <w:sz w:val="6"/>
        </w:rPr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Dla części nieobjętej ofertą należy wpisać „nie składamy oferty”. Gwarancja: minimum 24 miesiące, punktowanie do 48 miesięcy, zgodnie z rozdziałem XVI SWZ. Ten sam okres należy wskazać w formularzu interaktywnym Platformy. Brak wpisu w obu formularzach oznacza 24 miesiące i 20 pkt; gdy jedno pole jest puste, uwzględnia się jednoznaczną deklarację z drugiego formularza. Rozbieżności ocenia się zgodnie z rozdziałem XIII ust. 6 SWZ. Punktacja: 24 miesiące — 20 pkt; 36 miesięcy — 30 pkt; 48 miesięcy i więcej — 40 pkt. Okres ponad 48 miesięcy wiąże Wykonawcę, choć nie zwiększa punktacji.</w:t>
      </w:r>
    </w:p>
    <w:p>
      <w:pPr>
        <w:pStyle w:val="Normal"/>
        <w:keepNext w:val="0"/>
        <w:widowControl/>
        <w:spacing w:after="0" w:before="140" w:line="254" w:lineRule="auto"/>
        <w:jc w:val="left"/>
        <w:rPr>
          <w:sz w:val="20"/>
        </w:rPr>
      </w:pPr>
      <w:r>
        <w:rPr>
          <w:rFonts w:ascii="Times New Roman" w:hAnsi="Times New Roman" w:eastAsia="Times New Roman" w:cs="Times New Roman"/>
          <w:b w:val="0"/>
          <w:color w:val="000000"/>
          <w:sz w:val="20"/>
        </w:rPr>
        <w:t>Oświadczenia wykonawcy stanowią dalszą część formularza ofertowego.</w:t>
      </w:r>
    </w:p>
    <w:p>
      <w:pPr>
        <w:spacing w:before="0" w:after="0" w:line="20" w:lineRule="exact"/>
        <w:sectPr>
          <w:headerReference w:type="default" r:id="rId9"/>
          <w:footerReference w:type="default" r:id="rId10"/>
          <w:headerReference w:type="first" r:id="rId11"/>
          <w:footerReference w:type="first" r:id="rId12"/>
          <w:headerReference w:type="even" r:id="rId13"/>
          <w:footerReference w:type="even" r:id="rId14"/>
          <w:pgSz w:w="11906" w:h="16838"/>
          <w:pgMar w:top="1020" w:right="1134" w:bottom="1020" w:left="1134" w:header="397" w:footer="397" w:gutter="0"/>
          <w:cols w:space="720"/>
          <w:docGrid w:linePitch="360"/>
        </w:sectPr>
      </w:pPr>
    </w:p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1 do SWZ — ciąg dalszy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OŚWIADCZENIA WYKONAWCY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1.</w:t>
        <w:tab/>
        <w:t>Oferujemy wykonanie całego zakresu wybranej części za wskazaną cenę, w terminie określonym w SWZ, zgodnie z OPZ i PPU. Cena obejmuje wszystkie wymagane koszty.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2.</w:t>
        <w:tab/>
        <w:t>Zapoznaliśmy się z dokumentacją i opublikowanymi zmianami. Akceptujemy PPU i zobowiązujemy się do zawarcia umowy w przypadku wyboru oferty. Pozostajemy związani ofertą do daty określonej w SWZ.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3.</w:t>
        <w:tab/>
        <w:t>Oferowany przedmiot określono w formularzu cenowym i załączonych kartach lub zestawieniu technicznym. Wskazane modele, konfiguracje i parametry stanowią treść naszej oferty.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4.</w:t>
        <w:tab/>
        <w:t>Podwykonawcy i powierzany zakres (albo „nie dotyczy”): 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...........................................................................................................................................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5.</w:t>
        <w:tab/>
        <w:t>Wybór naszej oferty prowadzi / nie prowadzi do powstania obowiązku podatkowego Zamawiającego w rozumieniu art. 225 ustawy Pzp. Jeśli prowadzi: nazwa towaru/usługi, wartość netto i właściwa stawka podatku: 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6.</w:t>
        <w:tab/>
        <w:t>Wyjaśnienie zastosowanych stawek VAT, jeżeli odbiegają od wskazanego w SWZ założenia dla zestawów komputerowych lub wymagają szczególnego uzasadnienia: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...........................................................................................................................................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7.</w:t>
        <w:tab/>
        <w:t>Informacje zastrzeżone jako tajemnica przedsiębiorstwa (albo „nie dotyczy”): 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Uzasadnienie i wyodrębnione dokumenty załączono do oferty, jeżeli dokonano zastrzeżenia.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8.</w:t>
        <w:tab/>
        <w:t>Wykonaliśmy obowiązki informacyjne z art. 13 lub 14 RODO wobec osób, których dane przekazujemy, chyba że zachodzi przewidziany prawem wyjątek.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9.</w:t>
        <w:tab/>
        <w:t>Dokumenty rejestrowe dostępne w bezpłatnej bazie: adres i dane do wyszukania 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...........................................................................................................................................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Załączniki do oferty: 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Data: ..........................   Oferta wymaga właściwego podpisu elektronicznego.</w:t>
      </w:r>
    </w:p>
    <w:p>
      <w:pPr>
        <w:spacing w:before="0" w:after="0" w:line="20" w:lineRule="exact"/>
        <w:sectPr>
          <w:pgSz w:w="11906" w:h="16838"/>
          <w:pgMar w:top="1020" w:right="1134" w:bottom="1020" w:left="1134" w:header="397" w:footer="397" w:gutter="0"/>
          <w:cols w:space="720"/>
          <w:docGrid w:linePitch="360"/>
        </w:sectPr>
      </w:pPr>
    </w:p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1 do SWZ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FORMULARZ CENOWY — CZĘŚĆ I</w:t>
      </w:r>
    </w:p>
    <w:p>
      <w:pPr>
        <w:pStyle w:val="Normal"/>
        <w:keepNext w:val="0"/>
        <w:widowControl/>
        <w:spacing w:after="14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WYPOSAŻENIE 29 POKOI DWUOSOBOWYCH INTERNATU ORAZ GABINETU PEDAGOGA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Każdą pozycję należy wycenić. Cena jednostkowa obejmuje wymagany zakres świadczeń związanych z daną pozycją. Jednostka M11 oznacza cały komplet dwóch segmentów. Kwoty w PLN. Wartość netto = ilość × cena jednostkowa netto; VAT i brutto obliczyć według SWZ.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709"/>
        <w:gridCol w:w="4734"/>
        <w:gridCol w:w="1020"/>
        <w:gridCol w:w="1701"/>
        <w:gridCol w:w="1701"/>
        <w:gridCol w:w="964"/>
        <w:gridCol w:w="1757"/>
        <w:gridCol w:w="1984"/>
      </w:tblGrid>
      <w:tr>
        <w:trPr>
          <w:trHeight w:val="397" w:hRule="atLeast"/>
          <w:cantSplit/>
          <w:tblHeader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Kod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Przedmiot wyceny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Ilość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Cena jednostkowa</w:t>
              <w:br/>
              <w:t>netto [zł]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Wartość netto</w:t>
              <w:br/>
              <w:t>[zł]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Stawka</w:t>
              <w:br/>
              <w:t>VAT [%]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Kwota VAT</w:t>
              <w:br/>
              <w:t>[zł]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Wartość brutto</w:t>
              <w:br/>
              <w:t>[zł]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M01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Stelaż metalowy łóżka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M02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Materac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M03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Zagłówek tapicerowany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M04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Szuflada pod łóżko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116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M05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Biurko do pokoju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M06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Szafa ubraniowa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M08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Słupek gospodarczy głębokość 450 mm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29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M09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Słupek książkowy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29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M10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Szafka nocna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M11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Blenda dwuczęściowa o łącznej długości około 3500 mm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kpl.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M12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Krzesło na czterech nogach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58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</w:tbl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  <w:pageBreakBefore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FORMULARZ CENOWY — CZĘŚĆ I — CIĄG DALSZY</w:t>
      </w:r>
    </w:p>
    <w:p>
      <w:pPr>
        <w:pStyle w:val="Normal"/>
        <w:keepNext w:val="0"/>
        <w:widowControl/>
        <w:spacing w:after="14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WYPOSAŻENIE GABINETU PEDAGOGA SZKOLNEGO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709"/>
        <w:gridCol w:w="4734"/>
        <w:gridCol w:w="1020"/>
        <w:gridCol w:w="1701"/>
        <w:gridCol w:w="1701"/>
        <w:gridCol w:w="964"/>
        <w:gridCol w:w="1757"/>
        <w:gridCol w:w="1984"/>
      </w:tblGrid>
      <w:tr>
        <w:trPr>
          <w:trHeight w:val="397" w:hRule="atLeast"/>
          <w:cantSplit/>
          <w:tblHeader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Kod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Przedmiot wyceny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Ilość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Cena jednostkowa</w:t>
              <w:br/>
              <w:t>netto [zł]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Wartość netto</w:t>
              <w:br/>
              <w:t>[zł]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Stawka</w:t>
              <w:br/>
              <w:t>VAT [%]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Kwota VAT</w:t>
              <w:br/>
              <w:t>[zł]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Wartość brutto</w:t>
              <w:br/>
              <w:t>[zł]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M15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Biurko do gabinetu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M16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Przegroda między biurkami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1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M17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Szafka gospodarcza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1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M18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Kontener biurkowy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M19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Szafa biurowa przesuwna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M20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Tablica korkowa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1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M21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Wieszak ubraniowy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1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M22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Blenda za biurkami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1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  <w:tr>
        <w:trPr>
          <w:trHeight w:val="283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M23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Krzesło obrotowe do gabinetu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</w:t>
            </w:r>
          </w:p>
        </w:tc>
      </w:tr>
    </w:tbl>
    <w:p>
      <w:pPr>
        <w:pStyle w:val="Normal"/>
        <w:keepNext w:val="0"/>
        <w:widowControl/>
        <w:spacing w:after="40" w:before="0" w:line="254" w:lineRule="auto"/>
        <w:jc w:val="left"/>
        <w:rPr>
          <w:sz w:val="6"/>
        </w:rPr>
      </w:pPr>
      <w:r>
        <w:rPr>
          <w:rFonts w:ascii="Times New Roman" w:hAnsi="Times New Roman" w:eastAsia="Times New Roman" w:cs="Times New Roman"/>
          <w:b w:val="0"/>
          <w:color w:val="000000"/>
          <w:sz w:val="6"/>
        </w:rPr>
      </w:r>
    </w:p>
    <w:p>
      <w:pPr>
        <w:pStyle w:val="Normal"/>
        <w:keepNext w:val="0"/>
        <w:widowControl/>
        <w:spacing w:after="14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>ŁĄCZNA CENA CZĘŚCI I — POKOJE DWUOSOBOWE I GABINET PEDAGOGA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4859"/>
        <w:gridCol w:w="4853"/>
        <w:gridCol w:w="4859"/>
      </w:tblGrid>
      <w:tr>
        <w:trPr>
          <w:trHeight w:val="397" w:hRule="atLeast"/>
          <w:cantSplit/>
          <w:tblHeader/>
        </w:trPr>
        <w:tc>
          <w:tcPr>
            <w:tcW w:type="dxa" w:w="485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Razem netto</w:t>
            </w:r>
          </w:p>
        </w:tc>
        <w:tc>
          <w:tcPr>
            <w:tcW w:type="dxa" w:w="4853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Razem VAT</w:t>
            </w:r>
          </w:p>
        </w:tc>
        <w:tc>
          <w:tcPr>
            <w:tcW w:type="dxa" w:w="485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Razem brutto</w:t>
            </w:r>
          </w:p>
        </w:tc>
      </w:tr>
      <w:tr>
        <w:trPr>
          <w:trHeight w:val="283" w:hRule="atLeast"/>
          <w:cantSplit/>
        </w:trPr>
        <w:tc>
          <w:tcPr>
            <w:tcW w:type="dxa" w:w="485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................................</w:t>
            </w:r>
          </w:p>
        </w:tc>
        <w:tc>
          <w:tcPr>
            <w:tcW w:type="dxa" w:w="4853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................................</w:t>
            </w:r>
          </w:p>
        </w:tc>
        <w:tc>
          <w:tcPr>
            <w:tcW w:type="dxa" w:w="485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................................</w:t>
            </w:r>
          </w:p>
        </w:tc>
      </w:tr>
    </w:tbl>
    <w:p>
      <w:pPr>
        <w:pStyle w:val="Normal"/>
        <w:keepNext w:val="0"/>
        <w:widowControl/>
        <w:spacing w:after="40" w:before="0" w:line="254" w:lineRule="auto"/>
        <w:jc w:val="left"/>
        <w:rPr>
          <w:sz w:val="6"/>
        </w:rPr>
      </w:pPr>
      <w:r>
        <w:rPr>
          <w:rFonts w:ascii="Times New Roman" w:hAnsi="Times New Roman" w:eastAsia="Times New Roman" w:cs="Times New Roman"/>
          <w:b w:val="0"/>
          <w:color w:val="000000"/>
          <w:sz w:val="6"/>
        </w:rPr>
      </w:r>
    </w:p>
    <w:p>
      <w:pPr>
        <w:spacing w:before="0" w:after="0" w:line="20" w:lineRule="exact"/>
        <w:sectPr>
          <w:pgSz w:w="16838" w:h="11906" w:orient="landscape"/>
          <w:pgMar w:top="964" w:right="1134" w:bottom="907" w:left="1134" w:header="397" w:footer="397" w:gutter="0"/>
          <w:cols w:space="720"/>
          <w:docGrid w:linePitch="360"/>
        </w:sectPr>
      </w:pPr>
    </w:p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1 do SWZ — część I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IDENTYFIKACJA OFEROWANYCH MEBLI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Identyfikacja mebli: przy wyrobach katalogowych wskazać producenta i model; przy wykonaniu na zamówienie wskazać wykonawcę/producenta i oznaczenie załączonej specyfikacji. Specyfikacja musi obejmować wszystkie pozycje formularza cenowego części I i oferowane parametry. Tabelę identyfikacyjną można rozszerzyć o potrzebne wiersze.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964"/>
        <w:gridCol w:w="4706"/>
        <w:gridCol w:w="3969"/>
      </w:tblGrid>
      <w:tr>
        <w:trPr>
          <w:trHeight w:val="397" w:hRule="atLeast"/>
          <w:cantSplit/>
          <w:tblHeader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Kody pozycji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Producent i model albo wykonanie na zamówienie</w:t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Dokument techniczny i numer strony</w:t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M01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M02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M03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M04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M05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M06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M08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M09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M10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M11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M12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M15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M16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M17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M18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M19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M20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M21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M22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  <w:tr>
        <w:trPr>
          <w:trHeight w:val="765" w:hRule="atLeast"/>
          <w:cantSplit/>
        </w:trPr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 xml:space="preserve">M23</w:t>
            </w:r>
          </w:p>
        </w:tc>
        <w:tc>
          <w:tcPr>
            <w:tcW w:type="dxa" w:w="4706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  <w:tc>
          <w:tcPr>
            <w:tcW w:type="dxa" w:w="396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  <w:r>
              <w:t xml:space="preserve"/>
            </w:r>
          </w:p>
        </w:tc>
      </w:tr>
    </w:tbl>
    <w:p>
      <w:pPr>
        <w:pStyle w:val="Normal"/>
        <w:keepNext w:val="0"/>
        <w:widowControl/>
        <w:spacing w:after="40" w:before="0" w:line="254" w:lineRule="auto"/>
        <w:jc w:val="left"/>
        <w:rPr>
          <w:sz w:val="6"/>
        </w:rPr>
      </w:pPr>
      <w:r>
        <w:rPr>
          <w:rFonts w:ascii="Times New Roman" w:hAnsi="Times New Roman" w:eastAsia="Times New Roman" w:cs="Times New Roman"/>
          <w:b w:val="0"/>
          <w:color w:val="000000"/>
          <w:sz w:val="6"/>
        </w:rPr>
      </w:r>
    </w:p>
    <w:p>
      <w:pPr>
        <w:spacing w:before="0" w:after="0" w:line="20" w:lineRule="exact"/>
        <w:sectPr>
          <w:pgSz w:w="11906" w:h="16838"/>
          <w:pgMar w:top="1020" w:right="1134" w:bottom="1020" w:left="1134" w:header="397" w:footer="397" w:gutter="0"/>
          <w:cols w:space="720"/>
          <w:docGrid w:linePitch="360"/>
        </w:sectPr>
      </w:pPr>
    </w:p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1 do SWZ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FORMULARZ CENOWY — CZĘŚĆ II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0"/>
        </w:rPr>
      </w:pPr>
      <w:r>
        <w:rPr>
          <w:rFonts w:ascii="Times New Roman" w:hAnsi="Times New Roman" w:eastAsia="Times New Roman" w:cs="Times New Roman"/>
          <w:b w:val="0"/>
          <w:color w:val="000000"/>
          <w:sz w:val="20"/>
        </w:rPr>
        <w:t>W cenie komputerów należy ująć system i akcesoria wymagane OPZ, z prawidłowym rozliczeniem VAT. Jeśli przepisy wymagają wyodrębnienia licencji lub usługi, należy podać ją jako podpozycję z własną stawką i wartością, bez zwiększania liczby zestawów. IT03 to odrębne 20 licencji pakietu biurowego. Kwoty w PLN.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709"/>
        <w:gridCol w:w="4734"/>
        <w:gridCol w:w="1020"/>
        <w:gridCol w:w="1701"/>
        <w:gridCol w:w="1701"/>
        <w:gridCol w:w="964"/>
        <w:gridCol w:w="1757"/>
        <w:gridCol w:w="1984"/>
      </w:tblGrid>
      <w:tr>
        <w:trPr>
          <w:trHeight w:val="397" w:hRule="atLeast"/>
          <w:cantSplit/>
          <w:tblHeader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Kod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Przedmiot wyceny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Cena jednostkowa</w:t>
              <w:br/>
              <w:t>netto [zł]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Wartość netto</w:t>
              <w:br/>
              <w:t>[zł]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Stawka</w:t>
              <w:br/>
              <w:t>VAT [%]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Kwota VAT</w:t>
              <w:br/>
              <w:t>[zł]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Wartość brutto</w:t>
              <w:br/>
              <w:t>[zł]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IT01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Zestaw komputerowy dydaktyczny komputer i monitor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39 kpl.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IT02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Zestaw komputerowy administracyjny komputer i monitor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 kpl.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IT03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Pakiet biurowy EDU Office LTSC Standard 2024 lub równoważny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20 lic.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IT04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Drukarka laserowa monochromatyczna A4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IT05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Niszczarka biurowa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IT06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Skaner do dokumentów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IT07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Drukarka etykiet i kodów kreskowych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IT08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Bezprzewodowy czytnik kodów kreskowych 2D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IT09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UPS biurowy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5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IT10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UPS online do szafy RACK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6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IT11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Przełącznik zarządzalny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24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IT12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Router brzegowy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IT13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Moduł optyczny SFP+ SM OS2 10GBASE-LR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6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IT14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Moduł miedziany SFP RJ45 10/100/1000 Mb/s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6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IT15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Mysz przewodowa USB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10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IT16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Patchcord światłowodowy LC/UPC do LC/UPC duplex 5 m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3 szt.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  <w:tr>
        <w:trPr>
          <w:trHeight w:val="227" w:hRule="atLeast"/>
          <w:cantSplit/>
        </w:trPr>
        <w:tc>
          <w:tcPr>
            <w:tcW w:type="dxa" w:w="70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IT17</w:t>
            </w:r>
          </w:p>
        </w:tc>
        <w:tc>
          <w:tcPr>
            <w:tcW w:type="dxa" w:w="473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Komplet przewodów Ethernet 5 szt. po 1 m i 5 szt. po 5 m</w:t>
            </w:r>
          </w:p>
        </w:tc>
        <w:tc>
          <w:tcPr>
            <w:tcW w:type="dxa" w:w="102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 kpl.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96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</w:t>
            </w:r>
          </w:p>
        </w:tc>
        <w:tc>
          <w:tcPr>
            <w:tcW w:type="dxa" w:w="1757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....................</w:t>
            </w:r>
          </w:p>
        </w:tc>
      </w:tr>
    </w:tbl>
    <w:p>
      <w:pPr>
        <w:pStyle w:val="Normal"/>
        <w:keepNext w:val="0"/>
        <w:widowControl/>
        <w:spacing w:after="40" w:before="0" w:line="254" w:lineRule="auto"/>
        <w:jc w:val="left"/>
        <w:rPr>
          <w:sz w:val="6"/>
        </w:rPr>
      </w:pPr>
      <w:r>
        <w:rPr>
          <w:rFonts w:ascii="Times New Roman" w:hAnsi="Times New Roman" w:eastAsia="Times New Roman" w:cs="Times New Roman"/>
          <w:b w:val="0"/>
          <w:color w:val="000000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4859"/>
        <w:gridCol w:w="4853"/>
        <w:gridCol w:w="4859"/>
      </w:tblGrid>
      <w:tr>
        <w:trPr>
          <w:trHeight w:val="397" w:hRule="atLeast"/>
          <w:cantSplit/>
          <w:tblHeader/>
        </w:trPr>
        <w:tc>
          <w:tcPr>
            <w:tcW w:type="dxa" w:w="485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Razem netto [zł]: ................................</w:t>
            </w:r>
          </w:p>
        </w:tc>
        <w:tc>
          <w:tcPr>
            <w:tcW w:type="dxa" w:w="4853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Razem VAT [zł]: ................................</w:t>
            </w:r>
          </w:p>
        </w:tc>
        <w:tc>
          <w:tcPr>
            <w:tcW w:type="dxa" w:w="4859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Razem brutto [zł]: ................................</w:t>
            </w:r>
          </w:p>
        </w:tc>
      </w:tr>
    </w:tbl>
    <w:p>
      <w:pPr>
        <w:pStyle w:val="Normal"/>
        <w:keepNext w:val="0"/>
        <w:widowControl/>
        <w:spacing w:after="40" w:before="0" w:line="254" w:lineRule="auto"/>
        <w:jc w:val="left"/>
        <w:rPr>
          <w:sz w:val="6"/>
        </w:rPr>
      </w:pPr>
      <w:r>
        <w:rPr>
          <w:rFonts w:ascii="Times New Roman" w:hAnsi="Times New Roman" w:eastAsia="Times New Roman" w:cs="Times New Roman"/>
          <w:b w:val="0"/>
          <w:color w:val="000000"/>
          <w:sz w:val="6"/>
        </w:rPr>
      </w:r>
    </w:p>
    <w:p>
      <w:pPr>
        <w:spacing w:before="0" w:after="0" w:line="20" w:lineRule="exact"/>
        <w:sectPr>
          <w:pgSz w:w="16838" w:h="11906" w:orient="landscape"/>
          <w:pgMar w:top="964" w:right="1134" w:bottom="907" w:left="1134" w:header="397" w:footer="397" w:gutter="0"/>
          <w:cols w:space="720"/>
          <w:docGrid w:linePitch="360"/>
        </w:sectPr>
      </w:pPr>
    </w:p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1 do SWZ — część II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ZESTAWIENIE OFEROWANEGO SPRZĘTU I LICENCJI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0"/>
        </w:rPr>
      </w:pPr>
      <w:r>
        <w:rPr>
          <w:rFonts w:ascii="Times New Roman" w:hAnsi="Times New Roman" w:eastAsia="Times New Roman" w:cs="Times New Roman"/>
          <w:b w:val="0"/>
          <w:color w:val="000000"/>
          <w:sz w:val="20"/>
        </w:rPr>
        <w:t>IT01: 39 zestawów dydaktycznych (20 dla uczniów, 19 dla nauczycieli). IT02: 1 zestaw administracyjny. Dla pozostałych pozycji Wykonawca wskazuje stawkę wynikającą z przepisów oraz ujawnionego przez Zamawiającego przeznaczenia.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BEC5"/>
          <w:left w:val="single" w:sz="4" w:color="B8BEC5"/>
          <w:bottom w:val="single" w:sz="4" w:color="B8BEC5"/>
          <w:right w:val="single" w:sz="4" w:color="B8BEC5"/>
          <w:insideH w:val="single" w:sz="4" w:color="B8BEC5"/>
          <w:insideV w:val="single" w:sz="4" w:color="B8BEC5"/>
        </w:tblBorders>
      </w:tblPr>
      <w:tblGrid>
        <w:gridCol w:w="850"/>
        <w:gridCol w:w="4932"/>
        <w:gridCol w:w="3855"/>
      </w:tblGrid>
      <w:tr>
        <w:trPr>
          <w:trHeight w:val="397" w:hRule="atLeast"/>
          <w:cantSplit/>
          <w:tblHeader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Kod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Producent, model, konfiguracja albo licencja</w:t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  <w:shd w:fill="E9ECEF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</w:rPr>
              <w:t>Dokument i strona potwierdzająca parametry</w:t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IT01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IT02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IT03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IT04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IT05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IT06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IT07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IT08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IT09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IT10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IT11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IT12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IT13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IT14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IT15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IT16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50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  <w:t>IT17</w:t>
            </w:r>
          </w:p>
        </w:tc>
        <w:tc>
          <w:tcPr>
            <w:tcW w:type="dxa" w:w="4932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  <w:tc>
          <w:tcPr>
            <w:tcW w:type="dxa" w:w="3855"/>
            <w:vAlign w:val="center"/>
            <w:tcMar>
              <w:top w:w="40" w:type="dxa"/>
              <w:bottom w:w="40" w:type="dxa"/>
              <w:left w:w="90" w:type="dxa"/>
              <w:right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Normal"/>
        <w:keepNext w:val="0"/>
        <w:widowControl/>
        <w:spacing w:after="40" w:before="0" w:line="254" w:lineRule="auto"/>
        <w:jc w:val="left"/>
        <w:rPr>
          <w:sz w:val="6"/>
        </w:rPr>
      </w:pPr>
      <w:r>
        <w:rPr>
          <w:rFonts w:ascii="Times New Roman" w:hAnsi="Times New Roman" w:eastAsia="Times New Roman" w:cs="Times New Roman"/>
          <w:b w:val="0"/>
          <w:color w:val="000000"/>
          <w:sz w:val="6"/>
        </w:rPr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0"/>
        </w:rPr>
      </w:pPr>
      <w:r>
        <w:rPr>
          <w:rFonts w:ascii="Times New Roman" w:hAnsi="Times New Roman" w:eastAsia="Times New Roman" w:cs="Times New Roman"/>
          <w:b w:val="0"/>
          <w:color w:val="000000"/>
          <w:sz w:val="20"/>
        </w:rPr>
        <w:t>Jeżeli model występuje w kilku konfiguracjach, podać konkretną konfigurację lub kod produktu. Dla IT03 podać wersję, składniki, okres, liczbę stanowisk i typ uprawnienia licencyjnego. Dla równoważności załączyć porównanie wymagania – parametr oferowany – dokument potwierdzający.</w:t>
      </w:r>
    </w:p>
    <w:p>
      <w:pPr>
        <w:spacing w:before="0" w:after="0" w:line="20" w:lineRule="exact"/>
        <w:sectPr>
          <w:pgSz w:w="11906" w:h="16838"/>
          <w:pgMar w:top="1020" w:right="1134" w:bottom="1020" w:left="1134" w:header="397" w:footer="397" w:gutter="0"/>
          <w:cols w:space="720"/>
          <w:docGrid w:linePitch="360"/>
        </w:sectPr>
      </w:pPr>
    </w:p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4A do SWZ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OŚWIADCZENIE Z ART. 125 UST. 1 USTAWY PZP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Wykonawca: 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NIP albo inny identyfikator: 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Osoba składająca oświadczenie i podstawa umocowania: 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Postępowanie: ZP/2026/10/2, część/części: 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1.</w:t>
        <w:tab/>
        <w:t>Oświadczam, że wobec reprezentowanego przeze mnie Wykonawcy nie zachodzą podstawy wykluczenia wskazane w art. 108 ust. 1 ustawy Pzp ani w art. 7 ust. 1 ustawy z 13 kwietnia 2022 r. o szczególnych rozwiązaniach w zakresie przeciwdziałania wspieraniu agresji na Ukrainę oraz służących ochronie bezpieczeństwa narodowego, z zastrzeżeniem informacji podanych poniżej.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2.</w:t>
        <w:tab/>
        <w:t>Jeżeli zachodzą okoliczności mogące stanowić podstawę wykluczenia, wskazuję konkretną podstawę i opis: 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Podjęte środki naprawcze i dowody, w zakresie dopuszczalnym art. 110 ust. 2 ustawy Pzp: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...........................................................................................................................................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Jeżeli nie dotyczy, wpisać „nie dotyczy”. Nie należy składać niezgodnego z prawdą oświadczenia o braku okoliczności, które rzeczywiście występują.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3.</w:t>
        <w:tab/>
        <w:t>Będziemy / nie będziemy posługiwać się certyfikatem wykonawcy zamówień publicznych z art. 124 ust. 2 ustawy Pzp. W przypadku korzystania z certyfikatu: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Numer i oznaczenie certyfikatu: 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Podmiot certyfikujący: 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Okres ważności: 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Zakres podstaw wykluczenia objętych certyfikatem: 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Adres publicznej bazy i dane umożliwiające dostęp, jeżeli dotyczy: 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4.</w:t>
        <w:tab/>
        <w:t>Informacje podane w oświadczeniu są aktualne na dzień składania ofert i zgodne z prawdą. Jestem świadomy konsekwencji wprowadzenia Zamawiającego w błąd przewidzianych w ustawie Pzp.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Data: 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b w:val="0"/>
          <w:color w:val="000000"/>
          <w:sz w:val="21"/>
        </w:rPr>
        <w:t>Oświadczenie opatruje osoba uprawniona kwalifikowanym podpisem elektronicznym, podpisem zaufanym albo podpisem osobistym. Każdy wykonawca oferty wspólnej składa odrębne oświadczenie.</w:t>
      </w:r>
    </w:p>
    <w:p>
      <w:pPr>
        <w:spacing w:before="0" w:after="0" w:line="20" w:lineRule="exact"/>
        <w:sectPr>
          <w:pgSz w:w="11906" w:h="16838"/>
          <w:pgMar w:top="1020" w:right="1134" w:bottom="1020" w:left="1134" w:header="397" w:footer="397" w:gutter="0"/>
          <w:cols w:space="720"/>
          <w:docGrid w:linePitch="360"/>
        </w:sectPr>
      </w:pPr>
    </w:p>
    <w:p>
      <w:pPr>
        <w:pStyle w:val="Normal"/>
        <w:keepNext/>
        <w:widowControl/>
        <w:spacing w:after="120" w:before="0" w:line="254" w:lineRule="auto"/>
        <w:jc w:val="right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>Załącznik nr 4B do SWZ</w:t>
      </w:r>
    </w:p>
    <w:p>
      <w:pPr>
        <w:pStyle w:val="Normal"/>
        <w:keepNext/>
        <w:widowControl/>
        <w:spacing w:after="180" w:before="0" w:line="254" w:lineRule="auto"/>
        <w:jc w:val="center"/>
        <w:rPr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OŚWIADCZENIE O AKTUALNOŚCI INFORMACJI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Składane na wezwanie Zamawiającego, aktualne na dzień złożenia.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Wykonawca: 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NIP albo inny identyfikator: 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Postępowanie: ZP/2026/10/2, część/części: 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Działając w imieniu Wykonawcy, na podstawie § 3 rozporządzenia Ministra Rozwoju, Pracy i Technologii z 23 grudnia 2020 r. w sprawie podmiotowych środków dowodowych oraz innych dokumentów lub oświadczeń, jakich może żądać zamawiający od wykonawcy, potwierdzam aktualność informacji zawartych w oświadczeniu z art. 125 ust. 1 ustawy Pzp w zakresie podstaw wykluczenia z art. 108 ust. 1 ustawy Pzp, z uwzględnieniem ważnej certyfikacji, jeżeli ma zastosowanie.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Potwierdzam również aktualność informacji o braku podstaw wykluczenia z art. 7 ust. 1 ustawy z 13 kwietnia 2022 r. o szczególnych rozwiązaniach w zakresie przeciwdziałania wspieraniu agresji na Ukrainę oraz służących ochronie bezpieczeństwa narodowego.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W razie zmiany okoliczności lub ograniczenia zakresu potwierdzenia wskazuję je poniżej zamiast składać potwierdzenie niezgodne z prawdą: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...........................................................................................................................................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...........................................................................................................................................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Data: .....................................</w:t>
      </w:r>
    </w:p>
    <w:p>
      <w:pPr>
        <w:pStyle w:val="Normal"/>
        <w:keepNext w:val="0"/>
        <w:widowControl/>
        <w:spacing w:after="120" w:before="0" w:line="254" w:lineRule="auto"/>
        <w:jc w:val="left"/>
        <w:rPr>
          <w:sz w:val="22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</w:rPr>
        <w:t>Oświadczenie podpisuje elektronicznie osoba uprawniona do reprezentacji. Każdy wykonawca oferty wspólnej składa odrębne oświadczenie.</w:t>
      </w:r>
    </w:p>
    <w:sectPr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 w:line="240" w:lineRule="auto"/>
      <w:ind w:left="0" w:right="0" w:firstLine="0"/>
      <w:jc w:val="right"/>
      <w:pBdr>
        <w:top w:val="thinThickSmallGap" w:sz="24" w:space="1" w:color="622423"/>
      </w:pBdr>
    </w:pPr>
    <w:r>
      <w:rPr>
        <w:rFonts w:ascii="Times New Roman" w:hAnsi="Times New Roman" w:eastAsia="Times New Roman" w:cs="Times New Roman"/>
        <w:sz w:val="18"/>
      </w:rPr>
      <w:t xml:space="preserve">Strona </w:t>
    </w:r>
    <w:r>
      <w:rPr>
        <w:rFonts w:ascii="Times New Roman" w:hAnsi="Times New Roman" w:eastAsia="Times New Roman" w:cs="Times New Roman"/>
        <w:sz w:val="18"/>
      </w:rPr>
    </w:r>
    <w:fldSimple w:instr="PAGE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ind w:left="0" w:right="0" w:firstLine="0"/>
      <w:jc w:val="right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ind w:left="0" w:right="0" w:firstLine="0"/>
      <w:jc w:val="righ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 w:line="240" w:lineRule="auto"/>
      <w:jc w:val="center"/>
      <w:pBdr>
        <w:bottom w:val="thickThinSmallGap" w:sz="24" w:space="1" w:color="622423"/>
      </w:pBdr>
    </w:pPr>
    <w:r>
      <w:rPr>
        <w:rFonts w:ascii="Times New Roman" w:hAnsi="Times New Roman" w:eastAsia="Times New Roman" w:cs="Times New Roman"/>
        <w:sz w:val="20"/>
      </w:rPr>
      <w:t>sygn.: ZP/2026/10/2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pageBreakBefore w:val="0"/>
      <w:spacing w:after="100" w:line="254" w:lineRule="auto" w:before="0"/>
    </w:pPr>
    <w:rPr>
      <w:rFonts w:ascii="Times New Roman" w:hAnsi="Times New Roman" w:eastAsia="Times New Roman" w:cs="Times New Roman"/>
      <w:caps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pageBreakBefore w:val="0"/>
      <w:spacing w:before="0" w:after="100" w:line="254" w:lineRule="auto"/>
      <w:outlineLvl w:val="0"/>
    </w:pPr>
    <w:rPr>
      <w:rFonts w:ascii="Times New Roman" w:hAnsi="Times New Roman" w:eastAsia="Times New Roman" w:cs="Times New Roman"/>
      <w:b/>
      <w:bCs/>
      <w:caps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pageBreakBefore w:val="0"/>
      <w:spacing w:before="0" w:after="100" w:line="254" w:lineRule="auto"/>
      <w:outlineLvl w:val="1"/>
    </w:pPr>
    <w:rPr>
      <w:rFonts w:ascii="Times New Roman" w:hAnsi="Times New Roman" w:eastAsia="Times New Roman" w:cs="Times New Roman"/>
      <w:b/>
      <w:bCs/>
      <w:caps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276" w:lineRule="auto"/>
      <w:outlineLvl w:val="2"/>
    </w:pPr>
    <w:rPr>
      <w:rFonts w:ascii="Times New Roman" w:hAnsi="Times New Roman" w:eastAsia="Times New Roman" w:cs="Times New Roman"/>
      <w:b/>
      <w:bCs/>
      <w:caps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/>
    </w:rPr>
  </w:style>
  <w:style w:type="table" w:default="1" w:styleId="TableNormal">
    <w:name w:val="Normal Table"/>
    <w:uiPriority w:val="99"/>
    <w:semiHidden/>
    <w:unhideWhenUsed/>
    <w:rPr>
      <w:rFonts w:ascii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ageBreakBefore w:val="0"/>
      <w:spacing w:after="100" w:line="254" w:lineRule="auto" w:before="0"/>
      <w:contextualSpacing/>
    </w:pPr>
    <w:rPr>
      <w:rFonts w:ascii="Times New Roman" w:hAnsi="Times New Roman" w:eastAsia="Times New Roman" w:cs="Times New Roman"/>
      <w:b/>
      <w:caps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76" w:lineRule="auto"/>
    </w:pPr>
    <w:rPr>
      <w:rFonts w:ascii="Times New Roman" w:hAnsi="Times New Roman" w:eastAsia="Times New Roman" w:cs="Times New Roman"/>
      <w:i/>
      <w:iCs/>
      <w:caps w:val="0"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100" w:line="250" w:lineRule="auto"/>
      <w:ind w:left="720"/>
      <w:contextualSpacing/>
    </w:pPr>
    <w:rPr>
      <w:rFonts w:ascii="Times New Roman" w:hAnsi="Times New Roman" w:eastAsia="Times New Roman" w:cs="Times New Roman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0" w:lineRule="auto"/>
    </w:pPr>
    <w:rPr>
      <w:rFonts w:ascii="Times New Roman" w:hAnsi="Times New Roman" w:eastAsia="Times New Roman" w:cs="Times New Roman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hAnsi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hAnsi="Times New Roman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hAnsi="Times New Roman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hAnsi="Times New Roman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hAnsi="Times New Roman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hAnsi="Times New Roman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hAnsi="Times New Roman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default="1" w:styleId="Normalny">
    <w:name w:val="Normal"/>
    <w:rsid w:val="00A434E2"/>
    <w:pPr>
      <w:spacing w:after="0" w:line="276" w:lineRule="auto"/>
    </w:pPr>
    <w:rPr>
      <w:rFonts w:ascii="Times New Roman" w:hAnsi="Times New Roman" w:eastAsia="Times New Roman" w:cs="Times New Roman"/>
      <w:color w:val="000000"/>
      <w:sz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1B9C"/>
    <w:pPr>
      <w:keepNext/>
      <w:keepLines/>
      <w:widowControl/>
      <w:spacing w:before="40" w:after="0" w:line="276" w:lineRule="auto"/>
      <w:outlineLvl w:val="2"/>
    </w:pPr>
    <w:rPr>
      <w:rFonts w:ascii="Times New Roman" w:hAnsi="Times New Roman" w:eastAsia="Times New Roman" w:cs="Times New Roman"/>
      <w:color w:val="000000"/>
      <w:sz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  <w:rPr>
      <w:rFonts w:ascii="Times New Roman" w:hAnsi="Times New Roman"/>
    </w:rPr>
  </w:style>
  <w:style w:type="table" w:default="1" w:styleId="Standardowy">
    <w:name w:val="Normal Table"/>
    <w:uiPriority w:val="99"/>
    <w:semiHidden/>
    <w:unhideWhenUsed/>
    <w:rPr>
      <w:rFonts w:ascii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A434E2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sid w:val="00A434E2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sid w:val="00A434E2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Nagwek1">
    <w:name w:val="Nagłówek #1_"/>
    <w:basedOn w:val="Domylnaczcionkaakapitu"/>
    <w:link w:val="Nagwek10"/>
    <w:rsid w:val="00A434E2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link w:val="Teksttreci30"/>
    <w:rsid w:val="00A434E2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color w:val="0000FF"/>
      <w:sz w:val="20"/>
      <w:szCs w:val="20"/>
      <w:u w:val="none"/>
    </w:rPr>
  </w:style>
  <w:style w:type="paragraph" w:customStyle="1" w:styleId="Teksttreci0">
    <w:name w:val="Tekst treści"/>
    <w:basedOn w:val="Normalny"/>
    <w:link w:val="Teksttreci"/>
    <w:rsid w:val="00A434E2"/>
    <w:pPr>
      <w:shd w:val="clear" w:color="auto" w:fill="FFFFFF"/>
      <w:spacing w:line="276" w:lineRule="auto"/>
    </w:pPr>
    <w:rPr>
      <w:rFonts w:ascii="Times New Roman" w:hAnsi="Times New Roman" w:eastAsia="Times New Roman" w:cs="Times New Roman"/>
    </w:rPr>
  </w:style>
  <w:style w:type="paragraph" w:customStyle="1" w:styleId="Nagweklubstopka20">
    <w:name w:val="Nagłówek lub stopka (2)"/>
    <w:basedOn w:val="Normalny"/>
    <w:link w:val="Nagweklubstopka2"/>
    <w:rsid w:val="00A434E2"/>
    <w:pPr>
      <w:shd w:val="clear" w:color="auto" w:fill="FFFFFF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A434E2"/>
    <w:pPr>
      <w:shd w:val="clear" w:color="auto" w:fill="FFFFFF"/>
      <w:spacing w:after="650" w:line="276" w:lineRule="auto"/>
      <w:jc w:val="center"/>
    </w:pPr>
    <w:rPr>
      <w:rFonts w:ascii="Times New Roman" w:hAnsi="Times New Roman" w:eastAsia="Times New Roman" w:cs="Times New Roman"/>
      <w:sz w:val="32"/>
      <w:szCs w:val="32"/>
    </w:rPr>
  </w:style>
  <w:style w:type="paragraph" w:customStyle="1" w:styleId="Nagwek10">
    <w:name w:val="Nagłówek #1"/>
    <w:basedOn w:val="Normalny"/>
    <w:link w:val="Nagwek1"/>
    <w:rsid w:val="00A434E2"/>
    <w:pPr>
      <w:shd w:val="clear" w:color="auto" w:fill="FFFFFF"/>
      <w:spacing w:after="320" w:line="276" w:lineRule="auto"/>
      <w:jc w:val="center"/>
      <w:outlineLvl w:val="0"/>
    </w:pPr>
    <w:rPr>
      <w:rFonts w:ascii="Times New Roman" w:hAnsi="Times New Roman" w:eastAsia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A434E2"/>
    <w:pPr>
      <w:shd w:val="clear" w:color="auto" w:fill="FFFFFF"/>
      <w:spacing w:line="276" w:lineRule="auto"/>
      <w:ind w:left="300"/>
    </w:pPr>
    <w:rPr>
      <w:rFonts w:ascii="Times New Roman" w:hAnsi="Times New Roman" w:eastAsia="Times New Roman" w:cs="Times New Roman"/>
      <w:i/>
      <w:iCs/>
      <w:color w:val="0000FF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rsid w:val="00E833F4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833F4"/>
    <w:rPr>
      <w:rFonts w:ascii="Times New Roman" w:hAnsi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833F4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833F4"/>
    <w:rPr>
      <w:rFonts w:ascii="Times New Roman" w:hAnsi="Times New Roman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3F4"/>
    <w:rPr>
      <w:rFonts w:ascii="Times New Roman" w:hAnsi="Times New Roman" w:eastAsia="Times New Roman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3F4"/>
    <w:rPr>
      <w:rFonts w:ascii="Times New Roman" w:hAnsi="Times New Roman" w:eastAsia="Times New Roman" w:cs="Times New Roman"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57F05"/>
    <w:rPr>
      <w:rFonts w:ascii="Times New Roman" w:hAnsi="Times New Roman"/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34ED0"/>
    <w:rPr>
      <w:rFonts w:ascii="Times New Roman" w:hAnsi="Times New Roman"/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4042"/>
    <w:rPr>
      <w:rFonts w:ascii="Times New Roman" w:hAnsi="Times New Roman"/>
      <w:color w:val="605E5C"/>
      <w:shd w:val="clear" w:color="auto" w:fill="E1DFDD"/>
    </w:rPr>
  </w:style>
  <w:style w:type="character" w:customStyle="1" w:styleId="NormalnyWebZnak">
    <w:name w:val="Normalny (Web) Znak"/>
    <w:link w:val="NormalnyWeb"/>
    <w:uiPriority w:val="99"/>
    <w:qFormat/>
    <w:locked/>
    <w:rsid w:val="00EB218B"/>
    <w:rPr>
      <w:rFonts w:ascii="Times New Roman" w:hAnsi="Times New Roman" w:eastAsia="Times New Roman" w:cs="Times New Roman"/>
    </w:rPr>
  </w:style>
  <w:style w:type="paragraph" w:styleId="NormalnyWeb">
    <w:name w:val="Normal (Web)"/>
    <w:basedOn w:val="Normalny"/>
    <w:link w:val="NormalnyWebZnak"/>
    <w:uiPriority w:val="99"/>
    <w:qFormat/>
    <w:rsid w:val="00EB218B"/>
    <w:pPr>
      <w:widowControl/>
      <w:suppressAutoHyphens/>
      <w:spacing w:beforeAutospacing="1" w:after="119" w:line="360" w:lineRule="auto"/>
      <w:ind w:left="567" w:right="686" w:hanging="425"/>
      <w:jc w:val="both"/>
    </w:pPr>
    <w:rPr>
      <w:rFonts w:ascii="Times New Roman" w:hAnsi="Times New Roman" w:eastAsia="Times New Roman" w:cs="Times New Roman"/>
      <w:color w:val="auto"/>
    </w:rPr>
  </w:style>
  <w:style w:type="paragraph" w:styleId="Akapitzlist">
    <w:name w:val="List Paragraph"/>
    <w:aliases w:val="Podsis rysunku,List bullet 2,Wypunktowanie,L1,Numerowanie,Data wydania,List Paragraph,CW_Lista,Akapit z listą5,lp1,Preambuła,CP-UC,CP-Punkty,Bullet List,List - bullets,Equipment,Bullet 1,List Paragraph Char Char,b1,Figure_name,Ref,Dot pt"/>
    <w:basedOn w:val="Normalny"/>
    <w:link w:val="AkapitzlistZnak"/>
    <w:uiPriority w:val="34"/>
    <w:qFormat/>
    <w:rsid w:val="008223DB"/>
    <w:pPr>
      <w:widowControl/>
      <w:spacing w:after="200" w:line="276" w:lineRule="auto"/>
      <w:ind w:left="720"/>
      <w:contextualSpacing/>
    </w:pPr>
    <w:rPr>
      <w:rFonts w:ascii="Times New Roman" w:hAnsi="Times New Roman" w:eastAsia="Times New Roman" w:cs="Times New Roman"/>
      <w:color w:val="auto"/>
      <w:sz w:val="20"/>
      <w:szCs w:val="20"/>
      <w:lang w:eastAsia="en-US" w:bidi="ar-SA"/>
    </w:rPr>
  </w:style>
  <w:style w:type="character" w:customStyle="1" w:styleId="AkapitzlistZnak">
    <w:name w:val="Akapit z listą Znak"/>
    <w:aliases w:val="Podsis rysunku Znak,List bullet 2 Znak,Wypunktowanie Znak,L1 Znak,Numerowanie Znak,Data wydania Znak,List Paragraph Znak,CW_Lista Znak,Akapit z listą5 Znak,lp1 Znak,Preambuła Znak,CP-UC Znak,CP-Punkty Znak,Bullet List Znak,b1 Znak"/>
    <w:link w:val="Akapitzlist"/>
    <w:uiPriority w:val="34"/>
    <w:qFormat/>
    <w:locked/>
    <w:rsid w:val="008223DB"/>
    <w:rPr>
      <w:rFonts w:ascii="Times New Roman" w:hAnsi="Times New Roman" w:eastAsia="Times New Roman" w:cs="Times New Roman"/>
      <w:sz w:val="20"/>
      <w:szCs w:val="20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3B4C11"/>
    <w:rPr>
      <w:rFonts w:ascii="Times New Roman" w:hAnsi="Times New Roman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E81B9C"/>
    <w:rPr>
      <w:rFonts w:ascii="Times New Roman" w:hAnsi="Times New Roman" w:eastAsia="Times New Roman" w:cs="Times New Roman"/>
      <w:color w:val="243F60"/>
      <w:lang w:eastAsia="en-US" w:bidi="ar-SA"/>
    </w:rPr>
  </w:style>
  <w:style w:type="table" w:styleId="Tabela-Siatka">
    <w:name w:val="Table Grid"/>
    <w:basedOn w:val="Standardowy"/>
    <w:uiPriority w:val="39"/>
    <w:rsid w:val="00CF6F4A"/>
    <w:pPr>
      <w:widowControl/>
    </w:pPr>
    <w:rPr>
      <w:rFonts w:ascii="Times New Roman" w:hAnsi="Times New Roman" w:eastAsia="Times New Roman" w:cs="Times New Roman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Formularze Marianowo 21 10 2026.docx</dc:title>
  <dc:subject>ZP/2026/10/2</dc:subject>
  <dc:creator>Daniel Ambrożej</dc:creator>
  <cp:keywords>ZSCKR Marianowo, dostawy, 2026</cp:keywords>
  <dc:description>Układ formularzy dostosowany do publikacji; progi doświadczenia zgodne z SWZ uzupełnionym przez Zamawiającego: 150 000 zł oraz 80 000 zł brutto.</dc:description>
  <cp:lastModifiedBy>Daniel Ambrożej</cp:lastModifiedBy>
  <cp:revision>1</cp:revision>
  <dcterms:created xsi:type="dcterms:W3CDTF">2013-12-23T23:15:00Z</dcterms:created>
  <dcterms:modified xsi:type="dcterms:W3CDTF">2013-12-23T23:15:00Z</dcterms:modified>
  <cp:category/>
</cp:coreProperties>
</file>