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Verdana" w:cs="Verdana" w:eastAsia="Verdana" w:hAnsi="Verdana"/>
        </w:rPr>
      </w:pPr>
      <w:r w:rsidDel="00000000" w:rsidR="00000000" w:rsidRPr="00000000">
        <w:rPr>
          <w:rFonts w:ascii="Verdana" w:cs="Verdana" w:eastAsia="Verdana" w:hAnsi="Verdana"/>
          <w:rtl w:val="0"/>
        </w:rPr>
        <w:t xml:space="preserve">Załącznik nr 4 do SWZ</w:t>
      </w:r>
    </w:p>
    <w:p w:rsidR="00000000" w:rsidDel="00000000" w:rsidP="00000000" w:rsidRDefault="00000000" w:rsidRPr="00000000" w14:paraId="00000002">
      <w:pPr>
        <w:spacing w:after="0" w:line="36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3">
      <w:pPr>
        <w:spacing w:after="0" w:line="360" w:lineRule="auto"/>
        <w:jc w:val="center"/>
        <w:rPr>
          <w:rFonts w:ascii="Verdana" w:cs="Verdana" w:eastAsia="Verdana" w:hAnsi="Verdana"/>
          <w:b w:val="1"/>
          <w:bCs w:val="1"/>
        </w:rPr>
      </w:pPr>
      <w:r w:rsidDel="00000000" w:rsidR="00000000" w:rsidRPr="00000000">
        <w:rPr>
          <w:rFonts w:ascii="Verdana" w:cs="Verdana" w:eastAsia="Verdana" w:hAnsi="Verdana"/>
          <w:b w:val="1"/>
          <w:bCs w:val="1"/>
          <w:rtl w:val="0"/>
        </w:rPr>
        <w:t xml:space="preserve">WZÓR UMOWY</w:t>
      </w:r>
    </w:p>
    <w:p w:rsidR="00000000" w:rsidDel="00000000" w:rsidP="00000000" w:rsidRDefault="00000000" w:rsidRPr="00000000" w14:paraId="00000004">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05">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Zawarta w dniu ………….. 2026 r. w Staninie pomiędzy:</w:t>
      </w:r>
    </w:p>
    <w:p w:rsidR="00000000" w:rsidDel="00000000" w:rsidP="00000000" w:rsidRDefault="00000000" w:rsidRPr="00000000" w14:paraId="00000006">
      <w:pPr>
        <w:spacing w:after="0" w:line="360" w:lineRule="auto"/>
        <w:jc w:val="both"/>
        <w:rPr>
          <w:rFonts w:ascii="Verdana" w:cs="Verdana" w:eastAsia="Verdana" w:hAnsi="Verdana"/>
        </w:rPr>
      </w:pPr>
      <w:r w:rsidDel="00000000" w:rsidR="00000000" w:rsidRPr="00000000">
        <w:rPr>
          <w:rFonts w:ascii="Verdana" w:cs="Verdana" w:eastAsia="Verdana" w:hAnsi="Verdana"/>
          <w:b w:val="1"/>
          <w:bCs w:val="1"/>
          <w:rtl w:val="0"/>
        </w:rPr>
        <w:t xml:space="preserve">Gminą Stanin – Gminnym Ośrodkiem Pomocy Społecznej w Staninie, </w:t>
      </w:r>
      <w:r w:rsidDel="00000000" w:rsidR="00000000" w:rsidRPr="00000000">
        <w:rPr>
          <w:rFonts w:ascii="Verdana" w:cs="Verdana" w:eastAsia="Verdana" w:hAnsi="Verdana"/>
          <w:rtl w:val="0"/>
        </w:rPr>
        <w:t xml:space="preserve">Stanin 62, 21-422 Stanin, reprezentowanym przez Kierownika Gminnego Ośrodka Pomocy Społecznej w Staninie - …...</w:t>
      </w:r>
    </w:p>
    <w:p w:rsidR="00000000" w:rsidDel="00000000" w:rsidP="00000000" w:rsidRDefault="00000000" w:rsidRPr="00000000" w14:paraId="00000007">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zwanym dalej </w:t>
      </w:r>
      <w:r w:rsidDel="00000000" w:rsidR="00000000" w:rsidRPr="00000000">
        <w:rPr>
          <w:rFonts w:ascii="Verdana" w:cs="Verdana" w:eastAsia="Verdana" w:hAnsi="Verdana"/>
          <w:b w:val="1"/>
          <w:bCs w:val="1"/>
          <w:rtl w:val="0"/>
        </w:rPr>
        <w:t xml:space="preserve">Zamawiającym, </w:t>
      </w:r>
      <w:r w:rsidDel="00000000" w:rsidR="00000000" w:rsidRPr="00000000">
        <w:rPr>
          <w:rtl w:val="0"/>
        </w:rPr>
      </w:r>
    </w:p>
    <w:p w:rsidR="00000000" w:rsidDel="00000000" w:rsidP="00000000" w:rsidRDefault="00000000" w:rsidRPr="00000000" w14:paraId="00000008">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a</w:t>
      </w:r>
    </w:p>
    <w:p w:rsidR="00000000" w:rsidDel="00000000" w:rsidP="00000000" w:rsidRDefault="00000000" w:rsidRPr="00000000" w14:paraId="00000009">
      <w:pPr>
        <w:spacing w:after="0" w:line="360" w:lineRule="auto"/>
        <w:jc w:val="both"/>
        <w:rPr>
          <w:rFonts w:ascii="Verdana" w:cs="Verdana" w:eastAsia="Verdana" w:hAnsi="Verdana"/>
        </w:rPr>
      </w:pP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zam/</w:t>
      </w:r>
      <w:r w:rsidDel="00000000" w:rsidR="00000000" w:rsidRPr="00000000">
        <w:rPr>
          <w:rFonts w:ascii="Verdana" w:cs="Verdana" w:eastAsia="Verdana" w:hAnsi="Verdana"/>
          <w:b w:val="1"/>
          <w:bCs w:val="1"/>
          <w:rtl w:val="0"/>
        </w:rPr>
        <w:t xml:space="preserve"> </w:t>
      </w:r>
      <w:r w:rsidDel="00000000" w:rsidR="00000000" w:rsidRPr="00000000">
        <w:rPr>
          <w:rFonts w:ascii="Verdana" w:cs="Verdana" w:eastAsia="Verdana" w:hAnsi="Verdana"/>
          <w:rtl w:val="0"/>
        </w:rPr>
        <w:t xml:space="preserve">z siedzibą, ul. ………………………………………</w:t>
      </w:r>
      <w:r w:rsidDel="00000000" w:rsidR="00000000" w:rsidRPr="00000000">
        <w:rPr>
          <w:rFonts w:ascii="Verdana" w:cs="Verdana" w:eastAsia="Verdana" w:hAnsi="Verdana"/>
          <w:b w:val="1"/>
          <w:bCs w:val="1"/>
          <w:rtl w:val="0"/>
        </w:rPr>
        <w:t xml:space="preserve">, NIP:………………, REGON: ………………………, PESEL…………………………………………………</w:t>
      </w:r>
      <w:r w:rsidDel="00000000" w:rsidR="00000000" w:rsidRPr="00000000">
        <w:rPr>
          <w:rFonts w:ascii="Verdana" w:cs="Verdana" w:eastAsia="Verdana" w:hAnsi="Verdana"/>
          <w:rtl w:val="0"/>
        </w:rPr>
        <w:t xml:space="preserve">, reprezentowaną przez: …………………………………………………………………………………………</w:t>
        <w:tab/>
      </w:r>
    </w:p>
    <w:p w:rsidR="00000000" w:rsidDel="00000000" w:rsidP="00000000" w:rsidRDefault="00000000" w:rsidRPr="00000000" w14:paraId="0000000A">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zwanym w dalszej części </w:t>
      </w:r>
      <w:r w:rsidDel="00000000" w:rsidR="00000000" w:rsidRPr="00000000">
        <w:rPr>
          <w:rFonts w:ascii="Verdana" w:cs="Verdana" w:eastAsia="Verdana" w:hAnsi="Verdana"/>
          <w:b w:val="1"/>
          <w:bCs w:val="1"/>
          <w:rtl w:val="0"/>
        </w:rPr>
        <w:t xml:space="preserve">Wykonawcą, </w:t>
      </w:r>
      <w:r w:rsidDel="00000000" w:rsidR="00000000" w:rsidRPr="00000000">
        <w:rPr>
          <w:rtl w:val="0"/>
        </w:rPr>
      </w:r>
    </w:p>
    <w:p w:rsidR="00000000" w:rsidDel="00000000" w:rsidP="00000000" w:rsidRDefault="00000000" w:rsidRPr="00000000" w14:paraId="0000000B">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zwanymi dalej Stronami </w:t>
      </w:r>
    </w:p>
    <w:p w:rsidR="00000000" w:rsidDel="00000000" w:rsidP="00000000" w:rsidRDefault="00000000" w:rsidRPr="00000000" w14:paraId="0000000C">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0D">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Umowa została zawarta z Wykonawcą w wyniku przeprowadzenia postepowania o udzielenie zamówienia publicznego w trybie podstawowym, zgodnie z art. 275 pkt 1 ustawy z dnia 11 września 2019 r. - Prawo zamówień publicznych (t.j. Dz.U. 2026 poz. 793 z późn. zm.) zwaną dalej: „ustawa Pzp”.</w:t>
      </w:r>
    </w:p>
    <w:p w:rsidR="00000000" w:rsidDel="00000000" w:rsidP="00000000" w:rsidRDefault="00000000" w:rsidRPr="00000000" w14:paraId="0000000E">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Numer postępowania: GOPS.271.6.2026</w:t>
      </w:r>
    </w:p>
    <w:p w:rsidR="00000000" w:rsidDel="00000000" w:rsidP="00000000" w:rsidRDefault="00000000" w:rsidRPr="00000000" w14:paraId="0000000F">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0">
      <w:pPr>
        <w:spacing w:after="0" w:line="360" w:lineRule="auto"/>
        <w:jc w:val="both"/>
        <w:rPr>
          <w:rFonts w:ascii="Verdana" w:cs="Verdana" w:eastAsia="Verdana" w:hAnsi="Verdana"/>
        </w:rPr>
      </w:pPr>
      <w:r w:rsidDel="00000000" w:rsidR="00000000" w:rsidRPr="00000000">
        <w:rPr>
          <w:rFonts w:ascii="Verdana" w:cs="Verdana" w:eastAsia="Verdana" w:hAnsi="Verdana"/>
          <w:rtl w:val="0"/>
        </w:rPr>
        <w:t xml:space="preserve">Strony zawierają umowę, zwaną w dalszej części Umową, następującej treści:</w:t>
      </w:r>
    </w:p>
    <w:p w:rsidR="00000000" w:rsidDel="00000000" w:rsidP="00000000" w:rsidRDefault="00000000" w:rsidRPr="00000000" w14:paraId="00000011">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2">
      <w:pPr>
        <w:spacing w:after="0" w:line="360" w:lineRule="auto"/>
        <w:jc w:val="both"/>
        <w:rPr>
          <w:rFonts w:ascii="Verdana" w:cs="Verdana" w:eastAsia="Verdana" w:hAnsi="Verdana"/>
        </w:rPr>
      </w:pPr>
      <w:r w:rsidDel="00000000" w:rsidR="00000000" w:rsidRPr="00000000">
        <w:rPr>
          <w:rFonts w:ascii="Verdana" w:cs="Verdana" w:eastAsia="Verdana" w:hAnsi="Verdana"/>
          <w:b w:val="1"/>
          <w:bCs w:val="1"/>
          <w:rtl w:val="0"/>
        </w:rPr>
        <w:t xml:space="preserve">§ 1</w:t>
      </w:r>
      <w:r w:rsidDel="00000000" w:rsidR="00000000" w:rsidRPr="00000000">
        <w:rPr>
          <w:rtl w:val="0"/>
        </w:rPr>
      </w:r>
    </w:p>
    <w:p w:rsidR="00000000" w:rsidDel="00000000" w:rsidP="00000000" w:rsidRDefault="00000000" w:rsidRPr="00000000" w14:paraId="00000013">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Przedmiot zamówienia i warunki realizacji usługi</w:t>
      </w:r>
    </w:p>
    <w:p w:rsidR="00000000" w:rsidDel="00000000" w:rsidP="00000000" w:rsidRDefault="00000000" w:rsidRPr="00000000" w14:paraId="00000014">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5">
      <w:pPr>
        <w:numPr>
          <w:ilvl w:val="0"/>
          <w:numId w:val="8"/>
        </w:numPr>
        <w:spacing w:after="0" w:before="280" w:line="360" w:lineRule="auto"/>
        <w:ind w:left="720" w:hanging="360"/>
        <w:jc w:val="both"/>
        <w:rPr>
          <w:rFonts w:ascii="Verdana" w:cs="Verdana" w:eastAsia="Verdana" w:hAnsi="Verdana"/>
        </w:rPr>
      </w:pPr>
      <w:r w:rsidDel="00000000" w:rsidR="00000000" w:rsidRPr="00000000">
        <w:rPr>
          <w:rFonts w:ascii="Verdana" w:cs="Verdana" w:eastAsia="Verdana" w:hAnsi="Verdana"/>
          <w:rtl w:val="0"/>
        </w:rPr>
        <w:t xml:space="preserve">Przedmiotem Umowy jest realizacja usługi pn. „Zapewnienie wyżywienia dla 20 uczestników placówki wsparcia dziennego we Wnętrznem w ramach realizacji projektu Bezpieczni i zaopiekowani w Gminie Stanin”.</w:t>
      </w:r>
    </w:p>
    <w:p w:rsidR="00000000" w:rsidDel="00000000" w:rsidP="00000000" w:rsidRDefault="00000000" w:rsidRPr="00000000" w14:paraId="0000001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Zamówienie jest realizowane w ramach projektu „Bezpieczni i zaopiekowani w Gminie Stanin” nr FELU.08.05-IZ.00-0088/25, w programie Fundusze Europejskie dla Lubelskiego 2021–2027, Priorytet FELU.08.00, Działanie FELU.08.05, współfinansowanego ze środków Europejskiego Funduszu Społecznego Plus.</w:t>
      </w:r>
    </w:p>
    <w:p w:rsidR="00000000" w:rsidDel="00000000" w:rsidP="00000000" w:rsidRDefault="00000000" w:rsidRPr="00000000" w14:paraId="0000001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Usługa obejmuje przygotowanie, porcjowanie, zapakowanie, transport, dostarczenie i rozładunek zestawów żywieniowych dla maksymalnie 20 uczestników placówki wsparcia dziennego we Wnętrznem. Jeden zestaw obejmuje śniadanie, poczęstunek na przerwę kawową oraz jednodaniowy gorący posiłek w formie drugiego dania z napojem. Śniadanie i poczęstunek są udostępniane w formie stołu szwedzkiego. Miejscem dostawy jest Wnętrzne 35A, 21-421 Tuchowicz.</w:t>
      </w:r>
    </w:p>
    <w:p w:rsidR="00000000" w:rsidDel="00000000" w:rsidP="00000000" w:rsidRDefault="00000000" w:rsidRPr="00000000" w14:paraId="0000001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Umowę wykonuje się zgodnie z SWZ, OPZ stanowiącym Załącznik nr 2 do Umowy, ofertą Wykonawcy, wyjaśnieniami i zmianami SWZ oraz obowiązującymi przepisami prawa. W razie rozbieżności pierwszeństwo mają: Umowa, OPZ, SWZ, a następnie oferta Wykonawcy, z zastrzeżeniem że oferta ma pierwszeństwo w zakresie parametrów korzystniejszych dla Zamawiającego.</w:t>
      </w:r>
    </w:p>
    <w:p w:rsidR="00000000" w:rsidDel="00000000" w:rsidP="00000000" w:rsidRDefault="00000000" w:rsidRPr="00000000" w14:paraId="0000001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umożliwi Zamawiającemu, Instytucji Zarządzającej programem Fundusze Europejskie dla Lubelskiego 2021–2027 oraz innym uprawnionym podmiotom kontrolę realizacji Umowy i wgląd do dokumentacji związanej z zamówieniem, w zakresie i przez okres wymagany przepisami prawa, umową o dofinansowanie i właściwymi wytycznymi.</w:t>
      </w:r>
    </w:p>
    <w:p w:rsidR="00000000" w:rsidDel="00000000" w:rsidP="00000000" w:rsidRDefault="00000000" w:rsidRPr="00000000" w14:paraId="0000001A">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1B">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 2 </w:t>
      </w:r>
    </w:p>
    <w:p w:rsidR="00000000" w:rsidDel="00000000" w:rsidP="00000000" w:rsidRDefault="00000000" w:rsidRPr="00000000" w14:paraId="0000001C">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Okres obowiązywania umowy</w:t>
      </w:r>
    </w:p>
    <w:p w:rsidR="00000000" w:rsidDel="00000000" w:rsidP="00000000" w:rsidRDefault="00000000" w:rsidRPr="00000000" w14:paraId="0000001D">
      <w:pPr>
        <w:spacing w:after="0" w:line="36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1E">
      <w:pPr>
        <w:numPr>
          <w:ilvl w:val="0"/>
          <w:numId w:val="11"/>
        </w:numPr>
        <w:spacing w:after="0" w:before="280" w:line="360" w:lineRule="auto"/>
        <w:ind w:left="720" w:hanging="360"/>
        <w:jc w:val="both"/>
        <w:rPr>
          <w:rFonts w:ascii="Verdana" w:cs="Verdana" w:eastAsia="Verdana" w:hAnsi="Verdana"/>
        </w:rPr>
      </w:pPr>
      <w:r w:rsidDel="00000000" w:rsidR="00000000" w:rsidRPr="00000000">
        <w:rPr>
          <w:rFonts w:ascii="Verdana" w:cs="Verdana" w:eastAsia="Verdana" w:hAnsi="Verdana"/>
          <w:rtl w:val="0"/>
        </w:rPr>
        <w:t xml:space="preserve">Umowa obowiązuje od dnia jej zawarcia do dnia 30 listopada 2029 r., przy czym świadczenie usługi rozpocznie się nie wcześniej niż 16 listopada 2026 r., w dniu wskazanym przez Zamawiającego w zawiadomieniu przekazanym Wykonawcy z co najmniej 3-dniowym wyprzedzeniem.</w:t>
      </w:r>
    </w:p>
    <w:p w:rsidR="00000000" w:rsidDel="00000000" w:rsidP="00000000" w:rsidRDefault="00000000" w:rsidRPr="00000000" w14:paraId="0000001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Usługa będzie świadczona w dni robocze wynikające z harmonogramu pracy placówki, z wyłączeniem dni ustawowo wolnych od pracy oraz dni, w których placówka nie prowadzi zajęć.</w:t>
      </w:r>
    </w:p>
    <w:p w:rsidR="00000000" w:rsidDel="00000000" w:rsidP="00000000" w:rsidRDefault="00000000" w:rsidRPr="00000000" w14:paraId="000000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Dla potrzeb realizacji Umowy przyjmuje się szacunkowo 765 dni żywieniowych: 32 dni w 2026 r., 251 dni w 2027 r., 249 dni w 2028 r. i 233 dni w 2029 r. Jeżeli świadczenie rozpocznie się po 16 listopada 2026 r., liczba dni i zestawów przypadających na 2026 r. ulega odpowiedniemu zmniejszeniu.</w:t>
      </w:r>
    </w:p>
    <w:p w:rsidR="00000000" w:rsidDel="00000000" w:rsidP="00000000" w:rsidRDefault="00000000" w:rsidRPr="00000000" w14:paraId="000000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Szacunkowa liczba zestawów w całym okresie realizacji wynosi 15 300 sztuk. Faktyczna liczba zestawów zależy od frekwencji uczestników i organizacji pracy placówki.</w:t>
      </w:r>
    </w:p>
    <w:p w:rsidR="00000000" w:rsidDel="00000000" w:rsidP="00000000" w:rsidRDefault="00000000" w:rsidRPr="00000000" w14:paraId="0000002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gwarantuje zamówienie co najmniej 70% liczby zestawów przypadających na faktyczny okres świadczenia usługi, ustalonej przy uwzględnieniu liczby dni żywieniowych pozostałych od dnia rozpoczęcia świadczenia usługi do dnia 30 listopada 2029 r. oraz maksymalnie 20 zestawów dziennie. Zakres gwarantowany ulega odpowiedniemu obniżeniu w przypadku późniejszego rozpoczęcia świadczenia usługi, zawieszenia albo ograniczenia działalności placówki, zmiany harmonogramu projektu lub spadku liczby uczestników z przyczyn niezależnych od Zamawiającego. Wykonawcy nie przysługuje roszczenie o zamówienie liczby zestawów przekraczającej tak ustalony zakres gwarantowany.</w:t>
      </w:r>
    </w:p>
    <w:p w:rsidR="00000000" w:rsidDel="00000000" w:rsidP="00000000" w:rsidRDefault="00000000" w:rsidRPr="00000000" w14:paraId="0000002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Zmniejszenie liczby zestawów w granicach wynikających z ust. 5 nie stanowi zmiany Umowy i nie uprawnia Wykonawcy do odszkodowania, utraconych korzyści ani innej rekompensaty.</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3</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Obowiązki Wykonawcy</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numPr>
          <w:ilvl w:val="0"/>
          <w:numId w:val="5"/>
        </w:numPr>
        <w:spacing w:line="360" w:lineRule="auto"/>
        <w:ind w:left="720" w:hanging="360"/>
        <w:jc w:val="both"/>
        <w:rPr>
          <w:rFonts w:ascii="Verdana" w:cs="Verdana" w:eastAsia="Verdana" w:hAnsi="Verdana"/>
        </w:rPr>
      </w:pPr>
      <w:r w:rsidDel="00000000" w:rsidR="00000000" w:rsidRPr="00000000">
        <w:rPr>
          <w:rFonts w:ascii="Verdana" w:cs="Verdana" w:eastAsia="Verdana" w:hAnsi="Verdana"/>
          <w:rtl w:val="0"/>
        </w:rPr>
        <w:t xml:space="preserve">Wykonawca zobowiązuje się  świadczyć usługę zgodnie z Umową, SWZ i OPZ, terminowo, z należytą starannością właściwą dla profesjonalisty oraz z zachowaniem zasad celowości, oszczędności, przejrzystości i efektywności wymaganych dla wydatków współfinansowanych ze środków Unii Europejskiej.</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Posiłki muszą być świeże, przygotowane w dniu wydawania, zgodne z zatwierdzonym jadłospisem oraz wymaganiami OPZ dotyczącymi składu, gramatury, wartości odżywczej, jakości, temperatury i estetyki.</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Drugie danie może być mięsne, rybne albo jarskie. Posiłek rybny nie może być przygotowany z ryby mielonej. W każdym okresie 10 kolejnych dni żywieniowych potrawy smażone mogą być podane nie więcej niż 2 razy, a pozostałe dania powinny być gotowane, pieczone lub duszone.</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cenie jednostkowej Wykonawca uwzględni diety wynikające z udokumentowanych potrzeb zdrowotnych uczestników, w szczególności dietę bezmleczną, bezglutenową lub z ograniczeniem cukrów, stosownie do faktycznych potrzeb, nawet do 20 zestawów dziennie. Posiłki dietetyczne będą pakowane oddzielnie i oznaczane rodzajem diety bez ujawniania danych uczestnika; Wykonawca zapobiegnie zanieczyszczeniu krzyżowemu.</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przekaże zamówienie na dany dzień elektronicznie lub telefonicznie najpóźniej w poprzednim dniu roboczym do godz. 12.00. W przypadkach nagłych korekta liczby zestawów może zostać przekazana w dniu dostawy do godz. 9.00.</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Skład posiłków nie powinien się powtarzać w ciągu 10 dni. Nie dopuszcza się produktów typu instant ani gotowych półproduktów, z zastrzeżeniem produktów, których użycie wyraźnie dopuszcza OPZ.</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przekaże jadłospis na 5 kolejnych dni roboczych co najmniej 3 dni robocze przed rozpoczęciem jego obowiązywania. Jadłospis wskaże nazwę posiłku, skład zestawu, gramaturę, napój i alergeny. Uzasadnione uwagi Zamawiającego zostaną uwzględnione najpóźniej w następnym dniu roboczym.</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Odbiór każdej dostawy zostanie potwierdzony w dziennym zestawieniu dostaw. W przypadku braków, niezgodności z jadłospisem, niewłaściwej temperatury, naruszenia opakowań lub innych wad Zamawiający może odmówić odbioru wadliwej części, a Wykonawca dostarczy zestawy wolne od wad bez dodatkowego wynagrodzenia w czasie zadeklarowanym w ofercie, nie dłuższym niż 60 minut od zgłoszenia.</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Jeżeli Wykonawca nie dostarczy zestawów wolnych od wad w terminie określonym w ust. 8, odmówi dostawy, dostarczy liczbę zestawów mniejszą od zamówionej albo zachodzi uzasadnione ryzyko niezapewnienia posiłków uczestnikom, Zamawiający może, bez odrębnego wezwania i bez zgody Wykonawcy, nabyć brakujące lub zastępcze posiłki od osoby trzeciej na koszt i ryzyko Wykonawcy. Wykonawca zwróci udokumentowaną różnicę pomiędzy kosztem wykonania zastępczego a wynagrodzeniem, które byłoby należne za prawidłowe wykonanie dostawy, oraz inne uzasadnione i udokumentowane koszty poniesione przez Zamawiającego, w terminie 7 dni od doręczenia wezwania. Skorzystanie z wykonania zastępczego nie wyłącza naliczenia kar umownych ani dochodzenia odszkodowania uzupełniającego.</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chwili dostawy temperatura dań gorących wynosi co najmniej 63°C, a potraw wymagających warunków chłodniczych nie więcej niż 8°C, chyba że przepisy lub wymagania producenta są bardziej rygorystyczne.</w:t>
      </w:r>
    </w:p>
    <w:p w:rsidR="00000000" w:rsidDel="00000000" w:rsidP="00000000" w:rsidRDefault="00000000" w:rsidRPr="00000000" w14:paraId="0000003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Dostawy odbywają się w uzgodnionym przedziale pomiędzy godz. 12.00 a 14.30. Wykonawca odbiera własne pojemniki transportowe i odpady pokonsumpcyjne najpóźniej w następnym dniu dostawy.</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zapewnia naczynia i sztućce do spożywania posiłków oraz odpowiada za ich wydawanie uczestnikom.</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ponosi koszty transportu, zapewnia właściwe termosy i pojemniki oraz utrzymuje je w czystości.</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razie awarii lub innego nieprzewidzianego zdarzenia Wykonawca na własny koszt i ryzyko zapewni ciągłość usługi, korzystając z zakładu lub podmiotu spełniającego wszystkie wymagania sanitarne, jakościowe i organizacyjne, i niezwłocznie poinformuje o tym Zamawiającego.</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Przygotowanie, znakowanie, przechowywanie i transport żywności muszą odpowiadać obowiązującym przepisom, w szczególności ustawie o bezpieczeństwie żywności i żywienia, rozporządzeniom (WE) nr 852/2004 i (UE) nr 1169/2011 oraz procedurom opartym na zasadach HACCP. Wykonawca przekazuje informacje o składnikach i alergenach.</w:t>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pobiera i przechowuje próbki żywnościowe zgodnie z obowiązującymi przepisami sanitarnymi.</w:t>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przechowuje dokumentację realizacji Umowy w sposób zapewniający właściwą ścieżkę audytu i udostępnia ją uprawnionym podmiotom kontrolnym.</w:t>
      </w:r>
    </w:p>
    <w:p w:rsidR="00000000" w:rsidDel="00000000" w:rsidP="00000000" w:rsidRDefault="00000000" w:rsidRPr="00000000" w14:paraId="00000039">
      <w:pPr>
        <w:spacing w:after="0" w:line="360" w:lineRule="auto"/>
        <w:jc w:val="both"/>
        <w:rPr>
          <w:rFonts w:ascii="Verdana" w:cs="Verdana" w:eastAsia="Verdana" w:hAnsi="Verdana"/>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4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Klauzula zatrudnienia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E">
      <w:pPr>
        <w:numPr>
          <w:ilvl w:val="0"/>
          <w:numId w:val="9"/>
        </w:numPr>
        <w:spacing w:line="360" w:lineRule="auto"/>
        <w:ind w:left="720" w:hanging="360"/>
        <w:jc w:val="both"/>
        <w:rPr>
          <w:rFonts w:ascii="Verdana" w:cs="Verdana" w:eastAsia="Verdana" w:hAnsi="Verdana"/>
        </w:rPr>
      </w:pPr>
      <w:r w:rsidDel="00000000" w:rsidR="00000000" w:rsidRPr="00000000">
        <w:rPr>
          <w:rFonts w:ascii="Verdana" w:cs="Verdana" w:eastAsia="Verdana" w:hAnsi="Verdana"/>
          <w:rtl w:val="0"/>
        </w:rPr>
        <w:t xml:space="preserve">Na podstawie art. 95 i art. 438 ustawy Pzp Zamawiający wymaga, aby osoby wykonujące czynności polegające na przygotowywaniu posiłków, w tym kucharz oraz osoba przygotowująca jadłospis, były przez cały okres wykonywania tych czynności zatrudnione przez Wykonawcę lub podwykonawcę na podstawie stosunku pracy, jeżeli czynności te odpowiadają warunkom określonym w art. 22 § 1 Kodeksu pracy. Wymóg nie dotyczy osoby wykonującej czynności w ramach prowadzonej przez nią działalności gospodarczej.</w:t>
      </w:r>
    </w:p>
    <w:p w:rsidR="00000000" w:rsidDel="00000000" w:rsidP="00000000" w:rsidRDefault="00000000" w:rsidRPr="00000000" w14:paraId="0000003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Na każde wezwanie Zamawiającego Wykonawca w wyznaczonym terminie przedłoży oświadczenie Wykonawcy lub podwykonawcy potwierdzające zatrudnienie wymaganych osób, zawierające co najmniej oznaczenie podmiotu, datę złożenia, liczbę osób, rodzaj umowy o pracę, wymiar etatu i podpis osoby uprawnionej. Zamawiający może żądać również innych dokumentów dopuszczonych art. 438 ust. 2 Pzp, z zachowaniem przepisów o ochronie danych osobowych.</w:t>
      </w:r>
    </w:p>
    <w:p w:rsidR="00000000" w:rsidDel="00000000" w:rsidP="00000000" w:rsidRDefault="00000000" w:rsidRPr="00000000" w14:paraId="0000004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poinformuje Zamawiającego o zmianie osób objętych wymogiem i zapewni ciągłość jego spełniania przez zatrudnienie osób zastępujących, nie później niż od dnia rozpoczęcia przez nie wykonywania czynności.</w:t>
      </w:r>
    </w:p>
    <w:p w:rsidR="00000000" w:rsidDel="00000000" w:rsidP="00000000" w:rsidRDefault="00000000" w:rsidRPr="00000000" w14:paraId="0000004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może żądać wyjaśnień i dokumentów, przeprowadzać kontrolę w miejscu wykonywania świadczenia oraz zwrócić się do Państwowej Inspekcji Pracy o przeprowadzenie kontroli.</w:t>
      </w:r>
    </w:p>
    <w:p w:rsidR="00000000" w:rsidDel="00000000" w:rsidP="00000000" w:rsidRDefault="00000000" w:rsidRPr="00000000" w14:paraId="0000004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Nieprzedłożenie dokumentów w terminie lub niespełnienie wymogu zatrudnienia stanowi nienależyte wykonanie Umowy i podlega karom określonym w § 6.</w:t>
      </w:r>
    </w:p>
    <w:p w:rsidR="00000000" w:rsidDel="00000000" w:rsidP="00000000" w:rsidRDefault="00000000" w:rsidRPr="00000000" w14:paraId="0000004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Jeżeli oferta Wykonawcy uzyskała punkty w kryterium społecznym, Wykonawca zatrudni co najmniej jedną osobę należącą do grupy wskazanej w art. 96 ust. 2 pkt 2 Pzp, najpóźniej w terminie 30 dni od rozpoczęcia świadczenia usługi, i zapewni jej faktyczny udział w realizacji zamówienia przez co najmniej 12 miesięcy, a jeżeli do końca Umowy pozostaje okres krótszy – do dnia zakończenia Umowy. Ustanie zatrudnienia wymaga zastąpienia tej osoby w terminie 30 dni.</w:t>
      </w:r>
    </w:p>
    <w:p w:rsidR="00000000" w:rsidDel="00000000" w:rsidP="00000000" w:rsidRDefault="00000000" w:rsidRPr="00000000" w14:paraId="0000004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celu kontroli kryterium społecznego Wykonawca, na wezwanie, w terminie 7 dni przedłoży oświadczenie o zatrudnieniu i zaangażowaniu osoby oraz dokument potwierdzający jej przynależność do właściwej grupy, z zastosowaniem zasady minimalizacji danych.</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5</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Płatności</w:t>
      </w:r>
      <w:r w:rsidDel="00000000" w:rsidR="00000000" w:rsidRPr="00000000">
        <w:rPr>
          <w:rtl w:val="0"/>
        </w:rPr>
      </w:r>
    </w:p>
    <w:p w:rsidR="00000000" w:rsidDel="00000000" w:rsidP="00000000" w:rsidRDefault="00000000" w:rsidRPr="00000000" w14:paraId="00000048">
      <w:pPr>
        <w:numPr>
          <w:ilvl w:val="0"/>
          <w:numId w:val="3"/>
        </w:numPr>
        <w:spacing w:line="360" w:lineRule="auto"/>
        <w:ind w:left="720" w:hanging="360"/>
        <w:jc w:val="both"/>
        <w:rPr>
          <w:rFonts w:ascii="Verdana" w:cs="Verdana" w:eastAsia="Verdana" w:hAnsi="Verdana"/>
        </w:rPr>
      </w:pPr>
      <w:r w:rsidDel="00000000" w:rsidR="00000000" w:rsidRPr="00000000">
        <w:rPr>
          <w:rFonts w:ascii="Verdana" w:cs="Verdana" w:eastAsia="Verdana" w:hAnsi="Verdana"/>
          <w:rtl w:val="0"/>
        </w:rPr>
        <w:t xml:space="preserve">Wynagrodzenie jest rozliczane miesięcznie jako iloczyn liczby zestawów faktycznie zamówionych, prawidłowo dostarczonych i odebranych w danym miesiącu oraz ceny jednostkowej brutto wskazanej w ofercie.</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Maksymalna wartość Umowy, obliczona dla 15 300 zestawów, wynosi ………………… zł brutto (słownie: ……………………………………). Wartość ta ma charakter maksymalny i nie stanowi zobowiązania do zamówienia pełnej liczby szacunkowej.</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Cena jednostkowa brutto jednego zestawu żywieniowego wynosi …………… zł i obejmuje wszystkie koszty prawidłowej realizacji Umowy, w tym diety, opakowania, transport, odbiór pojemników i odpadów oraz należne podatki.</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Podstawą wystawienia faktury jest zaakceptowane przez Zamawiającego miesięczne zestawienie dostaw.</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Termin płatności wynosi 14 dni od doręczenia Zamawiającemu prawidłowo wystawionej faktury, przelewem na rachunek Wykonawcy wskazany na fakturze. Za dzień zapłaty uznaje się dzień obciążenia rachunku Zamawiającego.</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Faktura powinna zawierać numer Umowy i oznaczenie projektu: „Bezpieczni i zaopiekowani w Gminie Stanin”, nr FELU.08.05-IZ.00-0088/25.</w:t>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Faktura może zostać doręczona w formie dopuszczonej obowiązującymi przepisami, w tym za pośrednictwem Krajowego Systemu e-Faktur, jeżeli przepisy wymagają lub dopuszczają zastosowanie tego systemu. Za dzień doręczenia faktury ustrukturyzowanej uznaje się dzień przydzielenia numeru identyfikującego fakturę w KSeF.</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okresie niedostępności lub awarii KSeF stosuje się zasady wystawiania i przekazywania faktur wynikające z obowiązujących przepisów. Fakturę przesłaną zastępczo doręcza się na adres e-mail ………………… albo adres Zamawiającego wskazany w Umowie.</w:t>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stosuje mechanizm podzielonej płatności, jeżeli zachodzą ustawowe przesłanki jego zastosowania. Rachunek Wykonawcy powinien znajdować się w wykazie podatników VAT, jeżeli obowiązek taki wynika z przepisów.</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nie może bez uprzedniej pisemnej zgody Zamawiającego przenieść wierzytelności, praw ani obowiązków wynikających z Umowy na osobę trzecią.</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80" w:before="0" w:line="360" w:lineRule="auto"/>
        <w:ind w:left="720"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Cena jednostkowa może ulec zmianie wyłącznie w przypadkach i na zasadach określonych w § 8 i § 10 Umowy.</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6</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Kary umowne</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niewykonanie lub nienależyte wykonanie Umowy Zamawiający może naliczyć Wykonawcy następujące kary umowne: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opóźnienie w dostawie względem uzgodnionego przedziału dostawy – 100 zł za każde rozpoczęte 15 minut opóźnienia w danym dniu dostawy;</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każdy zestaw niedostarczony albo dostarczony w liczbie mniejszej niż zamówiona – 150% ceny jednostkowej brutto tego zestawu;</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każdą partię lub część partii o temperaturze niezgodnej z Umową lub OPZ – 500 zł;</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każdy przypadek dostarczenia posiłków niezgodnych z jadłospisem, wymaganą gramaturą, składem, jakością, wymaganiami sanitarnymi lub innymi wymaganiami Umowy albo OPZ – 750 zł;</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niedostarczenie zestawów wolnych od wad w czasie zadeklarowanym w ofercie, nie dłuższym niż 60 minut od zgłoszenia – 1 000 zł za każdy przypadek;</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każdy przypadek przygotowania lub oznaczenia diety niezgodnie z przekazaną informacją o wymaganym rodzaju diety albo dopuszczenia do zanieczyszczenia krzyżowego – 1 500 zł;</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nieprzekazanie jadłospisu w terminie albo nieuwzględnienie uzasadnionych uwag Zamawiającego w terminie – 300 zł za każdy dzień opóźnienia;</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niespełnienie wymogu zatrudnienia na podstawie stosunku pracy – 1 000 zł za każdą osobę i każdy rozpoczęty miesiąc niespełniania wymogu, a za nieprzedłożenie dokumentów w terminie – 300 zł za każdy dzień opóźnienia;</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niespełnienie zobowiązania wynikającego z kryterium społecznego – 2 000 zł za każdy rozpoczęty miesiąc niespełniania wymagania;</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nieprzedłożenie dokumentów lub informacji wymaganych w związku z kontrolą realizacji Umowy – 300 zł za każdy dzień opóźnienia;</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 odstąpienie od Umowy albo jej rozwiązanie przez Zamawiającego z przyczyn leżących po stronie Wykonawcy, a także za odstąpienie lub rozwiązanie Umowy przez Wykonawcę z przyczyn nieleżących po stronie Zamawiającego – 20% maksymalnego wynagrodzenia brutto określonego w § 5 ust. 2.</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Jeżeli jedno zdarzenie wyczerpuje znamiona kilku naruszeń, kary mogą być naliczane odrębnie za każde naruszenie, z wyjątkiem kar dotyczących tego samego skutku i tego samego obowiązku, które nie podlegają kumulacji.</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Karę nalicza się za każdy stwierdzony przypadek naruszenia, chyba że dane postanowienie wyraźnie przewiduje naliczanie za dzień, miesiąc, osobę, zestaw albo jednostkę czasu.</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Łączna maksymalna wysokość kar umownych nie może przekroczyć 30% maksymalnego wynagrodzenia brutto określonego w § 5 ust. 2.</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może dochodzić odszkodowania przewyższającego wysokość naliczonych kar na zasadach ogólnych, w tym kosztów wykonania zastępczego.</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Kary mogą być potrącane z wynagrodzenia Wykonawcy po uprzednim przekazaniu noty obciążeniowej, o ile potrącenie jest dopuszczalne zgodnie z obowiązującymi przepisami.</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Zapłata kary nie zwalnia Wykonawcy z obowiązku wykonania świadczenia, usunięcia naruszenia ani zwrotu kosztów wykonania zastępczego.</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7</w:t>
      </w:r>
    </w:p>
    <w:p w:rsidR="00000000" w:rsidDel="00000000" w:rsidP="00000000" w:rsidRDefault="00000000" w:rsidRPr="00000000" w14:paraId="0000006A">
      <w:pPr>
        <w:spacing w:after="0" w:line="360" w:lineRule="auto"/>
        <w:jc w:val="both"/>
        <w:rPr>
          <w:rFonts w:ascii="Verdana" w:cs="Verdana" w:eastAsia="Verdana" w:hAnsi="Verdana"/>
          <w:b w:val="1"/>
          <w:bCs w:val="1"/>
          <w:color w:val="000000"/>
        </w:rPr>
      </w:pPr>
      <w:r w:rsidDel="00000000" w:rsidR="00000000" w:rsidRPr="00000000">
        <w:rPr>
          <w:rFonts w:ascii="Verdana" w:cs="Verdana" w:eastAsia="Verdana" w:hAnsi="Verdana"/>
          <w:b w:val="1"/>
          <w:bCs w:val="1"/>
          <w:color w:val="000000"/>
          <w:rtl w:val="0"/>
        </w:rPr>
        <w:t xml:space="preserve">Rozwiązanie, wypowiedzenie i odstąpienie od Umowy</w:t>
      </w:r>
    </w:p>
    <w:p w:rsidR="00000000" w:rsidDel="00000000" w:rsidP="00000000" w:rsidRDefault="00000000" w:rsidRPr="00000000" w14:paraId="000000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może rozwiązać Umowę ze skutkiem natychmiastowym, w całości albo w niewykonanej części, jeżeli Wykonawca:</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nie rozpoczął świadczenia usługi w terminie lub przerwał jej wykonywanie na okres dłuższy niż 2 kolejne dni żywieniowe;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co najmniej dwukrotnie w okresie 30 dni dopuścił się opóźnienia, braku dostawy, dostawy posiłków wadliwych albo nie zapewnił dostawy zastępczej w wymaganym terminie;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naruszył wymagania sanitarne, zasady bezpieczeństwa żywności, obowiązki dotyczące diet albo ochrony danych w sposób stwarzający ryzyko dla uczestników lub Zamawiającego;</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utracił wymagane uprawnienia, decyzje, zatwierdzenia lub zdolność do wykonywania Umowy;</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1"/>
          <w:numId w:val="1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mimo pisemnego wezwania nie usunął innego istotnego naruszenia Umowy w terminie nie krótszym niż 3 dni robocze.</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przypadkach zagrażających zdrowiu uczestników, ciągłości żywienia, bezpieczeństwu żywności lub ochronie danych Zamawiający może rozwiązać Umowę bez wcześniejszego wezwania.</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może wypowiedzieć Umowę z zachowaniem 30-dniowego okresu wypowiedzenia ze skutkiem na koniec miesiąca kalendarzowego, jeżeli nastąpi trwałe zakończenie, zawieszenie albo istotne ograniczenie działalności placówki, zmiana zasad lub finansowania projektu uniemożliwiająca dalszą realizację usługi albo inne niezależne od Zamawiającego okoliczności powodujące trwały brak zapotrzebowania na usługę.</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może odstąpić od Umowy w przypadkach i terminach określonych w art. 456 ustawy Pzp. Wykonawca może wówczas żądać wyłącznie wynagrodzenia należnego za prawidłowo wykonaną część Umowy.</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Oświadczenie o rozwiązaniu, wypowiedzeniu lub odstąpieniu wymaga formy pisemnej pod rygorem nieważności i wskazania podstawy. Uprawnienie do rozwiązania Umowy z przyczyn określonych w ust. 1 może zostać wykonane w terminie 30 dni od powzięcia przez Zamawiającego wiadomości o danej podstawie.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Zakończenie Umowy nie narusza prawa Zamawiającego do naliczenia kar, wykonania zastępczego ani dochodzenia odszkodowania. Wykonawcy przysługuje wyłącznie wynagrodzenie za świadczenia prawidłowo wykonane i odebrane do dnia zakończenia Umowy.</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8</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Zmiany umowy</w:t>
      </w:r>
    </w:p>
    <w:p w:rsidR="00000000" w:rsidDel="00000000" w:rsidP="00000000" w:rsidRDefault="00000000" w:rsidRPr="00000000" w14:paraId="0000007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Zmiana Umowy jest dopuszczalna wyłącznie w przypadkach określonych w art. 454–455 ustawy Pzp oraz w postanowieniach niniejszego paragrafu, z zachowaniem zasad kwalifikowalności wydatków i warunków dofinansowania projektu.</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Zamawiający przewiduje możliwość zmiany Umowy w przypadku:</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zmiany terminu rozpoczęcia, harmonogramu lub okresów świadczenia usługi, spowodowanej organizacją placówki, przebiegiem projektu, opóźnieniem w zawarciu Umowy albo okolicznościami niezależnymi od Zamawiającego – wyłącznie o okres odpowiadający wpływowi tych okoliczności;</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zmiany godzin, częstotliwości, sposobu składania zamówień lub organizacji dostaw, jeżeli nie zwiększa to ogólnego zakresu świadczenia, a ewentualna zmiana kosztów zostanie wykazana i ograniczona do kosztów bezpośrednio wynikających ze zmiany;</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zmiany miejsca dostawy w granicach obszaru Gminy Stanin; zmiana wynagrodzenia może obejmować wyłącznie należycie udokumentowaną zmianę kosztów transportu;</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zmiany powszechnie obowiązujących przepisów, wytycznych programu, umowy o dofinansowanie lub zaleceń Instytucji Zarządzającej, w zakresie koniecznym do dostosowania Umowy;</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wystąpienia siły wyższej albo czasowego zawieszenia lub ograniczenia działalności placówki – w zakresie terminu, organizacji, miejsca lub sposobu świadczenia, przez czas niezbędny do usunięcia skutków zdarzenia;</w:t>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zmiany podwykonawcy lub zakresu podwykonawstwa, pod warunkiem zachowania wymagań SWZ, Umowy i ustawy Pzp;</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zmiany wynagrodzenia na zasadach określonych w § 10 albo w innych bezwzględnie obowiązujących przepisach.</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Liczba zamawianych zestawów może zmieniać się bez aneksu w granicach maksymalnej wartości Umowy i zakresu gwarantowanego ustalonego zgodnie z § 2 ust. 5. Zwiększenie maksymalnej wartości lub zakresu Umowy wymaga podstawy z art. 455 ustawy Pzp, zapewnienia finansowania oraz aneksu.</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Zmiana nie może prowadzić do zmiany ogólnego charakteru Umowy, obejmować kosztów niezwiązanych bezpośrednio z jej przyczyną ani przyznawać Wykonawcy korzyści, których nie można było przewidzieć w dokumentach zamówienia.</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Przez siłę wyższą rozumie się zewnętrzne, nadzwyczajne i niemożliwe do przewidzenia zdarzenie, któremu Strona nie mogła zapobiec przy zachowaniu należytej staranności. Strona dotknięta takim zdarzeniem niezwłocznie zawiadomi drugą Stronę i przedstawi dostępne dowody jego wpływu na wykonanie Umowy.</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Strona wnioskująca o zmianę przedłoży pisemny wniosek zawierający opis i podstawę zmiany, wykazanie związku przyczynowego, proponowany zakres i czas obowiązywania, wpływ na wynagrodzenie i realizację projektu oraz dokumenty potwierdzające zasadność i wysokość zmiany. Ciężar wykazania przesłanek zmiany spoczywa na Stronie, która się jej domaga.</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Zmiana Umowy wymaga aneksu w formie pisemnej pod rygorem nieważności, z wyjątkiem zmian danych kontaktowych, osób wskazanych do kontaktu i rachunku bankowego, które wymagają pisemnego zawiadomienia, oraz zmian wyraźnie wskazanych w Umowie jako niewymagające aneksu.</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Żadna zmiana nie może naruszać zasad uczciwej konkurencji, równego traktowania wykonawców i przejrzystości ani prowadzić do uznania wydatku za niekwalifikowalny w projekcie.</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9</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Osoby uprawnione do kontaktu</w:t>
      </w:r>
    </w:p>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Bezpośredni nadzór nad prawidłową realizacją przedmiotu umowy ze strony Zamawiającego:</w:t>
        <w:br w:type="textWrapping"/>
        <w:t xml:space="preserv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2.  Przedstawicielem Wykonawcy wyznaczonym do kontaktu z Zamawiającym </w:t>
        <w:br w:type="textWrapping"/>
        <w:t xml:space="preserve">     w sprawach dotyczących realizacji umowy jest: …………………………………….., </w:t>
        <w:br w:type="textWrapping"/>
        <w:t xml:space="preserve">     e-mail: …………………………………… tel. …………………………………………..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10</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Klauzula waloryzacyjna</w:t>
      </w:r>
    </w:p>
    <w:p w:rsidR="00000000" w:rsidDel="00000000" w:rsidP="00000000" w:rsidRDefault="00000000" w:rsidRPr="00000000" w14:paraId="0000009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Stosownie do art. 436 pkt 4 lit. b oraz art. 439 ustawy Pzp wynagrodzenie może ulec zmianie w przypadku zmiany: 1) cen materiałów lub kosztów związanych z realizacją zamówienia; 2) stawki podatku VAT lub podatku akcyzowego; 3) wysokości minimalnego wynagrodzenia za pracę albo minimalnej stawki godzinowej; 4) zasad podlegania ubezpieczeniom społecznym lub zdrowotnemu albo wysokości składek; 5) zasad gromadzenia i wysokości wpłat do pracowniczych planów kapitałowych – jeżeli zmiany te wpływają na koszty wykonania Umowy.</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Zmiana cen materiałów lub kosztów oznacza ich wzrost albo obniżenie względem poziomu przyjętego na dzień upływu terminu składania ofert. Podstawą obliczeń jest ogłaszany przez Prezesa GUS wskaźnik cen towarów i usług konsumpcyjnych ogółem za półrocze w stosunku do analogicznego półrocza roku poprzedniego.</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Zmiana ceny jednostkowej następuje, gdy wskaźnik, o którym mowa w ust. 2, wykaże wzrost albo spadek przekraczający 5%. Zmiana odpowiada iloczynowi wartości wskaźnika ponad próg 5% oraz udziału kosztowego wynoszącego 40% ceny jednostkowej. Jeżeli wskaźnik wynosi przykładowo 108%, cena jednostkowa zmienia się o 1,2%, tj. (8% − 5%) × 40%.</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Pierwszy wniosek o zmianę może zostać złożony po upływie 6 miesięcy od dnia zawarcia Umowy, na podstawie pierwszego wskaźnika opublikowanego po upływie tego okresu. Kolejne wnioski mogą być składane nie częściej niż raz na 6 miesięcy i dotyczą wyłącznie świadczeń wykonywanych po dniu wejścia w życie aneksu.</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Zmiana jest obliczana od aktualnej ceny jednostkowej, z uwzględnieniem zmian już dokonanych. Ta sama zmiana kosztu nie może stanowić podstawy więcej niż jednej waloryzacji ani zostać uwzględniona jednocześnie na podstawie art. 439 ustawy Pzp i innej podstawy zmiany wynagrodzenia. Z waloryzacji wyłącza się część kosztów, której zmiana została skompensowana zmianą podatku, płacy minimalnej, składek lub wpłat do PPK.</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Łączna maksymalna zmiana ceny jednostkowej na podstawie art. 439 ustawy Pzp, liczona jako suma bezwzględnych wartości podwyżek i obniżek, nie może przekroczyć 15% ceny jednostkowej brutto z oferty. Waloryzacja nie powoduje zwiększenia maksymalnej liczby zestawów; maksymalna wartość Umowy ulega zmianie wyłącznie o skutek waloryzacji dotyczący zestawów pozostałych do wykonania.</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Strona wnioskująca o zmianę przedłoży wyliczenie obejmujące właściwy wskaźnik, cenę przed i po zmianie, część niewykonaną oraz wykazanie braku podwójnego uwzględnienia tych samych kosztów. Druga Strona w terminie 14 dni roboczych zaakceptuje wniosek albo przekaże uzasadnione zastrzeżenia. Zmiana wymaga aneksu i obowiązuje od daty w nim określonej, nie wcześniejszej niż dzień złożenia kompletnego wniosku.</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przypadku zmiany stawki VAT lub podatku akcyzowego cena netto pozostaje bez zmian, a cena brutto ulega zmianie wyłącznie w odniesieniu do świadczeń wykonywanych od dnia wejścia w życie nowych przepisów.</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przypadku zmian, o których mowa w ust. 1 pkt 3–5, wynagrodzenie ulega zmianie wyłącznie o wykazany, rzeczywisty wpływ zmiany prawa na koszty osób bezpośrednio wykonujących Umowę, w części odpowiadającej ich zaangażowaniu w realizację zamówienia. Wniosek wymaga szczegółowych wyliczeń i dokumentów porównawczych sprzed i po zmianie, z zachowaniem zasady minimalizacji danych.</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którego wynagrodzenie zostało zmienione na podstawie art. 439 ustawy Pzp, zmieni odpowiednio wynagrodzenie podwykonawcy w zakresie odpowiadającym zmianie cen materiałów lub kosztów dotyczących zobowiązania podwykonawcy, jeżeli okres obowiązywania umowy o podwykonawstwo przekracza 6 miesięcy, oraz przedłoży Zamawiającemu dokument potwierdzający zmianę w terminie 14 dni od zawarcia aneksu z podwykonawcą.</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11</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Ochrona danych osobowych</w:t>
      </w:r>
    </w:p>
    <w:p w:rsidR="00000000" w:rsidDel="00000000" w:rsidP="00000000" w:rsidRDefault="00000000" w:rsidRPr="00000000" w14:paraId="000000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Każda ze Stron jest odrębnym administratorem danych osobowych osób reprezentujących drugą Stronę, jej personelu i osób wyznaczonych do kontaktu, przetwarzanych w celu zawarcia, wykonywania, kontroli i rozliczenia Umowy oraz dochodzenia roszczeń, na podstawach wynikających z RODO i obowiązujących przepisów prawa.</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Strony przekażą osobom, których dane udostępniają, wymagane informacje o przetwarzaniu danych zgodnie z art. 13 lub 14 RODO. Dane będą przechowywane przez okres realizacji Umowy, trwałości i kontroli projektu, archiwizacji wymaganej przepisami oraz przedawnienia roszczeń.</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Informacje o dietach wynikających ze stanu zdrowia stanowią szczególne kategorie danych osobowych. Zamawiający przekazuje Wykonawcy wyłącznie informację niezbędną do przygotowania właściwego rodzaju diety, co do zasady bez imienia, nazwiska, numeru uczestnika ani innych danych pozwalających Wykonawcy ustalić jego tożsamość.</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Jeżeli prawidłowa realizacja Umowy wymaga powierzenia Wykonawcy danych osobowych uczestników, w szczególności danych dotyczących zdrowia, Strony przed przekazaniem danych zawrą umowę powierzenia przetwarzania zgodną z art. 28 RODO, określającą w szczególności cel, zakres, czas przetwarzania, kategorie osób i danych, środki bezpieczeństwa, zasady dalszego powierzenia, zgłaszania naruszeń, audytu oraz usunięcia lub zwrotu danych. Do czasu jej zawarcia Wykonawca nie jest uprawniony do otrzymywania danych umożliwiających identyfikację uczestnika.</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zapewni, aby dostęp do informacji o dietach miały wyłącznie osoby upoważnione i zobowiązane do poufności, stosował adekwatne środki techniczne i organizacyjne, nie kopiował ani nie wykorzystywał danych w innym celu oraz usuwał informacje niezwłocznie po ustaniu potrzeby ich wykorzystania, z uwzględnieniem obowiązku dokumentowania realizacji Umowy.</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Posiłki dietetyczne oznacza się wyłącznie rodzajem diety lub neutralnym kodem uzgodnionym z Zamawiającym. Zakazane jest umieszczanie na opakowaniu danych o zdrowiu lub innych informacji umożliwiających identyfikację uczestnika przez osoby nieupoważnione.</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zgłosi Zamawiającemu każde podejrzenie naruszenia ochrony danych dotyczących realizacji Umowy niezwłocznie, nie później niż w ciągu 12 godzin od jego stwierdzenia, przekazując informacje niezbędne do oceny skutków i wykonania obowiązków wynikających z RODO, oraz będzie współpracował przy obsłudze żądań osób, kontroli i incydentów.</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Wykonawca ponosi odpowiedzialność za przetwarzanie danych niezgodnie z Umową, umową powierzenia lub przepisami prawa, w tym za działania osób, którym umożliwił dostęp do danych, na zasadach wynikających z RODO, Kodeksu cywilnego i niniejszej Umowy.</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 12</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4"/>
          <w:szCs w:val="24"/>
          <w:u w:val="none"/>
          <w:shd w:fill="auto" w:val="clear"/>
          <w:vertAlign w:val="baseline"/>
          <w:rtl w:val="0"/>
        </w:rPr>
        <w:t xml:space="preserve">Postanowienia końcowe</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Wszystkie zmiany i uzupełnienia umowy wymagają formy pisemnej, pod rygorem nieważności.</w:t>
      </w:r>
    </w:p>
    <w:p w:rsidR="00000000" w:rsidDel="00000000" w:rsidP="00000000" w:rsidRDefault="00000000" w:rsidRPr="00000000" w14:paraId="000000A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W sprawach nieuregulowanych niniejszą umową mają zastosowanie przepisy Kodeksu cywilnego oraz inne obowiązujące przepisy, w szczególności prawa zamówień publicznych.</w:t>
      </w:r>
    </w:p>
    <w:p w:rsidR="00000000" w:rsidDel="00000000" w:rsidP="00000000" w:rsidRDefault="00000000" w:rsidRPr="00000000" w14:paraId="000000A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Przeniesienie praw lub obowiązków Wykonawcy wynikających z niniejszej umowy wymaga uzyskania uprzedniej zgody Zamawiającego, wyrażonej w formie pisemnej pod rygorem nieważności.</w:t>
      </w:r>
    </w:p>
    <w:p w:rsidR="00000000" w:rsidDel="00000000" w:rsidP="00000000" w:rsidRDefault="00000000" w:rsidRPr="00000000" w14:paraId="000000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Jeżeli niektóre postanowienia niniejszej Umowy są lub staną się nieważne, nie narusza to ważności pozostałych postanowień Umowy. Zamiast nieważnych postanowień obowiązywać będzie odpowiednia regulacja, która w sposób możliwie najbliższy będzie odpowiadać temu, co strony ustaliły lub temu, co ustaliłyby, gdyby zawarły takie postanowienie.</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Ewentualne spory związane z realizacją niniejszej umowy, będą w pierwszej kolejności rozstrzygane polubownie. W przypadku, gdy polubowne rozwiązanie sporu nie dojdzie do skutku, rozstrzygać będzie Sąd powszechny miejscowo właściwy dla siedziby Zamawiającego.</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Umowę sporządzono w dwóch jednobrzmiących egzemplarzach, po jednym dla każdej ze stron.</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Załączniki: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Załącznik nr 1 – Oferta Wykonawcy</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Załącznik nr 2 – OPZ</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Załącznik nr 3 - Oświadczenie Wykonawcy o zatrudnieniu na podstawie stosunku pracy (zgodnie z § 4 ust. 2) umowy) – wzór.</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Verdana" w:cs="Verdana" w:eastAsia="Verdana" w:hAnsi="Verdana"/>
          <w:b w:val="0"/>
          <w:bCs w:val="0"/>
          <w:i w:val="0"/>
          <w:iCs w:val="0"/>
          <w:smallCaps w:val="0"/>
          <w:strike w:val="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Załącznik nr 4 - oświadczenie Wykonawcy o braku wpisania osób / podmiotu na aktualną listę sankcyjną w rozumieniu art. 7 ust. 1 ustawy z dnia 13.04.2022 r. o szczególnych rozwiązaniach w zakresie przeciwdziałania wspieraniu agresji na Ukrainę oraz służących ochronie bezpieczeństwa narodowego – wzór</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8">
      <w:pPr>
        <w:spacing w:after="0" w:line="36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B9">
      <w:pPr>
        <w:spacing w:after="0" w:line="36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BA">
      <w:pPr>
        <w:spacing w:after="0" w:line="36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BB">
      <w:pPr>
        <w:spacing w:after="0" w:line="360" w:lineRule="auto"/>
        <w:jc w:val="both"/>
        <w:rPr>
          <w:rFonts w:ascii="Verdana" w:cs="Verdana" w:eastAsia="Verdana" w:hAnsi="Verdana"/>
          <w:b w:val="1"/>
          <w:bCs w:val="1"/>
        </w:rPr>
      </w:pPr>
      <w:r w:rsidDel="00000000" w:rsidR="00000000" w:rsidRPr="00000000">
        <w:rPr>
          <w:rtl w:val="0"/>
        </w:rPr>
      </w:r>
    </w:p>
    <w:p w:rsidR="00000000" w:rsidDel="00000000" w:rsidP="00000000" w:rsidRDefault="00000000" w:rsidRPr="00000000" w14:paraId="000000BC">
      <w:pPr>
        <w:spacing w:after="0" w:line="360" w:lineRule="auto"/>
        <w:jc w:val="both"/>
        <w:rPr>
          <w:rFonts w:ascii="Verdana" w:cs="Verdana" w:eastAsia="Verdana" w:hAnsi="Verdana"/>
          <w:b w:val="1"/>
          <w:bCs w:val="1"/>
        </w:rPr>
      </w:pPr>
      <w:r w:rsidDel="00000000" w:rsidR="00000000" w:rsidRPr="00000000">
        <w:rPr>
          <w:rFonts w:ascii="Verdana" w:cs="Verdana" w:eastAsia="Verdana" w:hAnsi="Verdana"/>
          <w:b w:val="1"/>
          <w:bCs w:val="1"/>
          <w:rtl w:val="0"/>
        </w:rPr>
        <w:t xml:space="preserve">WYKONAWCA: </w:t>
        <w:tab/>
        <w:tab/>
        <w:tab/>
        <w:tab/>
        <w:tab/>
        <w:tab/>
        <w:tab/>
        <w:t xml:space="preserve">ZAMAWIAJĄCY:</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1"/>
          <w:bCs w:val="1"/>
          <w:i w:val="0"/>
          <w:iCs w:val="0"/>
          <w:smallCaps w:val="0"/>
          <w:strike w:val="0"/>
          <w:color w:val="000000"/>
          <w:sz w:val="24"/>
          <w:szCs w:val="24"/>
          <w:u w:val="none"/>
          <w:shd w:fill="auto" w:val="clear"/>
          <w:vertAlign w:val="baseline"/>
        </w:rPr>
      </w:pPr>
      <w:r w:rsidDel="00000000" w:rsidR="00000000" w:rsidRPr="00000000">
        <w:rPr>
          <w:rtl w:val="0"/>
        </w:rPr>
      </w:r>
    </w:p>
    <w:sectPr>
      <w:headerReference r:id="rId7" w:type="default"/>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spacing w:after="0" w:line="240" w:lineRule="auto"/>
      <w:rPr>
        <w:rFonts w:ascii="Times New Roman" w:cs="Times New Roman" w:eastAsia="Times New Roman" w:hAnsi="Times New Roman"/>
      </w:rPr>
    </w:pPr>
    <w:r w:rsidDel="00000000" w:rsidR="00000000" w:rsidRPr="00000000">
      <w:rPr>
        <w:rFonts w:ascii="Arial" w:cs="Arial" w:eastAsia="Arial" w:hAnsi="Arial"/>
        <w:color w:val="000000"/>
        <w:sz w:val="22"/>
        <w:szCs w:val="22"/>
        <w:rtl w:val="0"/>
      </w:rPr>
      <w:t xml:space="preserve">Numer postepowania: GOPS.271.6.2026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5758180" cy="706120"/>
          <wp:effectExtent b="0" l="0" r="0" t="0"/>
          <wp:docPr id="23997095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58180" cy="70612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lowerLetter"/>
      <w:lvlText w:val="."/>
      <w:lvlJc w:val="left"/>
      <w:pPr>
        <w:ind w:left="1440" w:hanging="360"/>
      </w:pPr>
      <w:rPr/>
    </w:lvl>
    <w:lvl w:ilvl="2">
      <w:start w:val="1"/>
      <w:numFmt w:val="lowerRoman"/>
      <w:lvlText w:val="."/>
      <w:lvlJc w:val="right"/>
      <w:pPr>
        <w:ind w:left="2160" w:hanging="180"/>
      </w:pPr>
      <w:rPr/>
    </w:lvl>
    <w:lvl w:ilvl="3">
      <w:start w:val="1"/>
      <w:numFmt w:val="decimal"/>
      <w:lvlText w:val="."/>
      <w:lvlJc w:val="left"/>
      <w:pPr>
        <w:ind w:left="2880" w:hanging="360"/>
      </w:pPr>
      <w:rPr/>
    </w:lvl>
    <w:lvl w:ilvl="4">
      <w:start w:val="1"/>
      <w:numFmt w:val="lowerLetter"/>
      <w:lvlText w:val="."/>
      <w:lvlJc w:val="left"/>
      <w:pPr>
        <w:ind w:left="3600" w:hanging="360"/>
      </w:pPr>
      <w:rPr/>
    </w:lvl>
    <w:lvl w:ilvl="5">
      <w:start w:val="1"/>
      <w:numFmt w:val="lowerRoman"/>
      <w:lvlText w:val="."/>
      <w:lvlJc w:val="right"/>
      <w:pPr>
        <w:ind w:left="4320" w:hanging="180"/>
      </w:pPr>
      <w:rPr/>
    </w:lvl>
    <w:lvl w:ilvl="6">
      <w:start w:val="1"/>
      <w:numFmt w:val="decimal"/>
      <w:lvlText w:val="."/>
      <w:lvlJc w:val="left"/>
      <w:pPr>
        <w:ind w:left="5040" w:hanging="360"/>
      </w:pPr>
      <w:rPr/>
    </w:lvl>
    <w:lvl w:ilvl="7">
      <w:start w:val="1"/>
      <w:numFmt w:val="lowerLetter"/>
      <w:lvlText w:val="."/>
      <w:lvlJc w:val="left"/>
      <w:pPr>
        <w:ind w:left="5760" w:hanging="360"/>
      </w:pPr>
      <w:rPr/>
    </w:lvl>
    <w:lvl w:ilvl="8">
      <w:start w:val="1"/>
      <w:numFmt w:val="lowerRoman"/>
      <w:lvlText w:val="."/>
      <w:lvlJc w:val="right"/>
      <w:pPr>
        <w:ind w:left="6480" w:hanging="180"/>
      </w:pPr>
      <w:rPr/>
    </w:lvl>
  </w:abstractNum>
  <w:abstractNum w:abstractNumId="4">
    <w:lvl w:ilvl="0">
      <w:start w:val="1"/>
      <w:numFmt w:val="decimal"/>
      <w:lvlText w:val="%1."/>
      <w:lvlJc w:val="left"/>
      <w:pPr>
        <w:ind w:left="360" w:hanging="360"/>
      </w:pPr>
      <w:rPr>
        <w:rFonts w:ascii="Arial" w:cs="Arial" w:eastAsia="Arial" w:hAnsi="Arial"/>
        <w:b w:val="0"/>
        <w:bCs w:val="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color w:val="000000"/>
        <w:sz w:val="22"/>
        <w:szCs w:val="22"/>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2A2A69"/>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2A2A69"/>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2A2A69"/>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2A2A69"/>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2A2A69"/>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2A2A69"/>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2A2A69"/>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2A2A69"/>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2A2A69"/>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2A2A69"/>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2A2A69"/>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2A2A69"/>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2A2A69"/>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2A2A69"/>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2A2A69"/>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2A2A69"/>
    <w:rPr>
      <w:i w:val="1"/>
      <w:iCs w:val="1"/>
      <w:color w:val="404040" w:themeColor="text1" w:themeTint="0000BF"/>
    </w:rPr>
  </w:style>
  <w:style w:type="paragraph" w:styleId="Akapitzlist">
    <w:name w:val="List Paragraph"/>
    <w:aliases w:val="Akapit z listą BS,CW_Lista,Colorful List Accent 1,Akapit z listą4,Akapit z listą1,Średnia siatka 1 — akcent 21,sw tekst,Wypunktowanie,Colorful List - Accent 11,Kolorowa lista — akcent 12,Asia 2  Akapit z listą,Obiekt,lp1,L1,L1CxSpLast"/>
    <w:basedOn w:val="Normalny"/>
    <w:uiPriority w:val="34"/>
    <w:qFormat w:val="1"/>
    <w:rsid w:val="002A2A69"/>
    <w:pPr>
      <w:ind w:left="720"/>
      <w:contextualSpacing w:val="1"/>
    </w:pPr>
  </w:style>
  <w:style w:type="character" w:styleId="Wyrnienieintensywne">
    <w:name w:val="Intense Emphasis"/>
    <w:basedOn w:val="Domylnaczcionkaakapitu"/>
    <w:uiPriority w:val="21"/>
    <w:qFormat w:val="1"/>
    <w:rsid w:val="002A2A69"/>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2A2A6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2A2A69"/>
    <w:rPr>
      <w:i w:val="1"/>
      <w:iCs w:val="1"/>
      <w:color w:val="0f4761" w:themeColor="accent1" w:themeShade="0000BF"/>
    </w:rPr>
  </w:style>
  <w:style w:type="character" w:styleId="Odwoanieintensywne">
    <w:name w:val="Intense Reference"/>
    <w:basedOn w:val="Domylnaczcionkaakapitu"/>
    <w:uiPriority w:val="32"/>
    <w:qFormat w:val="1"/>
    <w:rsid w:val="002A2A69"/>
    <w:rPr>
      <w:b w:val="1"/>
      <w:bCs w:val="1"/>
      <w:smallCaps w:val="1"/>
      <w:color w:val="0f4761" w:themeColor="accent1" w:themeShade="0000BF"/>
      <w:spacing w:val="5"/>
    </w:rPr>
  </w:style>
  <w:style w:type="paragraph" w:styleId="Nagwek">
    <w:name w:val="header"/>
    <w:basedOn w:val="Normalny"/>
    <w:link w:val="NagwekZnak"/>
    <w:uiPriority w:val="99"/>
    <w:unhideWhenUsed w:val="1"/>
    <w:rsid w:val="002A2A69"/>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2A2A69"/>
  </w:style>
  <w:style w:type="paragraph" w:styleId="Stopka">
    <w:name w:val="footer"/>
    <w:basedOn w:val="Normalny"/>
    <w:link w:val="StopkaZnak"/>
    <w:uiPriority w:val="99"/>
    <w:unhideWhenUsed w:val="1"/>
    <w:rsid w:val="002A2A69"/>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2A2A69"/>
  </w:style>
  <w:style w:type="paragraph" w:styleId="NormalnyWeb">
    <w:name w:val="Normal (Web)"/>
    <w:basedOn w:val="Normalny"/>
    <w:uiPriority w:val="99"/>
    <w:unhideWhenUsed w:val="1"/>
    <w:rsid w:val="002A2A69"/>
    <w:pPr>
      <w:spacing w:after="100" w:afterAutospacing="1" w:before="100" w:beforeAutospacing="1" w:line="240" w:lineRule="auto"/>
    </w:pPr>
    <w:rPr>
      <w:rFonts w:ascii="Times New Roman" w:cs="Times New Roman" w:eastAsia="Times New Roman" w:hAnsi="Times New Roman"/>
      <w:kern w:val="0"/>
      <w:lang w:eastAsia="pl-PL"/>
    </w:rPr>
  </w:style>
  <w:style w:type="paragraph" w:styleId="Standard" w:customStyle="1">
    <w:name w:val="Standard"/>
    <w:rsid w:val="005D307B"/>
    <w:pPr>
      <w:suppressAutoHyphens w:val="1"/>
      <w:autoSpaceDN w:val="0"/>
      <w:spacing w:after="0" w:line="240" w:lineRule="auto"/>
      <w:textAlignment w:val="baseline"/>
    </w:pPr>
    <w:rPr>
      <w:rFonts w:ascii="Liberation Serif" w:cs="Mangal" w:eastAsia="NSimSun" w:hAnsi="Liberation Serif"/>
      <w:kern w:val="3"/>
      <w:lang w:bidi="hi-IN" w:eastAsia="zh-CN"/>
    </w:rPr>
  </w:style>
  <w:style w:type="character" w:styleId="Hipercze">
    <w:name w:val="Hyperlink"/>
    <w:basedOn w:val="Domylnaczcionkaakapitu"/>
    <w:uiPriority w:val="99"/>
    <w:unhideWhenUsed w:val="1"/>
    <w:rsid w:val="005D307B"/>
    <w:rPr>
      <w:color w:val="467886" w:themeColor="hyperlink"/>
      <w:u w:val="single"/>
    </w:rPr>
  </w:style>
  <w:style w:type="character" w:styleId="Nierozpoznanawzmianka">
    <w:name w:val="Unresolved Mention"/>
    <w:basedOn w:val="Domylnaczcionkaakapitu"/>
    <w:uiPriority w:val="99"/>
    <w:semiHidden w:val="1"/>
    <w:unhideWhenUsed w:val="1"/>
    <w:rsid w:val="005D307B"/>
    <w:rPr>
      <w:color w:val="605e5c"/>
      <w:shd w:color="auto" w:fill="e1dfdd" w:val="clear"/>
    </w:rPr>
  </w:style>
  <w:style w:type="numbering" w:styleId="WWNum11" w:customStyle="1">
    <w:name w:val="WWNum11"/>
    <w:basedOn w:val="Bezlisty"/>
    <w:rsid w:val="005A2A16"/>
    <w:pPr>
      <w:numPr>
        <w:numId w:val="16"/>
      </w:numPr>
    </w:pPr>
  </w:style>
  <w:style w:type="numbering" w:styleId="WWNum12" w:customStyle="1">
    <w:name w:val="WWNum12"/>
    <w:basedOn w:val="Bezlisty"/>
    <w:rsid w:val="005A2A16"/>
    <w:pPr>
      <w:numPr>
        <w:numId w:val="5"/>
      </w:numPr>
    </w:pPr>
  </w:style>
  <w:style w:type="numbering" w:styleId="WWNum13" w:customStyle="1">
    <w:name w:val="WWNum13"/>
    <w:basedOn w:val="Bezlisty"/>
    <w:rsid w:val="005A2A16"/>
    <w:pPr>
      <w:numPr>
        <w:numId w:val="10"/>
      </w:numPr>
    </w:pPr>
  </w:style>
  <w:style w:type="numbering" w:styleId="WWNum14" w:customStyle="1">
    <w:name w:val="WWNum14"/>
    <w:basedOn w:val="Bezlisty"/>
    <w:rsid w:val="005A2A16"/>
    <w:pPr>
      <w:numPr>
        <w:numId w:val="3"/>
      </w:numPr>
    </w:pPr>
  </w:style>
  <w:style w:type="numbering" w:styleId="WWNum17" w:customStyle="1">
    <w:name w:val="WWNum17"/>
    <w:basedOn w:val="Bezlisty"/>
    <w:rsid w:val="005A2A16"/>
    <w:pPr>
      <w:numPr>
        <w:numId w:val="18"/>
      </w:numPr>
    </w:pPr>
  </w:style>
  <w:style w:type="paragraph" w:styleId="Default" w:customStyle="1">
    <w:name w:val="Default"/>
    <w:qFormat w:val="1"/>
    <w:rsid w:val="00532D04"/>
    <w:pPr>
      <w:suppressAutoHyphens w:val="1"/>
      <w:autoSpaceDE w:val="0"/>
      <w:spacing w:after="0" w:line="240" w:lineRule="auto"/>
    </w:pPr>
    <w:rPr>
      <w:rFonts w:ascii="Calibri" w:cs="Calibri" w:eastAsia="Calibri" w:hAnsi="Calibri"/>
      <w:color w:val="000000"/>
      <w:kern w:val="0"/>
      <w:lang w:eastAsia="zh-CN"/>
    </w:rPr>
  </w:style>
  <w:style w:type="paragraph" w:styleId="Poprawka">
    <w:name w:val="Revision"/>
    <w:hidden w:val="1"/>
    <w:uiPriority w:val="99"/>
    <w:semiHidden w:val="1"/>
    <w:rsid w:val="00BC1876"/>
    <w:pPr>
      <w:spacing w:after="0" w:line="240" w:lineRule="auto"/>
    </w:pPr>
  </w:style>
  <w:style w:type="paragraph" w:styleId="Normalny1" w:customStyle="1">
    <w:name w:val="Normalny1"/>
    <w:basedOn w:val="Normalny"/>
    <w:rsid w:val="00CB0979"/>
    <w:pPr>
      <w:spacing w:line="276" w:lineRule="auto"/>
    </w:pPr>
    <w:rPr>
      <w:rFonts w:ascii="Aptos" w:cs="Times New Roman" w:hAnsi="Aptos"/>
      <w:lang w:eastAsia="zh-CN"/>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luTOWNQZ1YsxD6GK7WOH4Ex5fQ==">CgMxLjA4AHIhMXNUbEdncERtTTA3Zk5YU2hqVEFjSmxZX0JMbzdXLVdv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2026-10-13T12:37:00Z</dcterms:created>
  <dc:creator>Natalia Bochenek</dc:creator>
</cp:coreProperties>
</file>