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D7A6" w14:textId="363147DE" w:rsidR="00964051" w:rsidRPr="00B95550" w:rsidRDefault="00964051" w:rsidP="007C34BC">
      <w:pPr>
        <w:pStyle w:val="Tekstpodstawowy2"/>
        <w:tabs>
          <w:tab w:val="left" w:pos="426"/>
        </w:tabs>
        <w:spacing w:after="0" w:line="240" w:lineRule="auto"/>
        <w:rPr>
          <w:rFonts w:ascii="Lato" w:hAnsi="Lato" w:cs="Arial"/>
          <w:sz w:val="22"/>
          <w:szCs w:val="22"/>
        </w:rPr>
      </w:pPr>
    </w:p>
    <w:p w14:paraId="5A7FC5BC" w14:textId="77777777" w:rsidR="004C4281" w:rsidRPr="00B95550" w:rsidRDefault="004C4281" w:rsidP="004C4281">
      <w:pPr>
        <w:spacing w:line="276" w:lineRule="auto"/>
        <w:jc w:val="right"/>
        <w:rPr>
          <w:rFonts w:ascii="Lato" w:hAnsi="Lato"/>
          <w:sz w:val="22"/>
          <w:szCs w:val="22"/>
        </w:rPr>
      </w:pPr>
      <w:bookmarkStart w:id="0" w:name="_Toc241585587"/>
      <w:bookmarkStart w:id="1" w:name="_Toc241649081"/>
      <w:r w:rsidRPr="00B95550">
        <w:rPr>
          <w:rFonts w:ascii="Lato" w:hAnsi="Lato"/>
          <w:sz w:val="22"/>
          <w:szCs w:val="22"/>
        </w:rPr>
        <w:t>ZAŁĄCZNIK NR 3 DO SWZ</w:t>
      </w:r>
      <w:bookmarkEnd w:id="0"/>
      <w:bookmarkEnd w:id="1"/>
    </w:p>
    <w:p w14:paraId="2ED85F93" w14:textId="77777777" w:rsidR="004C4281" w:rsidRPr="00B95550" w:rsidRDefault="004C4281" w:rsidP="004C4281">
      <w:pPr>
        <w:jc w:val="center"/>
        <w:rPr>
          <w:lang w:eastAsia="en-US"/>
        </w:rPr>
      </w:pPr>
      <w:bookmarkStart w:id="2" w:name="_Toc241581654"/>
      <w:bookmarkStart w:id="3" w:name="_Toc241649082"/>
      <w:bookmarkStart w:id="4" w:name="_Toc242828290"/>
      <w:bookmarkStart w:id="5" w:name="_Toc242950330"/>
    </w:p>
    <w:p w14:paraId="72D1AEE3" w14:textId="6A3C8572" w:rsidR="004C4281" w:rsidRPr="00B95550" w:rsidRDefault="004C4281" w:rsidP="004C4281">
      <w:pPr>
        <w:jc w:val="center"/>
        <w:rPr>
          <w:rFonts w:ascii="Lato" w:eastAsiaTheme="majorEastAsia" w:hAnsi="Lato"/>
          <w:lang w:eastAsia="en-US"/>
        </w:rPr>
      </w:pPr>
      <w:r w:rsidRPr="00B95550">
        <w:rPr>
          <w:rFonts w:ascii="Lato" w:hAnsi="Lato"/>
          <w:lang w:eastAsia="en-US"/>
        </w:rPr>
        <w:t>PROJEKTOWANE POSTANOWIENIA UMOWY</w:t>
      </w:r>
      <w:bookmarkEnd w:id="2"/>
      <w:bookmarkEnd w:id="3"/>
      <w:bookmarkEnd w:id="4"/>
      <w:bookmarkEnd w:id="5"/>
    </w:p>
    <w:p w14:paraId="712F2263" w14:textId="77777777" w:rsidR="004C4281" w:rsidRPr="00B95550" w:rsidRDefault="004C4281" w:rsidP="004C4281">
      <w:pPr>
        <w:spacing w:line="276" w:lineRule="auto"/>
        <w:jc w:val="center"/>
        <w:rPr>
          <w:rFonts w:ascii="Lato" w:hAnsi="Lato" w:cstheme="majorHAnsi"/>
          <w:sz w:val="22"/>
          <w:szCs w:val="22"/>
        </w:rPr>
      </w:pPr>
    </w:p>
    <w:p w14:paraId="38472DC5"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UMOWA NR PT/____/2026</w:t>
      </w:r>
    </w:p>
    <w:p w14:paraId="1C0DDA46" w14:textId="77777777" w:rsidR="00694364"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zawarta w Brzegu pomiędzy Komendą Powiatową Państwowej Straży Pożarnej w Brzegu, ul. Saperska 16, 49</w:t>
      </w:r>
      <w:r w:rsidRPr="00B95550">
        <w:rPr>
          <w:rFonts w:ascii="Cambria Math" w:hAnsi="Cambria Math" w:cs="Cambria Math"/>
          <w:sz w:val="22"/>
          <w:szCs w:val="22"/>
        </w:rPr>
        <w:t>‑</w:t>
      </w:r>
      <w:r w:rsidRPr="00B95550">
        <w:rPr>
          <w:rFonts w:ascii="Lato" w:hAnsi="Lato" w:cstheme="majorHAnsi"/>
          <w:sz w:val="22"/>
          <w:szCs w:val="22"/>
        </w:rPr>
        <w:t>300 Brzeg, NIP 7471568979, REGON 531419676, reprezentowan</w:t>
      </w:r>
      <w:r w:rsidRPr="00B95550">
        <w:rPr>
          <w:rFonts w:ascii="Lato" w:hAnsi="Lato" w:cs="Calibri Light"/>
          <w:sz w:val="22"/>
          <w:szCs w:val="22"/>
        </w:rPr>
        <w:t>ą</w:t>
      </w:r>
      <w:r w:rsidRPr="00B95550">
        <w:rPr>
          <w:rFonts w:ascii="Lato" w:hAnsi="Lato" w:cstheme="majorHAnsi"/>
          <w:sz w:val="22"/>
          <w:szCs w:val="22"/>
        </w:rPr>
        <w:t xml:space="preserve"> przez osoby uprawnione w dniu zawarcia umowy, zwan</w:t>
      </w:r>
      <w:r w:rsidRPr="00B95550">
        <w:rPr>
          <w:rFonts w:ascii="Lato" w:hAnsi="Lato" w:cs="Calibri Light"/>
          <w:sz w:val="22"/>
          <w:szCs w:val="22"/>
        </w:rPr>
        <w:t>ą</w:t>
      </w:r>
      <w:r w:rsidRPr="00B95550">
        <w:rPr>
          <w:rFonts w:ascii="Lato" w:hAnsi="Lato" w:cstheme="majorHAnsi"/>
          <w:sz w:val="22"/>
          <w:szCs w:val="22"/>
        </w:rPr>
        <w:t xml:space="preserve"> dalej </w:t>
      </w:r>
      <w:r w:rsidRPr="00B95550">
        <w:rPr>
          <w:rFonts w:ascii="Lato" w:hAnsi="Lato" w:cs="Calibri Light"/>
          <w:sz w:val="22"/>
          <w:szCs w:val="22"/>
        </w:rPr>
        <w:t>„</w:t>
      </w:r>
      <w:r w:rsidRPr="00B95550">
        <w:rPr>
          <w:rFonts w:ascii="Lato" w:hAnsi="Lato" w:cstheme="majorHAnsi"/>
          <w:sz w:val="22"/>
          <w:szCs w:val="22"/>
        </w:rPr>
        <w:t>Zamawiaj</w:t>
      </w:r>
      <w:r w:rsidRPr="00B95550">
        <w:rPr>
          <w:rFonts w:ascii="Lato" w:hAnsi="Lato" w:cs="Calibri Light"/>
          <w:sz w:val="22"/>
          <w:szCs w:val="22"/>
        </w:rPr>
        <w:t>ą</w:t>
      </w:r>
      <w:r w:rsidRPr="00B95550">
        <w:rPr>
          <w:rFonts w:ascii="Lato" w:hAnsi="Lato" w:cstheme="majorHAnsi"/>
          <w:sz w:val="22"/>
          <w:szCs w:val="22"/>
        </w:rPr>
        <w:t>cym</w:t>
      </w:r>
      <w:r w:rsidRPr="00B95550">
        <w:rPr>
          <w:rFonts w:ascii="Lato" w:hAnsi="Lato" w:cs="Calibri Light"/>
          <w:sz w:val="22"/>
          <w:szCs w:val="22"/>
        </w:rPr>
        <w:t>”</w:t>
      </w:r>
      <w:r w:rsidRPr="00B95550">
        <w:rPr>
          <w:rFonts w:ascii="Lato" w:hAnsi="Lato" w:cstheme="majorHAnsi"/>
          <w:sz w:val="22"/>
          <w:szCs w:val="22"/>
        </w:rPr>
        <w:t>, a wykonawc</w:t>
      </w:r>
      <w:r w:rsidRPr="00B95550">
        <w:rPr>
          <w:rFonts w:ascii="Lato" w:hAnsi="Lato" w:cs="Calibri Light"/>
          <w:sz w:val="22"/>
          <w:szCs w:val="22"/>
        </w:rPr>
        <w:t>ą</w:t>
      </w:r>
    </w:p>
    <w:p w14:paraId="4F4299C4" w14:textId="77777777" w:rsidR="00694364" w:rsidRPr="00B95550" w:rsidRDefault="00694364" w:rsidP="004C4281">
      <w:pPr>
        <w:spacing w:line="276" w:lineRule="auto"/>
        <w:jc w:val="both"/>
        <w:rPr>
          <w:rFonts w:ascii="Lato" w:hAnsi="Lato" w:cstheme="majorHAnsi"/>
          <w:sz w:val="22"/>
          <w:szCs w:val="22"/>
        </w:rPr>
      </w:pPr>
    </w:p>
    <w:p w14:paraId="4AFAAF17" w14:textId="77777777" w:rsidR="00694364" w:rsidRPr="00B95550" w:rsidRDefault="00694364" w:rsidP="004C4281">
      <w:pPr>
        <w:spacing w:line="276" w:lineRule="auto"/>
        <w:jc w:val="both"/>
        <w:rPr>
          <w:rFonts w:ascii="Lato" w:hAnsi="Lato" w:cstheme="majorHAnsi"/>
          <w:sz w:val="22"/>
          <w:szCs w:val="22"/>
        </w:rPr>
      </w:pPr>
    </w:p>
    <w:p w14:paraId="1DB3B782" w14:textId="4911CD38"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 zwanym dalej </w:t>
      </w:r>
      <w:r w:rsidRPr="00B95550">
        <w:rPr>
          <w:rFonts w:ascii="Lato" w:hAnsi="Lato" w:cs="Calibri Light"/>
          <w:sz w:val="22"/>
          <w:szCs w:val="22"/>
        </w:rPr>
        <w:t>„</w:t>
      </w:r>
      <w:r w:rsidRPr="00B95550">
        <w:rPr>
          <w:rFonts w:ascii="Lato" w:hAnsi="Lato" w:cstheme="majorHAnsi"/>
          <w:sz w:val="22"/>
          <w:szCs w:val="22"/>
        </w:rPr>
        <w:t>Wykonawc</w:t>
      </w:r>
      <w:r w:rsidRPr="00B95550">
        <w:rPr>
          <w:rFonts w:ascii="Lato" w:hAnsi="Lato" w:cs="Calibri Light"/>
          <w:sz w:val="22"/>
          <w:szCs w:val="22"/>
        </w:rPr>
        <w:t>ą”</w:t>
      </w:r>
      <w:r w:rsidRPr="00B95550">
        <w:rPr>
          <w:rFonts w:ascii="Lato" w:hAnsi="Lato" w:cstheme="majorHAnsi"/>
          <w:sz w:val="22"/>
          <w:szCs w:val="22"/>
        </w:rPr>
        <w:t>.</w:t>
      </w:r>
    </w:p>
    <w:p w14:paraId="1293C102" w14:textId="77777777" w:rsidR="004C4281" w:rsidRPr="00B95550" w:rsidRDefault="004C4281" w:rsidP="004C4281">
      <w:pPr>
        <w:spacing w:line="276" w:lineRule="auto"/>
        <w:jc w:val="both"/>
        <w:rPr>
          <w:rFonts w:ascii="Lato" w:hAnsi="Lato" w:cstheme="majorHAnsi"/>
          <w:sz w:val="22"/>
          <w:szCs w:val="22"/>
        </w:rPr>
      </w:pPr>
      <w:bookmarkStart w:id="6" w:name="_Toc241581655"/>
    </w:p>
    <w:p w14:paraId="496027D8"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1. Definicje i dokumenty umowy</w:t>
      </w:r>
      <w:bookmarkEnd w:id="6"/>
    </w:p>
    <w:p w14:paraId="08E55334"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„Zakres podstawowy” oznacza remont czterech łazienek Ł</w:t>
      </w:r>
      <w:r w:rsidRPr="00B95550">
        <w:rPr>
          <w:rFonts w:ascii="Cambria Math" w:hAnsi="Cambria Math" w:cs="Cambria Math"/>
          <w:sz w:val="22"/>
          <w:szCs w:val="22"/>
        </w:rPr>
        <w:t>‑</w:t>
      </w:r>
      <w:r w:rsidRPr="00B95550">
        <w:rPr>
          <w:rFonts w:ascii="Lato" w:hAnsi="Lato" w:cstheme="majorHAnsi"/>
          <w:sz w:val="22"/>
          <w:szCs w:val="22"/>
        </w:rPr>
        <w:t>1</w:t>
      </w:r>
      <w:r w:rsidRPr="00B95550">
        <w:rPr>
          <w:rFonts w:ascii="Lato" w:hAnsi="Lato" w:cs="Lato"/>
          <w:sz w:val="22"/>
          <w:szCs w:val="22"/>
        </w:rPr>
        <w:t>–Ł</w:t>
      </w:r>
      <w:r w:rsidRPr="00B95550">
        <w:rPr>
          <w:rFonts w:ascii="Cambria Math" w:hAnsi="Cambria Math" w:cs="Cambria Math"/>
          <w:sz w:val="22"/>
          <w:szCs w:val="22"/>
        </w:rPr>
        <w:t>‑</w:t>
      </w:r>
      <w:r w:rsidRPr="00B95550">
        <w:rPr>
          <w:rFonts w:ascii="Lato" w:hAnsi="Lato" w:cstheme="majorHAnsi"/>
          <w:sz w:val="22"/>
          <w:szCs w:val="22"/>
        </w:rPr>
        <w:t xml:space="preserve">4. </w:t>
      </w:r>
      <w:r w:rsidRPr="00B95550">
        <w:rPr>
          <w:rFonts w:ascii="Lato" w:hAnsi="Lato" w:cs="Lato"/>
          <w:sz w:val="22"/>
          <w:szCs w:val="22"/>
        </w:rPr>
        <w:t>„</w:t>
      </w:r>
      <w:r w:rsidRPr="00B95550">
        <w:rPr>
          <w:rFonts w:ascii="Lato" w:hAnsi="Lato" w:cstheme="majorHAnsi"/>
          <w:sz w:val="22"/>
          <w:szCs w:val="22"/>
        </w:rPr>
        <w:t>Opcja</w:t>
      </w:r>
      <w:r w:rsidRPr="00B95550">
        <w:rPr>
          <w:rFonts w:ascii="Lato" w:hAnsi="Lato" w:cs="Lato"/>
          <w:sz w:val="22"/>
          <w:szCs w:val="22"/>
        </w:rPr>
        <w:t>”</w:t>
      </w:r>
      <w:r w:rsidRPr="00B95550">
        <w:rPr>
          <w:rFonts w:ascii="Lato" w:hAnsi="Lato" w:cstheme="majorHAnsi"/>
          <w:sz w:val="22"/>
          <w:szCs w:val="22"/>
        </w:rPr>
        <w:t xml:space="preserve"> oznacza remont maksymalnie dw</w:t>
      </w:r>
      <w:r w:rsidRPr="00B95550">
        <w:rPr>
          <w:rFonts w:ascii="Lato" w:hAnsi="Lato" w:cs="Lato"/>
          <w:sz w:val="22"/>
          <w:szCs w:val="22"/>
        </w:rPr>
        <w:t>ó</w:t>
      </w:r>
      <w:r w:rsidRPr="00B95550">
        <w:rPr>
          <w:rFonts w:ascii="Lato" w:hAnsi="Lato" w:cstheme="majorHAnsi"/>
          <w:sz w:val="22"/>
          <w:szCs w:val="22"/>
        </w:rPr>
        <w:t xml:space="preserve">ch </w:t>
      </w:r>
      <w:r w:rsidRPr="00B95550">
        <w:rPr>
          <w:rFonts w:ascii="Lato" w:hAnsi="Lato" w:cs="Lato"/>
          <w:sz w:val="22"/>
          <w:szCs w:val="22"/>
        </w:rPr>
        <w:t>ł</w:t>
      </w:r>
      <w:r w:rsidRPr="00B95550">
        <w:rPr>
          <w:rFonts w:ascii="Lato" w:hAnsi="Lato" w:cstheme="majorHAnsi"/>
          <w:sz w:val="22"/>
          <w:szCs w:val="22"/>
        </w:rPr>
        <w:t xml:space="preserve">azienek </w:t>
      </w:r>
      <w:r w:rsidRPr="00B95550">
        <w:rPr>
          <w:rFonts w:ascii="Lato" w:hAnsi="Lato" w:cs="Lato"/>
          <w:sz w:val="22"/>
          <w:szCs w:val="22"/>
        </w:rPr>
        <w:t>Ł</w:t>
      </w:r>
      <w:r w:rsidRPr="00B95550">
        <w:rPr>
          <w:rFonts w:ascii="Cambria Math" w:hAnsi="Cambria Math" w:cs="Cambria Math"/>
          <w:sz w:val="22"/>
          <w:szCs w:val="22"/>
        </w:rPr>
        <w:t>‑</w:t>
      </w:r>
      <w:r w:rsidRPr="00B95550">
        <w:rPr>
          <w:rFonts w:ascii="Lato" w:hAnsi="Lato" w:cstheme="majorHAnsi"/>
          <w:sz w:val="22"/>
          <w:szCs w:val="22"/>
        </w:rPr>
        <w:t xml:space="preserve">5 i </w:t>
      </w:r>
      <w:r w:rsidRPr="00B95550">
        <w:rPr>
          <w:rFonts w:ascii="Lato" w:hAnsi="Lato" w:cs="Lato"/>
          <w:sz w:val="22"/>
          <w:szCs w:val="22"/>
        </w:rPr>
        <w:t>Ł</w:t>
      </w:r>
      <w:r w:rsidRPr="00B95550">
        <w:rPr>
          <w:rFonts w:ascii="Cambria Math" w:hAnsi="Cambria Math" w:cs="Cambria Math"/>
          <w:sz w:val="22"/>
          <w:szCs w:val="22"/>
        </w:rPr>
        <w:t>‑</w:t>
      </w:r>
      <w:r w:rsidRPr="00B95550">
        <w:rPr>
          <w:rFonts w:ascii="Lato" w:hAnsi="Lato" w:cstheme="majorHAnsi"/>
          <w:sz w:val="22"/>
          <w:szCs w:val="22"/>
        </w:rPr>
        <w:t xml:space="preserve">6. </w:t>
      </w:r>
      <w:r w:rsidRPr="00B95550">
        <w:rPr>
          <w:rFonts w:ascii="Lato" w:hAnsi="Lato" w:cs="Lato"/>
          <w:sz w:val="22"/>
          <w:szCs w:val="22"/>
        </w:rPr>
        <w:t>„</w:t>
      </w:r>
      <w:r w:rsidRPr="00B95550">
        <w:rPr>
          <w:rFonts w:ascii="Lato" w:hAnsi="Lato" w:cstheme="majorHAnsi"/>
          <w:sz w:val="22"/>
          <w:szCs w:val="22"/>
        </w:rPr>
        <w:t>Cena jednostkowa</w:t>
      </w:r>
      <w:r w:rsidRPr="00B95550">
        <w:rPr>
          <w:rFonts w:ascii="Lato" w:hAnsi="Lato" w:cs="Lato"/>
          <w:sz w:val="22"/>
          <w:szCs w:val="22"/>
        </w:rPr>
        <w:t>”</w:t>
      </w:r>
      <w:r w:rsidRPr="00B95550">
        <w:rPr>
          <w:rFonts w:ascii="Lato" w:hAnsi="Lato" w:cstheme="majorHAnsi"/>
          <w:sz w:val="22"/>
          <w:szCs w:val="22"/>
        </w:rPr>
        <w:t xml:space="preserve"> oznacza rycza</w:t>
      </w:r>
      <w:r w:rsidRPr="00B95550">
        <w:rPr>
          <w:rFonts w:ascii="Lato" w:hAnsi="Lato" w:cs="Lato"/>
          <w:sz w:val="22"/>
          <w:szCs w:val="22"/>
        </w:rPr>
        <w:t>ł</w:t>
      </w:r>
      <w:r w:rsidRPr="00B95550">
        <w:rPr>
          <w:rFonts w:ascii="Lato" w:hAnsi="Lato" w:cstheme="majorHAnsi"/>
          <w:sz w:val="22"/>
          <w:szCs w:val="22"/>
        </w:rPr>
        <w:t>tow</w:t>
      </w:r>
      <w:r w:rsidRPr="00B95550">
        <w:rPr>
          <w:rFonts w:ascii="Lato" w:hAnsi="Lato" w:cs="Lato"/>
          <w:sz w:val="22"/>
          <w:szCs w:val="22"/>
        </w:rPr>
        <w:t>ą</w:t>
      </w:r>
      <w:r w:rsidRPr="00B95550">
        <w:rPr>
          <w:rFonts w:ascii="Lato" w:hAnsi="Lato" w:cstheme="majorHAnsi"/>
          <w:sz w:val="22"/>
          <w:szCs w:val="22"/>
        </w:rPr>
        <w:t xml:space="preserve"> cen</w:t>
      </w:r>
      <w:r w:rsidRPr="00B95550">
        <w:rPr>
          <w:rFonts w:ascii="Lato" w:hAnsi="Lato" w:cs="Lato"/>
          <w:sz w:val="22"/>
          <w:szCs w:val="22"/>
        </w:rPr>
        <w:t>ę</w:t>
      </w:r>
      <w:r w:rsidRPr="00B95550">
        <w:rPr>
          <w:rFonts w:ascii="Lato" w:hAnsi="Lato" w:cstheme="majorHAnsi"/>
          <w:sz w:val="22"/>
          <w:szCs w:val="22"/>
        </w:rPr>
        <w:t xml:space="preserve"> brutto za jedn</w:t>
      </w:r>
      <w:r w:rsidRPr="00B95550">
        <w:rPr>
          <w:rFonts w:ascii="Lato" w:hAnsi="Lato" w:cs="Lato"/>
          <w:sz w:val="22"/>
          <w:szCs w:val="22"/>
        </w:rPr>
        <w:t>ą</w:t>
      </w:r>
      <w:r w:rsidRPr="00B95550">
        <w:rPr>
          <w:rFonts w:ascii="Lato" w:hAnsi="Lato" w:cstheme="majorHAnsi"/>
          <w:sz w:val="22"/>
          <w:szCs w:val="22"/>
        </w:rPr>
        <w:t xml:space="preserve"> kompletnie wyremontowan</w:t>
      </w:r>
      <w:r w:rsidRPr="00B95550">
        <w:rPr>
          <w:rFonts w:ascii="Lato" w:hAnsi="Lato" w:cs="Lato"/>
          <w:sz w:val="22"/>
          <w:szCs w:val="22"/>
        </w:rPr>
        <w:t>ą</w:t>
      </w:r>
      <w:r w:rsidRPr="00B95550">
        <w:rPr>
          <w:rFonts w:ascii="Lato" w:hAnsi="Lato" w:cstheme="majorHAnsi"/>
          <w:sz w:val="22"/>
          <w:szCs w:val="22"/>
        </w:rPr>
        <w:t xml:space="preserve"> </w:t>
      </w:r>
      <w:r w:rsidRPr="00B95550">
        <w:rPr>
          <w:rFonts w:ascii="Lato" w:hAnsi="Lato" w:cs="Lato"/>
          <w:sz w:val="22"/>
          <w:szCs w:val="22"/>
        </w:rPr>
        <w:t>ł</w:t>
      </w:r>
      <w:r w:rsidRPr="00B95550">
        <w:rPr>
          <w:rFonts w:ascii="Lato" w:hAnsi="Lato" w:cstheme="majorHAnsi"/>
          <w:sz w:val="22"/>
          <w:szCs w:val="22"/>
        </w:rPr>
        <w:t>azienk</w:t>
      </w:r>
      <w:r w:rsidRPr="00B95550">
        <w:rPr>
          <w:rFonts w:ascii="Lato" w:hAnsi="Lato" w:cs="Lato"/>
          <w:sz w:val="22"/>
          <w:szCs w:val="22"/>
        </w:rPr>
        <w:t>ę</w:t>
      </w:r>
      <w:r w:rsidRPr="00B95550">
        <w:rPr>
          <w:rFonts w:ascii="Lato" w:hAnsi="Lato" w:cstheme="majorHAnsi"/>
          <w:sz w:val="22"/>
          <w:szCs w:val="22"/>
        </w:rPr>
        <w:t xml:space="preserve">. </w:t>
      </w:r>
      <w:r w:rsidRPr="00B95550">
        <w:rPr>
          <w:rFonts w:ascii="Lato" w:hAnsi="Lato" w:cs="Lato"/>
          <w:sz w:val="22"/>
          <w:szCs w:val="22"/>
        </w:rPr>
        <w:t>„</w:t>
      </w:r>
      <w:r w:rsidRPr="00B95550">
        <w:rPr>
          <w:rFonts w:ascii="Lato" w:hAnsi="Lato" w:cstheme="majorHAnsi"/>
          <w:sz w:val="22"/>
          <w:szCs w:val="22"/>
        </w:rPr>
        <w:t>Warto</w:t>
      </w:r>
      <w:r w:rsidRPr="00B95550">
        <w:rPr>
          <w:rFonts w:ascii="Lato" w:hAnsi="Lato" w:cs="Lato"/>
          <w:sz w:val="22"/>
          <w:szCs w:val="22"/>
        </w:rPr>
        <w:t>ść</w:t>
      </w:r>
      <w:r w:rsidRPr="00B95550">
        <w:rPr>
          <w:rFonts w:ascii="Lato" w:hAnsi="Lato" w:cstheme="majorHAnsi"/>
          <w:sz w:val="22"/>
          <w:szCs w:val="22"/>
        </w:rPr>
        <w:t xml:space="preserve"> zleconego zakresu</w:t>
      </w:r>
      <w:r w:rsidRPr="00B95550">
        <w:rPr>
          <w:rFonts w:ascii="Lato" w:hAnsi="Lato" w:cs="Lato"/>
          <w:sz w:val="22"/>
          <w:szCs w:val="22"/>
        </w:rPr>
        <w:t>”</w:t>
      </w:r>
      <w:r w:rsidRPr="00B95550">
        <w:rPr>
          <w:rFonts w:ascii="Lato" w:hAnsi="Lato" w:cstheme="majorHAnsi"/>
          <w:sz w:val="22"/>
          <w:szCs w:val="22"/>
        </w:rPr>
        <w:t xml:space="preserve"> oznacza wynagrodzenie brutto za zakres podstawowy powi</w:t>
      </w:r>
      <w:r w:rsidRPr="00B95550">
        <w:rPr>
          <w:rFonts w:ascii="Lato" w:hAnsi="Lato" w:cs="Lato"/>
          <w:sz w:val="22"/>
          <w:szCs w:val="22"/>
        </w:rPr>
        <w:t>ę</w:t>
      </w:r>
      <w:r w:rsidRPr="00B95550">
        <w:rPr>
          <w:rFonts w:ascii="Lato" w:hAnsi="Lato" w:cstheme="majorHAnsi"/>
          <w:sz w:val="22"/>
          <w:szCs w:val="22"/>
        </w:rPr>
        <w:t>kszone o wynagrodzenie za skutecznie uruchomion</w:t>
      </w:r>
      <w:r w:rsidRPr="00B95550">
        <w:rPr>
          <w:rFonts w:ascii="Lato" w:hAnsi="Lato" w:cs="Lato"/>
          <w:sz w:val="22"/>
          <w:szCs w:val="22"/>
        </w:rPr>
        <w:t>ą</w:t>
      </w:r>
      <w:r w:rsidRPr="00B95550">
        <w:rPr>
          <w:rFonts w:ascii="Lato" w:hAnsi="Lato" w:cstheme="majorHAnsi"/>
          <w:sz w:val="22"/>
          <w:szCs w:val="22"/>
        </w:rPr>
        <w:t xml:space="preserve"> cz</w:t>
      </w:r>
      <w:r w:rsidRPr="00B95550">
        <w:rPr>
          <w:rFonts w:ascii="Lato" w:hAnsi="Lato" w:cs="Lato"/>
          <w:sz w:val="22"/>
          <w:szCs w:val="22"/>
        </w:rPr>
        <w:t>ęść</w:t>
      </w:r>
      <w:r w:rsidRPr="00B95550">
        <w:rPr>
          <w:rFonts w:ascii="Lato" w:hAnsi="Lato" w:cstheme="majorHAnsi"/>
          <w:sz w:val="22"/>
          <w:szCs w:val="22"/>
        </w:rPr>
        <w:t xml:space="preserve"> opcji; nie obejmuje niewykorzystanej cz</w:t>
      </w:r>
      <w:r w:rsidRPr="00B95550">
        <w:rPr>
          <w:rFonts w:ascii="Lato" w:hAnsi="Lato" w:cs="Lato"/>
          <w:sz w:val="22"/>
          <w:szCs w:val="22"/>
        </w:rPr>
        <w:t>ęś</w:t>
      </w:r>
      <w:r w:rsidRPr="00B95550">
        <w:rPr>
          <w:rFonts w:ascii="Lato" w:hAnsi="Lato" w:cstheme="majorHAnsi"/>
          <w:sz w:val="22"/>
          <w:szCs w:val="22"/>
        </w:rPr>
        <w:t>ci opcji.</w:t>
      </w:r>
    </w:p>
    <w:p w14:paraId="60B59B2D" w14:textId="40E38641" w:rsidR="004C4281" w:rsidRPr="00AB1F51"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2. </w:t>
      </w:r>
      <w:r w:rsidR="00AB1F51" w:rsidRPr="00AB1F51">
        <w:rPr>
          <w:rFonts w:ascii="Lato" w:hAnsi="Lato"/>
          <w:sz w:val="22"/>
          <w:szCs w:val="22"/>
        </w:rPr>
        <w:t>W razie rozbieżności pomiędzy dokumentami umowy Wykonawca zobowiązany jest wystąpić do Zamawiającego o ich wyjaśnienie. Przy ustalaniu zgodnej treści zobowiązania uwzględnia się następującą kolejność dokumentów: wyjaśnienia i zmiany SWZ dokonane w toku postępowania, SWZ, projektowane postanowienia umowy, OPZ, dokumentację projektową, STWiORB oraz ofertę Wykonawcy. Zaakceptowany harmonogram ma charakter organizacyjny i nie może zmieniać zakresu ani wymagań technicznych zamówienia.</w:t>
      </w:r>
    </w:p>
    <w:p w14:paraId="2A37FCA1" w14:textId="77777777" w:rsidR="00AB1F51" w:rsidRDefault="00AB1F51" w:rsidP="004C4281">
      <w:pPr>
        <w:spacing w:line="276" w:lineRule="auto"/>
        <w:jc w:val="center"/>
        <w:rPr>
          <w:rFonts w:ascii="Lato" w:hAnsi="Lato" w:cstheme="majorHAnsi"/>
          <w:sz w:val="22"/>
          <w:szCs w:val="22"/>
        </w:rPr>
      </w:pPr>
      <w:bookmarkStart w:id="7" w:name="_Toc241581656"/>
    </w:p>
    <w:p w14:paraId="320EEA69" w14:textId="288C5224"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2. Przedmiot umowy</w:t>
      </w:r>
      <w:bookmarkEnd w:id="7"/>
    </w:p>
    <w:p w14:paraId="0143888D"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Wykonawca zobowiązuje się wykonać kompleksowy remont czterech łazienek w zakresie podstawowym oraz – po złożeniu oświadczenia o opcji – jednej albo dwóch dodatkowych łazienek, zgodnie z OPZ, przepisami, zasadami wiedzy technicznej, BHP i ppoż.</w:t>
      </w:r>
    </w:p>
    <w:p w14:paraId="16DA4ADD"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Przedmiot obejmuje dostawę wszystkich materiałów i urządzeń, roboty, próby, pomiary, dokumentację, zabezpieczenie obiektu i zagospodarowanie odpadów, konieczne do przekazania kompletnych i sprawnych łazienek.</w:t>
      </w:r>
    </w:p>
    <w:p w14:paraId="4F76B842" w14:textId="77777777" w:rsidR="004C4281" w:rsidRPr="00B95550" w:rsidRDefault="004C4281" w:rsidP="004C4281">
      <w:pPr>
        <w:spacing w:line="276" w:lineRule="auto"/>
        <w:jc w:val="center"/>
        <w:rPr>
          <w:rFonts w:ascii="Lato" w:hAnsi="Lato" w:cstheme="majorHAnsi"/>
          <w:sz w:val="22"/>
          <w:szCs w:val="22"/>
        </w:rPr>
      </w:pPr>
      <w:bookmarkStart w:id="8" w:name="_Toc241581657"/>
    </w:p>
    <w:p w14:paraId="18879542"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3. Prawo opcji</w:t>
      </w:r>
      <w:bookmarkEnd w:id="8"/>
    </w:p>
    <w:p w14:paraId="2475B588" w14:textId="503EE21E"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1. Zamawiający może uruchomić opcję dla jednej lub dwóch łazienek, jednorazowo albo odrębnymi oświadczeniami, jeżeli zabezpieczy środki finansowe oraz zaakceptowany harmonogram potwierdzi możliwość wykonania opcji w terminie z § 4, przy zachowaniu ciągłości działania JRG</w:t>
      </w:r>
      <w:r w:rsidR="00B95550" w:rsidRPr="00B95550">
        <w:rPr>
          <w:rFonts w:ascii="Lato" w:hAnsi="Lato"/>
          <w:sz w:val="22"/>
          <w:szCs w:val="22"/>
        </w:rPr>
        <w:t>.</w:t>
      </w:r>
    </w:p>
    <w:p w14:paraId="52C1F0DB"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lastRenderedPageBreak/>
        <w:t>2. Oświadczenie o opcji zostanie przekazane pisemnie lub w postaci elektronicznej podpisanej przez osobę uprawnioną, nie później niż w terminie 7 dni od dnia przekazania terenu robót. Opcja nie wymaga aneksu.</w:t>
      </w:r>
    </w:p>
    <w:p w14:paraId="7541E237"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Zamawiający może przed upływem terminu, o którym mowa w ust. 2, złożyć ostateczne oświadczenie o nieskorzystaniu z opcji w całości albo w pozostałej części. Z chwilą doręczenia takiego oświadczenia niewykorzystany zakres opcji wygasa.</w:t>
      </w:r>
    </w:p>
    <w:p w14:paraId="7B903DF4"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4. Brak oświadczenia o skorzystaniu z opcji w terminie określonym w ust. 2 powoduje wygaśnięcie opcji w niewykorzystanym zakresie. Wykonawcy nie przysługuje z tego tytułu roszczenie.</w:t>
      </w:r>
    </w:p>
    <w:p w14:paraId="67A5C21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5. Maksymalna wartość opcji wynosi 2 × cena jednostkowa brutto. Warunki realizacji opcji są identyczne jak warunki realizacji zakresu podstawowego.</w:t>
      </w:r>
    </w:p>
    <w:p w14:paraId="5D1396FD" w14:textId="77777777" w:rsidR="004C4281" w:rsidRPr="00B95550" w:rsidRDefault="004C4281" w:rsidP="004C4281">
      <w:pPr>
        <w:spacing w:line="276" w:lineRule="auto"/>
        <w:jc w:val="center"/>
        <w:rPr>
          <w:rFonts w:ascii="Lato" w:hAnsi="Lato" w:cstheme="majorHAnsi"/>
          <w:sz w:val="22"/>
          <w:szCs w:val="22"/>
        </w:rPr>
      </w:pPr>
      <w:bookmarkStart w:id="9" w:name="_Toc241581658"/>
    </w:p>
    <w:p w14:paraId="53944F4F"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4. Terminy i harmonogram</w:t>
      </w:r>
      <w:bookmarkEnd w:id="9"/>
    </w:p>
    <w:p w14:paraId="7BB37D03" w14:textId="77777777" w:rsidR="004C4281" w:rsidRPr="00B95550" w:rsidRDefault="004C4281" w:rsidP="00B95550">
      <w:pPr>
        <w:spacing w:line="276" w:lineRule="auto"/>
        <w:jc w:val="both"/>
        <w:rPr>
          <w:rFonts w:ascii="Lato" w:hAnsi="Lato" w:cstheme="majorHAnsi"/>
          <w:sz w:val="22"/>
          <w:szCs w:val="22"/>
        </w:rPr>
      </w:pPr>
      <w:r w:rsidRPr="00B95550">
        <w:rPr>
          <w:rFonts w:ascii="Lato" w:hAnsi="Lato" w:cstheme="majorHAnsi"/>
          <w:sz w:val="22"/>
          <w:szCs w:val="22"/>
        </w:rPr>
        <w:t>1. Teren robót zostanie przekazany w terminie 3 dni roboczych od zawarcia umowy.</w:t>
      </w:r>
    </w:p>
    <w:p w14:paraId="2FCFCAD6" w14:textId="77777777" w:rsidR="004C4281" w:rsidRPr="00B95550" w:rsidRDefault="004C4281" w:rsidP="00B95550">
      <w:pPr>
        <w:spacing w:line="276" w:lineRule="auto"/>
        <w:jc w:val="both"/>
        <w:rPr>
          <w:rFonts w:ascii="Lato" w:hAnsi="Lato" w:cstheme="majorHAnsi"/>
          <w:sz w:val="22"/>
          <w:szCs w:val="22"/>
        </w:rPr>
      </w:pPr>
      <w:r w:rsidRPr="00B95550">
        <w:rPr>
          <w:rFonts w:ascii="Lato" w:hAnsi="Lato"/>
          <w:sz w:val="22"/>
          <w:szCs w:val="22"/>
        </w:rPr>
        <w:t>2. Zakres podstawowy zostanie wykonany w całości nie później niż do dnia 22 grudnia 2026 r.</w:t>
      </w:r>
    </w:p>
    <w:p w14:paraId="51A53933" w14:textId="77777777" w:rsidR="004C4281" w:rsidRPr="00B95550" w:rsidRDefault="004C4281" w:rsidP="00B95550">
      <w:pPr>
        <w:spacing w:line="276" w:lineRule="auto"/>
        <w:jc w:val="both"/>
        <w:rPr>
          <w:rFonts w:ascii="Lato" w:hAnsi="Lato"/>
          <w:sz w:val="22"/>
          <w:szCs w:val="22"/>
        </w:rPr>
      </w:pPr>
      <w:r w:rsidRPr="00B95550">
        <w:rPr>
          <w:rFonts w:ascii="Lato" w:hAnsi="Lato"/>
          <w:sz w:val="22"/>
          <w:szCs w:val="22"/>
        </w:rPr>
        <w:t>3. W przypadku uruchomienia prawa opcji cały uruchomiony zakres zamówienia zostanie wykonany w całości nie później niż do dnia 22 grudnia 2026 r. Uruchomienie opcji nie powoduje przedłużenia terminu końcowego.</w:t>
      </w:r>
    </w:p>
    <w:p w14:paraId="4A9041FA" w14:textId="77777777" w:rsidR="004C4281" w:rsidRPr="00B95550" w:rsidRDefault="004C4281" w:rsidP="00B95550">
      <w:pPr>
        <w:spacing w:line="276" w:lineRule="auto"/>
        <w:jc w:val="both"/>
        <w:rPr>
          <w:rFonts w:ascii="Lato" w:hAnsi="Lato"/>
          <w:sz w:val="22"/>
          <w:szCs w:val="22"/>
        </w:rPr>
      </w:pPr>
      <w:r w:rsidRPr="00B95550">
        <w:rPr>
          <w:rFonts w:ascii="Lato" w:hAnsi="Lato"/>
          <w:sz w:val="22"/>
          <w:szCs w:val="22"/>
        </w:rPr>
        <w:t xml:space="preserve">4. Określenie terminu wykonania umowy konkretną datą jest uzasadnione koniecznością wykonania i rozliczenia wydatku w ramach rocznego planu finansowego Zamawiającego na 2026 r., stosownie do art. 436 pkt 1 </w:t>
      </w:r>
      <w:proofErr w:type="spellStart"/>
      <w:r w:rsidRPr="00B95550">
        <w:rPr>
          <w:rFonts w:ascii="Lato" w:hAnsi="Lato"/>
          <w:sz w:val="22"/>
          <w:szCs w:val="22"/>
        </w:rPr>
        <w:t>Pzp</w:t>
      </w:r>
      <w:proofErr w:type="spellEnd"/>
      <w:r w:rsidRPr="00B95550">
        <w:rPr>
          <w:rFonts w:ascii="Lato" w:hAnsi="Lato"/>
          <w:sz w:val="22"/>
          <w:szCs w:val="22"/>
        </w:rPr>
        <w:t>.</w:t>
      </w:r>
    </w:p>
    <w:p w14:paraId="7AB3C8DE" w14:textId="77777777" w:rsidR="003D4AC0" w:rsidRPr="003D4AC0" w:rsidRDefault="004C4281" w:rsidP="003D4AC0">
      <w:pPr>
        <w:spacing w:line="276" w:lineRule="auto"/>
        <w:jc w:val="both"/>
        <w:rPr>
          <w:rFonts w:ascii="Lato" w:hAnsi="Lato" w:cstheme="majorHAnsi"/>
          <w:sz w:val="22"/>
          <w:szCs w:val="22"/>
        </w:rPr>
      </w:pPr>
      <w:r w:rsidRPr="00B95550">
        <w:rPr>
          <w:rFonts w:ascii="Lato" w:hAnsi="Lato" w:cstheme="majorHAnsi"/>
          <w:sz w:val="22"/>
          <w:szCs w:val="22"/>
        </w:rPr>
        <w:t>5.</w:t>
      </w:r>
      <w:bookmarkStart w:id="10" w:name="_Toc241581659"/>
      <w:r w:rsidR="00F86810" w:rsidRPr="00F86810">
        <w:rPr>
          <w:rFonts w:ascii="Lato" w:hAnsi="Lato" w:cstheme="majorHAnsi"/>
          <w:sz w:val="22"/>
          <w:szCs w:val="22"/>
        </w:rPr>
        <w:t xml:space="preserve">Wykonawca przedłoży Zamawiającemu harmonogram rzeczowo-terminowy realizacji robót najpóźniej w dniu przekazania terenu robót. Harmonogram musi uwzględniać trzy etapy realizacji i rozliczenia zamówienia określone w § 6, wskazywać terminy wykonania poszczególnych robót dla każdej łazienki oraz przewidywać możliwość realizacji jednej lub dwóch dodatkowych łazienek w ramach prawa opcji, z zachowaniem terminu zakończenia wszystkich robót do dnia 22 grudnia 2026 r. </w:t>
      </w:r>
      <w:r w:rsidR="003D4AC0" w:rsidRPr="003D4AC0">
        <w:rPr>
          <w:rFonts w:ascii="Lato" w:hAnsi="Lato" w:cstheme="majorHAnsi"/>
          <w:sz w:val="22"/>
          <w:szCs w:val="22"/>
        </w:rPr>
        <w:t>Harmonogram musi uwzględniać konieczność zapewnienia ciągłości funkcjonowania Jednostki Ratowniczo-Gaśniczej w Brzegu, w szczególności dostosowanie kolejności i organizacji robót do wymagań operacyjnych jednostki oraz zapewnienie dostępności pomieszczeń sanitarnych w zakresie uzgodnionym z Zamawiającym.</w:t>
      </w:r>
    </w:p>
    <w:p w14:paraId="484BC820" w14:textId="5E2DD89E" w:rsidR="00F86810" w:rsidRPr="00F86810" w:rsidRDefault="00F86810" w:rsidP="003D4AC0">
      <w:pPr>
        <w:spacing w:line="278" w:lineRule="auto"/>
        <w:jc w:val="both"/>
        <w:rPr>
          <w:rFonts w:ascii="Lato" w:hAnsi="Lato" w:cstheme="majorHAnsi"/>
          <w:sz w:val="22"/>
          <w:szCs w:val="22"/>
        </w:rPr>
      </w:pPr>
      <w:r w:rsidRPr="00F86810">
        <w:rPr>
          <w:rFonts w:ascii="Lato" w:hAnsi="Lato" w:cstheme="majorHAnsi"/>
          <w:sz w:val="22"/>
          <w:szCs w:val="22"/>
        </w:rPr>
        <w:t>6</w:t>
      </w:r>
      <w:r w:rsidRPr="00F86810">
        <w:rPr>
          <w:rFonts w:ascii="Lato" w:hAnsi="Lato" w:cstheme="majorHAnsi"/>
          <w:b/>
          <w:bCs/>
          <w:sz w:val="22"/>
          <w:szCs w:val="22"/>
        </w:rPr>
        <w:t>.</w:t>
      </w:r>
      <w:r w:rsidRPr="00F86810">
        <w:rPr>
          <w:rFonts w:ascii="Lato" w:hAnsi="Lato" w:cstheme="majorHAnsi"/>
          <w:sz w:val="22"/>
          <w:szCs w:val="22"/>
        </w:rPr>
        <w:t xml:space="preserve"> Zamawiający zatwierdzi przedstawiony harmonogram albo zgłosi do niego uwagi w terminie 2 dni roboczych od dnia jego otrzymania. W przypadku zgłoszenia uwag Wykonawca zobowiązany jest przedłożyć poprawiony harmonogram w terminie 1 dnia roboczego od ich otrzymania. Zamawiający rozpatrzy poprawiony harmonogram w terminie 1 dnia roboczego od jego otrzymania. Zatwierdzenie harmonogramu stanowi podstawę do oceny możliwości realizacji zakresu objętego prawem opcji, zgodnie z § 3 umowy.</w:t>
      </w:r>
    </w:p>
    <w:p w14:paraId="68446C71" w14:textId="77777777" w:rsidR="003D4AC0" w:rsidRDefault="00F86810" w:rsidP="003D4AC0">
      <w:pPr>
        <w:pStyle w:val="NormalnyWeb"/>
        <w:spacing w:line="278" w:lineRule="auto"/>
        <w:jc w:val="both"/>
        <w:rPr>
          <w:rFonts w:ascii="Lato" w:hAnsi="Lato"/>
          <w:sz w:val="22"/>
          <w:szCs w:val="22"/>
        </w:rPr>
      </w:pPr>
      <w:r w:rsidRPr="003D4AC0">
        <w:rPr>
          <w:rFonts w:ascii="Lato" w:hAnsi="Lato" w:cstheme="majorHAnsi"/>
          <w:sz w:val="22"/>
          <w:szCs w:val="22"/>
        </w:rPr>
        <w:t>7.</w:t>
      </w:r>
      <w:r w:rsidRPr="00F86810">
        <w:rPr>
          <w:rFonts w:ascii="Lato" w:hAnsi="Lato" w:cstheme="majorHAnsi"/>
          <w:sz w:val="22"/>
          <w:szCs w:val="22"/>
        </w:rPr>
        <w:t xml:space="preserve"> </w:t>
      </w:r>
      <w:r w:rsidR="003D4AC0" w:rsidRPr="003D4AC0">
        <w:rPr>
          <w:rFonts w:ascii="Lato" w:hAnsi="Lato"/>
          <w:sz w:val="22"/>
          <w:szCs w:val="22"/>
        </w:rPr>
        <w:t>Zmiana harmonogramu niewpływająca na termin końcowy realizacji zamówienia i niepogarszająca funkcjonowania obiektu nie wymaga zawarcia aneksu do umowy, lecz uprzedniej akceptacji Zamawiającego w formie dokumentowej.</w:t>
      </w:r>
    </w:p>
    <w:p w14:paraId="70CEDB09" w14:textId="77777777" w:rsidR="003D4AC0" w:rsidRPr="003D4AC0" w:rsidRDefault="003D4AC0" w:rsidP="003D4AC0">
      <w:pPr>
        <w:pStyle w:val="NormalnyWeb"/>
        <w:jc w:val="both"/>
        <w:rPr>
          <w:rFonts w:ascii="Lato" w:hAnsi="Lato"/>
          <w:sz w:val="22"/>
          <w:szCs w:val="22"/>
        </w:rPr>
      </w:pPr>
    </w:p>
    <w:p w14:paraId="25392377" w14:textId="24010E68" w:rsidR="00F86810" w:rsidRDefault="00F86810" w:rsidP="00F86810">
      <w:pPr>
        <w:spacing w:line="276" w:lineRule="auto"/>
        <w:jc w:val="both"/>
        <w:rPr>
          <w:rFonts w:ascii="Lato" w:hAnsi="Lato" w:cstheme="majorHAnsi"/>
          <w:sz w:val="22"/>
          <w:szCs w:val="22"/>
        </w:rPr>
      </w:pPr>
    </w:p>
    <w:p w14:paraId="34BAC3FA" w14:textId="0C654C9F" w:rsidR="004C4281" w:rsidRPr="00B95550" w:rsidRDefault="004C4281" w:rsidP="00F86810">
      <w:pPr>
        <w:spacing w:line="276" w:lineRule="auto"/>
        <w:jc w:val="center"/>
        <w:rPr>
          <w:rFonts w:ascii="Lato" w:hAnsi="Lato" w:cstheme="majorHAnsi"/>
          <w:sz w:val="22"/>
          <w:szCs w:val="22"/>
        </w:rPr>
      </w:pPr>
      <w:r w:rsidRPr="00B95550">
        <w:rPr>
          <w:rFonts w:ascii="Lato" w:hAnsi="Lato" w:cstheme="majorHAnsi"/>
          <w:sz w:val="22"/>
          <w:szCs w:val="22"/>
        </w:rPr>
        <w:t>§ 5. Wynagrodzenie</w:t>
      </w:r>
      <w:bookmarkEnd w:id="10"/>
    </w:p>
    <w:p w14:paraId="7BFD1D77" w14:textId="77777777" w:rsidR="004C4281" w:rsidRPr="00B95550" w:rsidRDefault="004C4281" w:rsidP="004C4281">
      <w:pPr>
        <w:spacing w:line="276" w:lineRule="auto"/>
        <w:jc w:val="center"/>
        <w:rPr>
          <w:rFonts w:ascii="Lato" w:hAnsi="Lato" w:cstheme="majorHAnsi"/>
          <w:sz w:val="22"/>
          <w:szCs w:val="22"/>
        </w:rPr>
      </w:pPr>
    </w:p>
    <w:p w14:paraId="386061A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Cena jednostkowa wynosi: netto ______ zł, VAT ______ zł, brutto ______ zł.</w:t>
      </w:r>
    </w:p>
    <w:p w14:paraId="648F349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Wynagrodzenie za zakres podstawowy wynosi 4 × cena jednostkowa brutto, tj. ______ zł brutto. Maksymalna wartość opcji wynosi 2 × cena jednostkowa brutto, tj. ______ zł brutto. Maksymalna wartość nominalna umowy wynosi ______ zł brutto.</w:t>
      </w:r>
    </w:p>
    <w:p w14:paraId="64E12E10"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Wynagrodzenie ma charakter ryczałtowy w rozumieniu art. 632 Kodeksu cywilnego i obejmuje wszystkie koszty prawidłowej realizacji. Wykonawca nie może żądać podwyższenia z powodu niedoszacowania ilości lub kosztów, z zastrzeżeniem wyraźnie dopuszczonych zmian umowy.</w:t>
      </w:r>
    </w:p>
    <w:p w14:paraId="2DB1184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4. Ponieważ planowany okres realizacji nie przekracza 6 miesięcy, strony nie wprowadzają waloryzacji z art. 439 </w:t>
      </w:r>
      <w:proofErr w:type="spellStart"/>
      <w:r w:rsidRPr="00B95550">
        <w:rPr>
          <w:rFonts w:ascii="Lato" w:hAnsi="Lato" w:cstheme="majorHAnsi"/>
          <w:sz w:val="22"/>
          <w:szCs w:val="22"/>
        </w:rPr>
        <w:t>Pzp</w:t>
      </w:r>
      <w:proofErr w:type="spellEnd"/>
      <w:r w:rsidRPr="00B95550">
        <w:rPr>
          <w:rFonts w:ascii="Lato" w:hAnsi="Lato" w:cstheme="majorHAnsi"/>
          <w:sz w:val="22"/>
          <w:szCs w:val="22"/>
        </w:rPr>
        <w:t>.</w:t>
      </w:r>
    </w:p>
    <w:p w14:paraId="7DFCDD96"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5. Podział wynagrodzenia na transze określone w § 6 ma wyłącznie charakter rozliczeniowy i nie narusza ryczałtowego charakteru wynagrodzenia ani odpowiedzialności Wykonawcy za kompletne wykonanie przedmiotu umowy.</w:t>
      </w:r>
    </w:p>
    <w:p w14:paraId="68CDD17B"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6. Wykonawcy nie przysługuje wynagrodzenie za część opcji, której Zamawiający nie uruchomił zgodnie z § 3.</w:t>
      </w:r>
    </w:p>
    <w:p w14:paraId="3AEA3D9E" w14:textId="77777777" w:rsidR="004C4281" w:rsidRPr="00B95550" w:rsidRDefault="004C4281" w:rsidP="004C4281">
      <w:pPr>
        <w:spacing w:line="276" w:lineRule="auto"/>
        <w:jc w:val="both"/>
        <w:rPr>
          <w:rFonts w:ascii="Lato" w:hAnsi="Lato" w:cstheme="majorHAnsi"/>
          <w:sz w:val="22"/>
          <w:szCs w:val="22"/>
        </w:rPr>
      </w:pPr>
    </w:p>
    <w:p w14:paraId="7C989059" w14:textId="77777777" w:rsidR="00B95550" w:rsidRPr="00B95550" w:rsidRDefault="00B95550" w:rsidP="004C4281">
      <w:pPr>
        <w:spacing w:line="276" w:lineRule="auto"/>
        <w:jc w:val="both"/>
        <w:rPr>
          <w:rFonts w:ascii="Lato" w:hAnsi="Lato" w:cstheme="majorHAnsi"/>
          <w:sz w:val="22"/>
          <w:szCs w:val="22"/>
        </w:rPr>
      </w:pPr>
    </w:p>
    <w:p w14:paraId="474A9962" w14:textId="77777777" w:rsidR="004C4281" w:rsidRPr="00B95550" w:rsidRDefault="004C4281" w:rsidP="004C4281">
      <w:pPr>
        <w:spacing w:line="276" w:lineRule="auto"/>
        <w:jc w:val="center"/>
        <w:rPr>
          <w:rFonts w:ascii="Lato" w:hAnsi="Lato" w:cstheme="majorHAnsi"/>
          <w:sz w:val="22"/>
          <w:szCs w:val="22"/>
        </w:rPr>
      </w:pPr>
      <w:bookmarkStart w:id="11" w:name="_Toc241581660"/>
      <w:r w:rsidRPr="00B95550">
        <w:rPr>
          <w:rFonts w:ascii="Lato" w:hAnsi="Lato" w:cstheme="majorHAnsi"/>
          <w:sz w:val="22"/>
          <w:szCs w:val="22"/>
        </w:rPr>
        <w:t>§ 6. Rozliczenia i płatność</w:t>
      </w:r>
      <w:bookmarkEnd w:id="11"/>
    </w:p>
    <w:p w14:paraId="13EB2D4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Wynagrodzenie za zlecony zakres będzie płatne w trzech transzach, po wykonaniu i odbiorze kolejnych etapów robót, na zasadach określonych poniżej.</w:t>
      </w:r>
    </w:p>
    <w:p w14:paraId="4034CD1E"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Etap I, 30% wartości zleconego zakresu, obejmuje wykonanie we wszystkich łazienkach objętych zleconym zakresem: zabezpieczenia miejsca robót; demontażu wyposażenia oraz skucia istniejących okładzin ściennych i podłogowych; niezbędnych rozbiórek; instalacji wodociągowej, kanalizacyjnej i c.o. w zakresie przewodów, podejść i odpływów wraz z próbami szczelności; montażu i wypoziomowania stelaży podtynkowych WC wraz z przyłączami; podtynkowej części instalacji elektrycznej wraz z kontrolą przed zakryciem oraz uporządkowania miejsca robót po zakończeniu etapu.</w:t>
      </w:r>
    </w:p>
    <w:p w14:paraId="5CC7F772" w14:textId="77777777" w:rsidR="003D4AC0" w:rsidRPr="003D4AC0" w:rsidRDefault="004C4281" w:rsidP="003D4AC0">
      <w:pPr>
        <w:pStyle w:val="NormalnyWeb"/>
        <w:jc w:val="both"/>
        <w:rPr>
          <w:rFonts w:ascii="Lato" w:hAnsi="Lato"/>
          <w:sz w:val="22"/>
          <w:szCs w:val="22"/>
        </w:rPr>
      </w:pPr>
      <w:r w:rsidRPr="00B95550">
        <w:rPr>
          <w:rFonts w:ascii="Lato" w:hAnsi="Lato" w:cstheme="majorHAnsi"/>
          <w:sz w:val="22"/>
          <w:szCs w:val="22"/>
        </w:rPr>
        <w:t xml:space="preserve">3. Etap II, 30% wartości zleconego zakresu, obejmuje wykonanie we wszystkich łazienkach objętych zleconym zakresem: zabudów instalacyjnych i stelaży WC; naprawy, wyrównania i zagruntowania ścian oraz podłoży; wylewek i wymaganych spadków; podwieszanych sufitów odpornych na wilgoć; </w:t>
      </w:r>
      <w:r w:rsidR="00506868" w:rsidRPr="00506868">
        <w:rPr>
          <w:rFonts w:ascii="Lato" w:hAnsi="Lato" w:cstheme="majorHAnsi"/>
          <w:sz w:val="22"/>
          <w:szCs w:val="22"/>
        </w:rPr>
        <w:t xml:space="preserve">wykonania kompletnego systemu hydroizolacji </w:t>
      </w:r>
      <w:proofErr w:type="spellStart"/>
      <w:r w:rsidR="00506868" w:rsidRPr="00506868">
        <w:rPr>
          <w:rFonts w:ascii="Lato" w:hAnsi="Lato" w:cstheme="majorHAnsi"/>
          <w:sz w:val="22"/>
          <w:szCs w:val="22"/>
        </w:rPr>
        <w:t>podpłytkowej</w:t>
      </w:r>
      <w:proofErr w:type="spellEnd"/>
      <w:r w:rsidR="00506868" w:rsidRPr="00506868">
        <w:rPr>
          <w:rFonts w:ascii="Lato" w:hAnsi="Lato" w:cstheme="majorHAnsi"/>
          <w:sz w:val="22"/>
          <w:szCs w:val="22"/>
        </w:rPr>
        <w:t>, zgodnego z wymaganiami STWiORB i normą PN-EN 14891 lub równoważną, obejmującego gruntowanie podłoża, wykonanie warstwy uszczelniającej oraz zastosowanie kompatybilnych elementów systemowych, w szczególności taśm, narożników i mankietów uszczelniających przejścia instalacyjne</w:t>
      </w:r>
      <w:r w:rsidR="00506868">
        <w:rPr>
          <w:rFonts w:ascii="Lato" w:hAnsi="Lato" w:cstheme="majorHAnsi"/>
          <w:sz w:val="22"/>
          <w:szCs w:val="22"/>
        </w:rPr>
        <w:t>.</w:t>
      </w:r>
      <w:r w:rsidRPr="00B95550">
        <w:rPr>
          <w:rFonts w:ascii="Lato" w:hAnsi="Lato" w:cstheme="majorHAnsi"/>
          <w:sz w:val="22"/>
          <w:szCs w:val="22"/>
        </w:rPr>
        <w:t xml:space="preserve"> </w:t>
      </w:r>
      <w:r w:rsidR="003D4AC0" w:rsidRPr="003D4AC0">
        <w:rPr>
          <w:rFonts w:ascii="Lato" w:hAnsi="Lato"/>
          <w:sz w:val="22"/>
          <w:szCs w:val="22"/>
        </w:rPr>
        <w:t>Etap II obejmuje również montaż ościeżnic stałych, jeżeli ich zamontowanie jest wymagane przed wykonaniem okładzin ceramicznych. W przypadku zastosowania ościeżnic regulowanych, przeznaczonych do montażu po ułożeniu płytek, Etap II obejmuje przygotowanie i odbiór otworów drzwiowych, natomiast montaż ościeżnic następuje w Etapie III.</w:t>
      </w:r>
    </w:p>
    <w:p w14:paraId="44ADC6F3" w14:textId="7E6CB33E"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w:t>
      </w:r>
    </w:p>
    <w:p w14:paraId="59B623F4"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 xml:space="preserve">4. Etap III – 40% wartości zleconego zakresu – obejmuje wykonanie wszystkich pozostałych robót, w szczególności: ułożenie płytek ściennych i podłogowych, </w:t>
      </w:r>
      <w:r w:rsidRPr="00B95550">
        <w:rPr>
          <w:rFonts w:ascii="Lato" w:hAnsi="Lato"/>
          <w:sz w:val="22"/>
          <w:szCs w:val="22"/>
        </w:rPr>
        <w:lastRenderedPageBreak/>
        <w:t xml:space="preserve">fugowanie, </w:t>
      </w:r>
      <w:proofErr w:type="spellStart"/>
      <w:r w:rsidRPr="00B95550">
        <w:rPr>
          <w:rFonts w:ascii="Lato" w:hAnsi="Lato"/>
          <w:sz w:val="22"/>
          <w:szCs w:val="22"/>
        </w:rPr>
        <w:t>silikonowanie</w:t>
      </w:r>
      <w:proofErr w:type="spellEnd"/>
      <w:r w:rsidRPr="00B95550">
        <w:rPr>
          <w:rFonts w:ascii="Lato" w:hAnsi="Lato"/>
          <w:sz w:val="22"/>
          <w:szCs w:val="22"/>
        </w:rPr>
        <w:t xml:space="preserve"> i wykonanie dylatacji; montaż ościeżnic regulowanych, skrzydeł i okuć; biały montaż, w tym montaż misek WC, przycisków spłukujących, umywalek, szafek, armatury, wyposażenia natrysków i odpływów liniowych; montaż grzejników, opraw oświetleniowych, osprzętu elektrycznego i wyposażenia; wykonanie regulacji, prób, pomiarów i uruchomień; usunięcie odpadów, końcowe uporządkowanie pomieszczeń oraz przekazanie kompletnej dokumentacji powykonawczej.</w:t>
      </w:r>
    </w:p>
    <w:p w14:paraId="3B8E3303"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5. Podstawę obliczenia każdej transzy stanowi wartość zleconego zakresu, o której mowa w § 1 ust. 1. Pierwszy odbiór częściowy może nastąpić po upływie terminu na uruchomienie opcji albo wcześniej, jeżeli Zamawiający uruchomił całą opcję lub złożył ostateczne oświadczenie, że nie skorzysta z niej w całości albo w pozostałej części.</w:t>
      </w:r>
    </w:p>
    <w:p w14:paraId="5947DF1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6. Warunkiem zakończenia danego etapu jest wykonanie przypisanego mu zakresu we wszystkich łazienkach objętych zleconym zakresem oraz wcześniejszy odbiór robót zanikających i ulegających zakryciu.</w:t>
      </w:r>
    </w:p>
    <w:p w14:paraId="35466FDD"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7. Wykonawca zgłasza Zamawiającemu gotowość do odbioru etapu w formie pisemnej lub dokumentowej i jednocześnie przekazuje projekt protokołu odbioru, dokumentację fotograficzną oraz wymagane dla danego etapu protokoły prób, badań i sprawdzeń.</w:t>
      </w:r>
    </w:p>
    <w:p w14:paraId="6A3E4A73"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8. Dokumentacja fotograficzna stanowi obowiązkowy załącznik do protokołu. Musi umożliwiać identyfikację łazienki i daty wykonania zdjęcia oraz przedstawiać zakres robót przed rozpoczęciem, w trakcie realizacji, przed zakryciem instalacji i hydroizolacji oraz po zakończeniu danego etapu.</w:t>
      </w:r>
    </w:p>
    <w:p w14:paraId="72BAFD7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9. Protokół odbioru musi określać co najmniej: oznaczenie etapu, wykaz łazienek, opis odebranych robót, wykaz przekazanych dokumentów i zdjęć, stwierdzone wady lub braki, termin ich usunięcia oraz wartość robót przyjętą do rozliczenia.</w:t>
      </w:r>
    </w:p>
    <w:p w14:paraId="0A9A6FFD"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10. Podstawą wystawienia faktury jest wyłącznie protokół odbioru częściowego Etapu I albo Etapu II lub protokół odbioru końcowego Etapu III, podpisany przez uprawnionych przedstawicieli Wykonawcy i Zamawiającego, bez zastrzeżenia wad istotnych, wraz z kompletną dokumentacją wymaganą dla danego etapu. Protokół jednostronny, samo zgłoszenie robót, rozpoczęcie użytkowania pomieszczeń ani upływ terminu na dokonanie odbioru nie stanowią podstawy do wystawienia faktury ani żądania zapłaty.</w:t>
      </w:r>
    </w:p>
    <w:p w14:paraId="61C6E166"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11. Faktura za Etap I wynosi 30%, za Etap II – 30%, a za Etap III – 40% wartości zleconego zakresu. Termin zapłaty każdej prawidłowo wystawionej faktury wynosi 7 dni od dnia jej doręczenia Zamawiającemu wraz z właściwym protokołem odbioru i wymaganymi dowodami zapłaty wymagalnego wynagrodzenia podwykonawcom i dalszym podwykonawcom.</w:t>
      </w:r>
    </w:p>
    <w:p w14:paraId="25C1F181"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12. W przypadku stwierdzenia wad nieistotnych Zamawiający może podpisać protokół ze wskazaniem terminu ich usunięcia oraz zatrzymać z należnej transzy kwotę odpowiadającą uzasadnionemu kosztowi usunięcia wad do czasu potwierdzenia ich usunięcia protokołem podpisanym przez obie Strony.</w:t>
      </w:r>
    </w:p>
    <w:p w14:paraId="1C5AA779"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13. Wykonawca może przekazać ustrukturyzowaną fakturę elektroniczną za pośrednictwem Platformy Elektronicznego Fakturowania. Zamawiający nie udziela zaliczek. Odbiory częściowe nie oznaczają odbioru końcowego, nie przenoszą na </w:t>
      </w:r>
      <w:r w:rsidRPr="00B95550">
        <w:rPr>
          <w:rFonts w:ascii="Lato" w:hAnsi="Lato" w:cstheme="majorHAnsi"/>
          <w:sz w:val="22"/>
          <w:szCs w:val="22"/>
        </w:rPr>
        <w:lastRenderedPageBreak/>
        <w:t>Zamawiającego ryzyka przypadkowej utraty lub uszkodzenia robót i nie rozpoczynają biegu gwarancji ani rękojmi.</w:t>
      </w:r>
    </w:p>
    <w:p w14:paraId="5CD79CFB" w14:textId="77777777" w:rsidR="004C4281" w:rsidRPr="00B95550" w:rsidRDefault="004C4281" w:rsidP="004C4281">
      <w:pPr>
        <w:spacing w:line="276" w:lineRule="auto"/>
        <w:jc w:val="both"/>
        <w:rPr>
          <w:rFonts w:ascii="Lato" w:hAnsi="Lato" w:cstheme="majorHAnsi"/>
          <w:sz w:val="22"/>
          <w:szCs w:val="22"/>
        </w:rPr>
      </w:pPr>
      <w:bookmarkStart w:id="12" w:name="_Toc241581662"/>
    </w:p>
    <w:p w14:paraId="56AE22B9"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7. Obowiązki Wykonawcy</w:t>
      </w:r>
      <w:bookmarkEnd w:id="12"/>
    </w:p>
    <w:p w14:paraId="7176EF5E"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Przejęcie, zabezpieczenie i oznakowanie miejsca robót;</w:t>
      </w:r>
    </w:p>
    <w:p w14:paraId="7AC9D30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Koordynacja robót z dowódcą JRG i utrzymanie ciągłości działania jednostki;</w:t>
      </w:r>
    </w:p>
    <w:p w14:paraId="2BB159FC"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Zapewnienie wykwalifikowanego personelu, sprzętu, materiałów i nadzoru;</w:t>
      </w:r>
    </w:p>
    <w:p w14:paraId="4DD5D311"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4. Ochrona mienia, instalacji i dróg komunikacyjnych oraz naprawienie szkód;</w:t>
      </w:r>
    </w:p>
    <w:p w14:paraId="1F0F07B2" w14:textId="3AD7B84B"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 xml:space="preserve">5. Zgłaszanie robót zanikających, </w:t>
      </w:r>
      <w:r w:rsidR="00B95550">
        <w:rPr>
          <w:rFonts w:ascii="Lato" w:hAnsi="Lato"/>
          <w:sz w:val="22"/>
          <w:szCs w:val="22"/>
        </w:rPr>
        <w:t>wykonywanie</w:t>
      </w:r>
      <w:r w:rsidRPr="00B95550">
        <w:rPr>
          <w:rFonts w:ascii="Lato" w:hAnsi="Lato"/>
          <w:sz w:val="22"/>
          <w:szCs w:val="22"/>
        </w:rPr>
        <w:t xml:space="preserve"> dokumentacji fotograficznej;</w:t>
      </w:r>
    </w:p>
    <w:p w14:paraId="1EA70D4F"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6. Codzienne utrzymanie porządku oraz legalne zagospodarowanie odpadów;</w:t>
      </w:r>
    </w:p>
    <w:p w14:paraId="09B65AC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7. Utrzymanie polisy OC co najmniej na kwotę maksymalnego wynagrodzenia brutto;</w:t>
      </w:r>
    </w:p>
    <w:p w14:paraId="33C55E4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 xml:space="preserve">8. Natychmiastowe zgłaszanie awarii, kolizji, </w:t>
      </w:r>
      <w:proofErr w:type="spellStart"/>
      <w:r w:rsidRPr="00B95550">
        <w:rPr>
          <w:rFonts w:ascii="Lato" w:hAnsi="Lato"/>
          <w:sz w:val="22"/>
          <w:szCs w:val="22"/>
        </w:rPr>
        <w:t>ryzyk</w:t>
      </w:r>
      <w:proofErr w:type="spellEnd"/>
      <w:r w:rsidRPr="00B95550">
        <w:rPr>
          <w:rFonts w:ascii="Lato" w:hAnsi="Lato"/>
          <w:sz w:val="22"/>
          <w:szCs w:val="22"/>
        </w:rPr>
        <w:t xml:space="preserve"> opóźnienia i wypadków.</w:t>
      </w:r>
    </w:p>
    <w:p w14:paraId="35BECFC4" w14:textId="77777777" w:rsidR="004C4281" w:rsidRPr="00B95550" w:rsidRDefault="004C4281" w:rsidP="004C4281">
      <w:pPr>
        <w:spacing w:line="276" w:lineRule="auto"/>
        <w:jc w:val="both"/>
        <w:rPr>
          <w:rFonts w:ascii="Lato" w:hAnsi="Lato" w:cstheme="majorHAnsi"/>
          <w:sz w:val="22"/>
          <w:szCs w:val="22"/>
        </w:rPr>
      </w:pPr>
      <w:bookmarkStart w:id="13" w:name="_Toc241581663"/>
    </w:p>
    <w:p w14:paraId="74356359" w14:textId="77777777" w:rsidR="004C4281" w:rsidRPr="00B95550" w:rsidRDefault="004C4281" w:rsidP="004C4281">
      <w:pPr>
        <w:spacing w:line="276" w:lineRule="auto"/>
        <w:jc w:val="center"/>
        <w:rPr>
          <w:rFonts w:ascii="Lato" w:hAnsi="Lato"/>
          <w:sz w:val="22"/>
          <w:szCs w:val="22"/>
        </w:rPr>
      </w:pPr>
      <w:r w:rsidRPr="00B95550">
        <w:rPr>
          <w:rFonts w:ascii="Lato" w:hAnsi="Lato"/>
          <w:sz w:val="22"/>
          <w:szCs w:val="22"/>
        </w:rPr>
        <w:t>§ 8. Zabezpieczenie należytego wykonania umowy</w:t>
      </w:r>
    </w:p>
    <w:p w14:paraId="3F3142AC" w14:textId="77777777" w:rsidR="004C4281" w:rsidRPr="00B95550" w:rsidRDefault="004C4281" w:rsidP="004C4281">
      <w:pPr>
        <w:spacing w:line="276" w:lineRule="auto"/>
        <w:jc w:val="both"/>
        <w:rPr>
          <w:rFonts w:ascii="Lato" w:hAnsi="Lato"/>
          <w:sz w:val="22"/>
          <w:szCs w:val="22"/>
        </w:rPr>
      </w:pPr>
      <w:r w:rsidRPr="00B95550">
        <w:rPr>
          <w:rFonts w:ascii="Lato" w:hAnsi="Lato"/>
          <w:sz w:val="22"/>
          <w:szCs w:val="22"/>
        </w:rPr>
        <w:t>1. Wykonawca wniesie zabezpieczenie należytego wykonania umowy w wysokości 5% wynagrodzenia brutto za zakres podstawowy obejmujący remont 4 łazienek, określonego w § 5 ust. 2. Wartość prawa opcji nie jest uwzględniana przy obliczaniu wysokości zabezpieczenia.</w:t>
      </w:r>
    </w:p>
    <w:p w14:paraId="5FD78558" w14:textId="77777777" w:rsidR="004C4281" w:rsidRPr="00B95550" w:rsidRDefault="004C4281" w:rsidP="004C4281">
      <w:pPr>
        <w:spacing w:line="276" w:lineRule="auto"/>
        <w:jc w:val="both"/>
        <w:rPr>
          <w:rFonts w:ascii="Lato" w:hAnsi="Lato"/>
          <w:sz w:val="22"/>
          <w:szCs w:val="22"/>
        </w:rPr>
      </w:pPr>
      <w:r w:rsidRPr="00B95550">
        <w:rPr>
          <w:rFonts w:ascii="Lato" w:hAnsi="Lato"/>
          <w:sz w:val="22"/>
          <w:szCs w:val="22"/>
        </w:rPr>
        <w:t xml:space="preserve">2. Zabezpieczenie wnosi się przed zawarciem umowy w jednej lub kilku formach określonych w art. 450 ust. 1 </w:t>
      </w:r>
      <w:proofErr w:type="spellStart"/>
      <w:r w:rsidRPr="00B95550">
        <w:rPr>
          <w:rFonts w:ascii="Lato" w:hAnsi="Lato"/>
          <w:sz w:val="22"/>
          <w:szCs w:val="22"/>
        </w:rPr>
        <w:t>Pzp</w:t>
      </w:r>
      <w:proofErr w:type="spellEnd"/>
      <w:r w:rsidRPr="00B95550">
        <w:rPr>
          <w:rFonts w:ascii="Lato" w:hAnsi="Lato"/>
          <w:sz w:val="22"/>
          <w:szCs w:val="22"/>
        </w:rPr>
        <w:t>. Wykonawca może zmienić formę zabezpieczenia w toku realizacji umowy z zachowaniem jego ciągłości i wymaganej wysokości.</w:t>
      </w:r>
    </w:p>
    <w:p w14:paraId="68F52DA7" w14:textId="1615740F" w:rsidR="004C4281" w:rsidRPr="00B95550" w:rsidRDefault="004C4281" w:rsidP="004C4281">
      <w:pPr>
        <w:spacing w:line="276" w:lineRule="auto"/>
        <w:jc w:val="both"/>
        <w:rPr>
          <w:rFonts w:ascii="Lato" w:hAnsi="Lato"/>
          <w:sz w:val="22"/>
          <w:szCs w:val="22"/>
        </w:rPr>
      </w:pPr>
      <w:r w:rsidRPr="00B95550">
        <w:rPr>
          <w:rFonts w:ascii="Lato" w:hAnsi="Lato"/>
          <w:sz w:val="22"/>
          <w:szCs w:val="22"/>
        </w:rPr>
        <w:t>3. Uruchomienie prawa opcji nie powoduje obowiązku zwiększenia wysokości zabezpieczenia.</w:t>
      </w:r>
    </w:p>
    <w:p w14:paraId="20E55E73" w14:textId="77777777" w:rsidR="004C4281" w:rsidRPr="00B95550" w:rsidRDefault="004C4281" w:rsidP="004C4281">
      <w:pPr>
        <w:spacing w:line="276" w:lineRule="auto"/>
        <w:jc w:val="center"/>
        <w:rPr>
          <w:rFonts w:ascii="Lato" w:hAnsi="Lato" w:cstheme="majorHAnsi"/>
          <w:sz w:val="22"/>
          <w:szCs w:val="22"/>
        </w:rPr>
      </w:pPr>
    </w:p>
    <w:p w14:paraId="1A652225"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9. Zatrudnienie na podstawie stosunku pracy</w:t>
      </w:r>
      <w:bookmarkEnd w:id="13"/>
    </w:p>
    <w:p w14:paraId="34DB9A0B"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Wykonawca i podwykonawca zatrudniają na podstawie stosunku pracy osoby wykonujące czynności wskazane w Rozdziale VIII SWZ, jeżeli spełnione są przesłanki z art. 22 § 1 Kodeksu pracy.</w:t>
      </w:r>
    </w:p>
    <w:p w14:paraId="67B15F1A"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2. Przed rozpoczęciem robót Wykonawca składa oświadczenie o liczbie osób, rodzaju czynności i okresie zatrudnienia, a na żądanie – dokumenty dopuszczone art. 438 </w:t>
      </w:r>
      <w:proofErr w:type="spellStart"/>
      <w:r w:rsidRPr="00B95550">
        <w:rPr>
          <w:rFonts w:ascii="Lato" w:hAnsi="Lato" w:cstheme="majorHAnsi"/>
          <w:sz w:val="22"/>
          <w:szCs w:val="22"/>
        </w:rPr>
        <w:t>Pzp</w:t>
      </w:r>
      <w:proofErr w:type="spellEnd"/>
      <w:r w:rsidRPr="00B95550">
        <w:rPr>
          <w:rFonts w:ascii="Lato" w:hAnsi="Lato" w:cstheme="majorHAnsi"/>
          <w:sz w:val="22"/>
          <w:szCs w:val="22"/>
        </w:rPr>
        <w:t>. Zamawiający może przeprowadzać kontrole i rozmawiać z osobami na miejscu w zakresie niezbędnym do weryfikacji.</w:t>
      </w:r>
    </w:p>
    <w:p w14:paraId="1A9A50C0"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3. Dane osobowe w dokumentach podlegają </w:t>
      </w:r>
      <w:proofErr w:type="spellStart"/>
      <w:r w:rsidRPr="00B95550">
        <w:rPr>
          <w:rFonts w:ascii="Lato" w:hAnsi="Lato" w:cstheme="majorHAnsi"/>
          <w:sz w:val="22"/>
          <w:szCs w:val="22"/>
        </w:rPr>
        <w:t>anonimizacji</w:t>
      </w:r>
      <w:proofErr w:type="spellEnd"/>
      <w:r w:rsidRPr="00B95550">
        <w:rPr>
          <w:rFonts w:ascii="Lato" w:hAnsi="Lato" w:cstheme="majorHAnsi"/>
          <w:sz w:val="22"/>
          <w:szCs w:val="22"/>
        </w:rPr>
        <w:t xml:space="preserve"> poza imieniem i nazwiskiem, datą zawarcia, rodzajem umowy oraz zakresem obowiązków, jeżeli są niezbędne do kontroli.</w:t>
      </w:r>
    </w:p>
    <w:p w14:paraId="2D18833C" w14:textId="77777777" w:rsidR="004C4281" w:rsidRPr="00B95550" w:rsidRDefault="004C4281" w:rsidP="004C4281">
      <w:pPr>
        <w:spacing w:line="276" w:lineRule="auto"/>
        <w:jc w:val="both"/>
        <w:rPr>
          <w:rFonts w:ascii="Lato" w:hAnsi="Lato" w:cstheme="majorHAnsi"/>
          <w:sz w:val="22"/>
          <w:szCs w:val="22"/>
        </w:rPr>
      </w:pPr>
    </w:p>
    <w:p w14:paraId="206F5217" w14:textId="77777777" w:rsidR="004C4281" w:rsidRPr="00B95550" w:rsidRDefault="004C4281" w:rsidP="004C4281">
      <w:pPr>
        <w:spacing w:line="276" w:lineRule="auto"/>
        <w:jc w:val="center"/>
        <w:rPr>
          <w:rFonts w:ascii="Lato" w:hAnsi="Lato" w:cstheme="majorHAnsi"/>
          <w:sz w:val="22"/>
          <w:szCs w:val="22"/>
        </w:rPr>
      </w:pPr>
      <w:bookmarkStart w:id="14" w:name="_Toc241581664"/>
      <w:r w:rsidRPr="00B95550">
        <w:rPr>
          <w:rFonts w:ascii="Lato" w:hAnsi="Lato" w:cstheme="majorHAnsi"/>
          <w:sz w:val="22"/>
          <w:szCs w:val="22"/>
        </w:rPr>
        <w:t>§ 10. Osobiste wykonanie kluczowych zadań</w:t>
      </w:r>
      <w:bookmarkEnd w:id="14"/>
    </w:p>
    <w:p w14:paraId="69AD062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1. Wykonawca osobiście wykona zadania zastrzeżone w Rozdziale VII SWZ. Zakaz ich </w:t>
      </w:r>
      <w:proofErr w:type="spellStart"/>
      <w:r w:rsidRPr="00B95550">
        <w:rPr>
          <w:rFonts w:ascii="Lato" w:hAnsi="Lato" w:cstheme="majorHAnsi"/>
          <w:sz w:val="22"/>
          <w:szCs w:val="22"/>
        </w:rPr>
        <w:t>podwykonania</w:t>
      </w:r>
      <w:proofErr w:type="spellEnd"/>
      <w:r w:rsidRPr="00B95550">
        <w:rPr>
          <w:rFonts w:ascii="Lato" w:hAnsi="Lato" w:cstheme="majorHAnsi"/>
          <w:sz w:val="22"/>
          <w:szCs w:val="22"/>
        </w:rPr>
        <w:t xml:space="preserve"> obejmuje podwykonawców i dalszych podwykonawców.</w:t>
      </w:r>
    </w:p>
    <w:p w14:paraId="2DD22983"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Najpóźniej przed wejściem na teren robót Wykonawca przedstawi imienną listę osób realizujących zadania zastrzeżone wraz ze wskazaniem podstawy ich bezpośredniego zaangażowania przez Wykonawcę lub właściwego członka konsorcjum. Każdą zmianę zgłasza przed dopuszczeniem osoby do pracy.</w:t>
      </w:r>
    </w:p>
    <w:p w14:paraId="728F5F87" w14:textId="77777777" w:rsidR="004C4281" w:rsidRPr="00B95550" w:rsidRDefault="004C4281" w:rsidP="004C4281">
      <w:pPr>
        <w:spacing w:line="276" w:lineRule="auto"/>
        <w:jc w:val="both"/>
        <w:rPr>
          <w:rFonts w:ascii="Lato" w:hAnsi="Lato" w:cstheme="majorHAnsi"/>
          <w:sz w:val="22"/>
          <w:szCs w:val="22"/>
        </w:rPr>
      </w:pPr>
      <w:bookmarkStart w:id="15" w:name="_Toc241581665"/>
    </w:p>
    <w:p w14:paraId="0150AF30"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lastRenderedPageBreak/>
        <w:t>§ 11. Podwykonawcy</w:t>
      </w:r>
      <w:bookmarkEnd w:id="15"/>
    </w:p>
    <w:p w14:paraId="0F5D82B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1. Podwykonawstwo jest dopuszczalne w zakresie czynności, które nie zostały zastrzeżone w § 10 jako kluczowe zadania wymagające osobistego wykonania. Wykonawca odpowiada za działania i zaniechania podwykonawców jak za własne.</w:t>
      </w:r>
    </w:p>
    <w:p w14:paraId="116C0B10"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2. Przed przystąpieniem podwykonawcy do robót Wykonawca podaje jego nazwę, dane kontaktowe i przedstawiciela. Zamawiający może badać podstawy wykluczenia podwykonawcy na zasadach art. 462 ust. 5–6 </w:t>
      </w:r>
      <w:proofErr w:type="spellStart"/>
      <w:r w:rsidRPr="00B95550">
        <w:rPr>
          <w:rFonts w:ascii="Lato" w:hAnsi="Lato" w:cstheme="majorHAnsi"/>
          <w:sz w:val="22"/>
          <w:szCs w:val="22"/>
        </w:rPr>
        <w:t>Pzp</w:t>
      </w:r>
      <w:proofErr w:type="spellEnd"/>
      <w:r w:rsidRPr="00B95550">
        <w:rPr>
          <w:rFonts w:ascii="Lato" w:hAnsi="Lato" w:cstheme="majorHAnsi"/>
          <w:sz w:val="22"/>
          <w:szCs w:val="22"/>
        </w:rPr>
        <w:t>.</w:t>
      </w:r>
    </w:p>
    <w:p w14:paraId="78F1115B"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Projekt umowy o podwykonawstwo robót budowlanych i każdej jej zmiany podlega przedłożeniu Zamawiającemu. Termin na zgłoszenie pisemnych zastrzeżeń lub sprzeciwu wynosi 7 dni od doręczenia kompletnego projektu albo umowy.</w:t>
      </w:r>
    </w:p>
    <w:p w14:paraId="5333BC84"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4. Umowa podwykonawcza musi dokładnie określać zakres, termin, wynagrodzenie i zasady odbioru; termin zapłaty nie może przekraczać 30 dni; jej postanowienia o karach i płatności nie mogą być mniej korzystne dla podwykonawcy niż warunki umowy głównej.</w:t>
      </w:r>
    </w:p>
    <w:p w14:paraId="02D3FE21"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5. Poświadczoną kopię zawartej umowy o roboty budowlane oraz jej zmian składa się w terminie 7 dni od zawarcia. Umowy o dostawy lub usługi przedkłada się zgodnie z art. 464 ust. 8 </w:t>
      </w:r>
      <w:proofErr w:type="spellStart"/>
      <w:r w:rsidRPr="00B95550">
        <w:rPr>
          <w:rFonts w:ascii="Lato" w:hAnsi="Lato" w:cstheme="majorHAnsi"/>
          <w:sz w:val="22"/>
          <w:szCs w:val="22"/>
        </w:rPr>
        <w:t>Pzp</w:t>
      </w:r>
      <w:proofErr w:type="spellEnd"/>
      <w:r w:rsidRPr="00B95550">
        <w:rPr>
          <w:rFonts w:ascii="Lato" w:hAnsi="Lato" w:cstheme="majorHAnsi"/>
          <w:sz w:val="22"/>
          <w:szCs w:val="22"/>
        </w:rPr>
        <w:t>, przy czym obowiązek obejmuje każdą umowę o wartości co najmniej 0,5% maksymalnej wartości umowy lub ponad 50 000 zł.</w:t>
      </w:r>
    </w:p>
    <w:p w14:paraId="19C8FA3A"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6. Zapłata Wykonawcy jest uwarunkowana przedłożeniem dowodów zapłaty wymagalnych należności podwykonawców. W razie uchylania się od zapłaty Zamawiający stosuje art. 465 </w:t>
      </w:r>
      <w:proofErr w:type="spellStart"/>
      <w:r w:rsidRPr="00B95550">
        <w:rPr>
          <w:rFonts w:ascii="Lato" w:hAnsi="Lato" w:cstheme="majorHAnsi"/>
          <w:sz w:val="22"/>
          <w:szCs w:val="22"/>
        </w:rPr>
        <w:t>Pzp</w:t>
      </w:r>
      <w:proofErr w:type="spellEnd"/>
      <w:r w:rsidRPr="00B95550">
        <w:rPr>
          <w:rFonts w:ascii="Lato" w:hAnsi="Lato" w:cstheme="majorHAnsi"/>
          <w:sz w:val="22"/>
          <w:szCs w:val="22"/>
        </w:rPr>
        <w:t>.</w:t>
      </w:r>
    </w:p>
    <w:p w14:paraId="4E344C6D" w14:textId="77777777" w:rsidR="004C4281" w:rsidRPr="00B95550" w:rsidRDefault="004C4281" w:rsidP="004C4281">
      <w:pPr>
        <w:spacing w:line="276" w:lineRule="auto"/>
        <w:jc w:val="both"/>
        <w:rPr>
          <w:rFonts w:ascii="Lato" w:hAnsi="Lato" w:cstheme="majorHAnsi"/>
          <w:sz w:val="22"/>
          <w:szCs w:val="22"/>
        </w:rPr>
      </w:pPr>
    </w:p>
    <w:p w14:paraId="4764DBC5" w14:textId="77777777" w:rsidR="004C4281" w:rsidRPr="00B95550" w:rsidRDefault="004C4281" w:rsidP="004C4281">
      <w:pPr>
        <w:spacing w:line="276" w:lineRule="auto"/>
        <w:jc w:val="center"/>
        <w:rPr>
          <w:rFonts w:ascii="Lato" w:hAnsi="Lato" w:cstheme="majorHAnsi"/>
          <w:sz w:val="22"/>
          <w:szCs w:val="22"/>
        </w:rPr>
      </w:pPr>
      <w:bookmarkStart w:id="16" w:name="_Toc241581666"/>
      <w:r w:rsidRPr="00B95550">
        <w:rPr>
          <w:rFonts w:ascii="Lato" w:hAnsi="Lato" w:cstheme="majorHAnsi"/>
          <w:sz w:val="22"/>
          <w:szCs w:val="22"/>
        </w:rPr>
        <w:t>§ 12. Materiały, rozwiązania zamienne i kontrole</w:t>
      </w:r>
      <w:bookmarkEnd w:id="16"/>
    </w:p>
    <w:p w14:paraId="034FFD2C"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1. Materiały i urządzenia muszą spełniać wymagania OPZ, dokumentacji projektowej i STWiORB.</w:t>
      </w:r>
    </w:p>
    <w:p w14:paraId="2EB023FA"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Zmiana produktu na równoważny jest możliwa po udokumentowaniu co najmniej tych samych parametrów i pisemnej akceptacji, bez podwyższenia ceny, chyba że zachodzi przesłanka zmiany umowy.</w:t>
      </w:r>
    </w:p>
    <w:p w14:paraId="366100FE" w14:textId="77777777" w:rsidR="004C4281" w:rsidRPr="00B95550" w:rsidRDefault="004C4281" w:rsidP="004C4281">
      <w:pPr>
        <w:spacing w:line="276" w:lineRule="auto"/>
        <w:jc w:val="both"/>
        <w:rPr>
          <w:rFonts w:ascii="Lato" w:hAnsi="Lato" w:cstheme="majorHAnsi"/>
          <w:sz w:val="22"/>
          <w:szCs w:val="22"/>
        </w:rPr>
      </w:pPr>
      <w:bookmarkStart w:id="17" w:name="_Toc241581667"/>
    </w:p>
    <w:p w14:paraId="426FF294"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13. Odbiory</w:t>
      </w:r>
      <w:bookmarkEnd w:id="17"/>
    </w:p>
    <w:p w14:paraId="5BB9FD9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Wykonawca zgłasza roboty zanikające i ulegające zakryciu co najmniej 1 dzień roboczy przed planowanym zakryciem. Do zgłoszenia dołącza dokumentację fotograficzną. Zakrycie robót przed ich udokumentowaniem i odbiorem wymaga ich odkrycia na koszt i ryzyko Wykonawcy.</w:t>
      </w:r>
    </w:p>
    <w:p w14:paraId="0942844B"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2. Etap I </w:t>
      </w:r>
      <w:proofErr w:type="spellStart"/>
      <w:r w:rsidRPr="00B95550">
        <w:rPr>
          <w:rFonts w:ascii="Lato" w:hAnsi="Lato" w:cstheme="majorHAnsi"/>
          <w:sz w:val="22"/>
          <w:szCs w:val="22"/>
        </w:rPr>
        <w:t>i</w:t>
      </w:r>
      <w:proofErr w:type="spellEnd"/>
      <w:r w:rsidRPr="00B95550">
        <w:rPr>
          <w:rFonts w:ascii="Lato" w:hAnsi="Lato" w:cstheme="majorHAnsi"/>
          <w:sz w:val="22"/>
          <w:szCs w:val="22"/>
        </w:rPr>
        <w:t xml:space="preserve"> Etap II podlegają odbiorom częściowym. Etap III podlega odbiorowi końcowemu całego zleconego zakresu. Wykonawca zgłasza gotowość do odbioru wraz z dokumentami określonymi w § 6, a Zamawiający rozpocznie czynności odbiorowe w terminie do 2 dni roboczych od otrzymania kompletnego zgłoszenia.</w:t>
      </w:r>
    </w:p>
    <w:p w14:paraId="57D9DD14"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Odbiór każdego etapu obejmuje sprawdzenie wykonania robót we wszystkich łazienkach objętych zleconym zakresem, ich zgodności z umową i OPZ. Niewykonanie zakresu etapu choćby w jednej z tych łazienek uprawnia Zamawiającego do odmowy podpisania protokołu danego etapu.</w:t>
      </w:r>
    </w:p>
    <w:p w14:paraId="5C032C12"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4. Wada istotna, w szczególności nieszczelność, brak wymaganych prób, nieprawidłowo wykonana hydroizolacja, zagrożenie bezpieczeństwa, brak funkcjonalności lub istotna niezgodność z OPZ, uprawnia Zamawiającego do </w:t>
      </w:r>
      <w:r w:rsidRPr="00B95550">
        <w:rPr>
          <w:rFonts w:ascii="Lato" w:hAnsi="Lato" w:cstheme="majorHAnsi"/>
          <w:sz w:val="22"/>
          <w:szCs w:val="22"/>
        </w:rPr>
        <w:lastRenderedPageBreak/>
        <w:t>odmowy odbioru. Wady nieistotne wpisuje się do protokołu wraz z terminem ich usunięcia.</w:t>
      </w:r>
    </w:p>
    <w:p w14:paraId="00BE8649"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5. Odbiór dochodzi do skutku wyłącznie przez podpisanie protokołu przez uprawnionych przedstawicieli obu Stron. Umowa nie przewiduje odbioru milczącego ani domniemanego.</w:t>
      </w:r>
    </w:p>
    <w:p w14:paraId="2832468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6. Jeżeli Wykonawca nie usunie wad w terminie, Zamawiający może po bezskutecznym dodatkowym wezwaniu zlecić ich usunięcie osobie trzeciej na koszt i ryzyko Wykonawcy, bez utraty innych uprawnień.</w:t>
      </w:r>
    </w:p>
    <w:p w14:paraId="2BC8A919" w14:textId="77777777" w:rsidR="004C4281" w:rsidRPr="00B95550" w:rsidRDefault="004C4281" w:rsidP="004C4281">
      <w:pPr>
        <w:spacing w:line="276" w:lineRule="auto"/>
        <w:jc w:val="both"/>
        <w:rPr>
          <w:rFonts w:ascii="Lato" w:hAnsi="Lato" w:cstheme="majorHAnsi"/>
          <w:sz w:val="22"/>
          <w:szCs w:val="22"/>
        </w:rPr>
      </w:pPr>
      <w:bookmarkStart w:id="18" w:name="_Toc241581668"/>
    </w:p>
    <w:p w14:paraId="4C0BF351"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14. Gwarancja i rękojmia</w:t>
      </w:r>
      <w:bookmarkEnd w:id="18"/>
    </w:p>
    <w:p w14:paraId="01825AB6"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 xml:space="preserve">1. Wykonawca udziela gwarancji jakości na okres ______ miesięcy, zgodny z ofertą, nie krótszy niż 36 miesięcy, liczony od dnia podpisania przez obie Strony protokołu odbioru końcowego Etapu III dla całego zleconego zakresu. Okres rękojmi za wady wynosi 60 miesięcy od dnia odbioru końcowego. Protokoły odbioru częściowego Etapu I </w:t>
      </w:r>
      <w:proofErr w:type="spellStart"/>
      <w:r w:rsidRPr="00B95550">
        <w:rPr>
          <w:rFonts w:ascii="Lato" w:hAnsi="Lato"/>
          <w:sz w:val="22"/>
          <w:szCs w:val="22"/>
        </w:rPr>
        <w:t>i</w:t>
      </w:r>
      <w:proofErr w:type="spellEnd"/>
      <w:r w:rsidRPr="00B95550">
        <w:rPr>
          <w:rFonts w:ascii="Lato" w:hAnsi="Lato"/>
          <w:sz w:val="22"/>
          <w:szCs w:val="22"/>
        </w:rPr>
        <w:t xml:space="preserve"> Etapu II nie rozpoczynają biegu gwarancji ani rękojmi.</w:t>
      </w:r>
    </w:p>
    <w:p w14:paraId="00DE9FAF"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Gwarancja obejmuje roboty, materiały i wszystkie zamontowane urządzenia. Uprawnienia z gwarancji nie wyłączają rękojmi.</w:t>
      </w:r>
    </w:p>
    <w:p w14:paraId="77A0AC74"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3. W przypadku awarii grożącej zalaniem lub wyłączeniem łazienki Wykonawca rozpocznie działania zabezpieczające w ciągu maksymalnie 8 godzin od zgłoszenia. W pozostałych przypadkach zareaguje w ciągu 2 dni roboczych.</w:t>
      </w:r>
    </w:p>
    <w:p w14:paraId="6A04C619"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4. Wady usuwa się w terminie do 7 dni od zgłoszenia, chyba że obiektywne względy technologiczne wymagają dłuższego terminu zaakceptowanego przez Zamawiającego w formie dokumentowej. Okres gwarancji elementu naprawionego ulega przedłużeniu o czas wyłączenia z użytkowania, a elementu wymienionego biegnie od nowa.</w:t>
      </w:r>
    </w:p>
    <w:p w14:paraId="5430AA96" w14:textId="77777777" w:rsidR="004C4281" w:rsidRPr="00B95550" w:rsidRDefault="004C4281" w:rsidP="004C4281">
      <w:pPr>
        <w:spacing w:line="276" w:lineRule="auto"/>
        <w:jc w:val="both"/>
        <w:rPr>
          <w:rFonts w:ascii="Lato" w:hAnsi="Lato" w:cstheme="majorHAnsi"/>
          <w:sz w:val="22"/>
          <w:szCs w:val="22"/>
        </w:rPr>
      </w:pPr>
    </w:p>
    <w:p w14:paraId="6A0D1FD8" w14:textId="77777777" w:rsidR="004C4281" w:rsidRPr="00B95550" w:rsidRDefault="004C4281" w:rsidP="004C4281">
      <w:pPr>
        <w:spacing w:line="276" w:lineRule="auto"/>
        <w:jc w:val="center"/>
        <w:rPr>
          <w:rFonts w:ascii="Lato" w:hAnsi="Lato" w:cstheme="majorHAnsi"/>
          <w:sz w:val="22"/>
          <w:szCs w:val="22"/>
        </w:rPr>
      </w:pPr>
      <w:bookmarkStart w:id="19" w:name="_Toc241581669"/>
      <w:r w:rsidRPr="00B95550">
        <w:rPr>
          <w:rFonts w:ascii="Lato" w:hAnsi="Lato" w:cstheme="majorHAnsi"/>
          <w:sz w:val="22"/>
          <w:szCs w:val="22"/>
        </w:rPr>
        <w:t>§ 15. Kary umowne</w:t>
      </w:r>
      <w:bookmarkEnd w:id="19"/>
    </w:p>
    <w:p w14:paraId="148B9C21"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Wykonawca zapłaci Zamawiającemu kary:</w:t>
      </w:r>
    </w:p>
    <w:p w14:paraId="4AF15EBA"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zwłokę w wykonaniu zakresu podstawowego lub opcji – 0,2% wartości brutto opóźnionego zakresu za każdy rozpoczęty dzień;</w:t>
      </w:r>
    </w:p>
    <w:p w14:paraId="28CBDD03"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zwłokę w usunięciu wady – 0,15% ceny brutto łazienki, której wada dotyczy, za każdy rozpoczęty dzień;</w:t>
      </w:r>
    </w:p>
    <w:p w14:paraId="2FEA94F5"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powierzenie zastrzeżonego zadania podwykonawcy – 5 000 zł za każdy stwierdzony przypadek i każdą łazienkę;</w:t>
      </w:r>
    </w:p>
    <w:p w14:paraId="55613ED0"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dopuszczenie niezgłoszonego podwykonawcy do robót – 3 000 zł za każdy przypadek;</w:t>
      </w:r>
    </w:p>
    <w:p w14:paraId="0EB39A2A"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nieprzedłożenie projektu lub kopii umowy podwykonawczej albo jej zmiany – 2 000 zł za każdy przypadek;</w:t>
      </w:r>
    </w:p>
    <w:p w14:paraId="1B2E069D"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brak zapłaty lub nieterminową zapłatę podwykonawcy – 0,2% kwoty zaległej za każdy dzień zwłoki;</w:t>
      </w:r>
    </w:p>
    <w:p w14:paraId="4FC08834"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brak wymaganej zmiany terminu zapłaty w umowie podwykonawczej – 2 000 zł za każdy przypadek;</w:t>
      </w:r>
    </w:p>
    <w:p w14:paraId="2836248F"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naruszenie wymogu zatrudnienia na podstawie stosunku pracy – 1 000 zł za każdą osobę i każdy rozpoczęty miesiąc naruszenia;</w:t>
      </w:r>
    </w:p>
    <w:p w14:paraId="40254A7B"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t>za brak aktualnej polisy OC – 500 zł za każdy dzień;</w:t>
      </w:r>
    </w:p>
    <w:p w14:paraId="71A723ED" w14:textId="77777777" w:rsidR="004C4281" w:rsidRPr="00B95550" w:rsidRDefault="004C4281" w:rsidP="004C4281">
      <w:pPr>
        <w:widowControl w:val="0"/>
        <w:numPr>
          <w:ilvl w:val="0"/>
          <w:numId w:val="8"/>
        </w:numPr>
        <w:autoSpaceDE w:val="0"/>
        <w:autoSpaceDN w:val="0"/>
        <w:spacing w:line="276" w:lineRule="auto"/>
        <w:jc w:val="both"/>
        <w:rPr>
          <w:rFonts w:ascii="Lato" w:eastAsia="Tahoma" w:hAnsi="Lato" w:cstheme="majorHAnsi"/>
          <w:sz w:val="22"/>
          <w:szCs w:val="22"/>
          <w:lang w:eastAsia="en-US"/>
        </w:rPr>
      </w:pPr>
      <w:r w:rsidRPr="00B95550">
        <w:rPr>
          <w:rFonts w:ascii="Lato" w:eastAsia="Tahoma" w:hAnsi="Lato" w:cstheme="majorHAnsi"/>
          <w:sz w:val="22"/>
          <w:szCs w:val="22"/>
          <w:lang w:eastAsia="en-US"/>
        </w:rPr>
        <w:lastRenderedPageBreak/>
        <w:t>za odstąpienie od umowy z przyczyn leżących po stronie Wykonawcy – 10% maksymalnej wartości brutto umowy.</w:t>
      </w:r>
    </w:p>
    <w:p w14:paraId="341A33BC"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Łączna maksymalna wysokość kar umownych naliczonych jednej stronie nie przekroczy 10% maksymalnej wartości brutto umowy.</w:t>
      </w:r>
    </w:p>
    <w:p w14:paraId="6C3F77DB"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Zamawiający może potrącić kary z wynagrodzenia. Strony mogą dochodzić odszkodowania uzupełniającego na zasadach ogólnych, do wysokości rzeczywistej szkody.</w:t>
      </w:r>
    </w:p>
    <w:p w14:paraId="59E5EE1D"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4. Zamawiający zapłaci Wykonawcy karę 10% wartości niezrealizowanej części umowy w razie odstąpienia z wyłącznej winy Zamawiającego, z wyłączeniem okoliczności z art. 456 </w:t>
      </w:r>
      <w:proofErr w:type="spellStart"/>
      <w:r w:rsidRPr="00B95550">
        <w:rPr>
          <w:rFonts w:ascii="Lato" w:hAnsi="Lato" w:cstheme="majorHAnsi"/>
          <w:sz w:val="22"/>
          <w:szCs w:val="22"/>
        </w:rPr>
        <w:t>Pzp</w:t>
      </w:r>
      <w:proofErr w:type="spellEnd"/>
      <w:r w:rsidRPr="00B95550">
        <w:rPr>
          <w:rFonts w:ascii="Lato" w:hAnsi="Lato" w:cstheme="majorHAnsi"/>
          <w:sz w:val="22"/>
          <w:szCs w:val="22"/>
        </w:rPr>
        <w:t xml:space="preserve"> i niewykorzystania opcji.</w:t>
      </w:r>
    </w:p>
    <w:p w14:paraId="64ECBB8E" w14:textId="77777777" w:rsidR="004C4281" w:rsidRPr="00B95550" w:rsidRDefault="004C4281" w:rsidP="004C4281">
      <w:pPr>
        <w:spacing w:line="276" w:lineRule="auto"/>
        <w:jc w:val="both"/>
        <w:rPr>
          <w:rFonts w:ascii="Lato" w:hAnsi="Lato" w:cstheme="majorHAnsi"/>
          <w:sz w:val="22"/>
          <w:szCs w:val="22"/>
        </w:rPr>
      </w:pPr>
      <w:bookmarkStart w:id="20" w:name="_Toc241581670"/>
    </w:p>
    <w:p w14:paraId="68E41B70"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16. Odstąpienie</w:t>
      </w:r>
      <w:bookmarkEnd w:id="20"/>
    </w:p>
    <w:p w14:paraId="11FD8443"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1. Poza przypadkami ustawowymi Zamawiający może odstąpić od umowy w całości lub części, jeżeli Wykonawca mimo pisemnego wezwania i wyznaczenia odpowiedniego dodatkowego terminu: pozostaje w zwłoce w realizacji robót z przyczyn leżących po jego stronie w stopniu zagrażającym dotrzymaniu terminu umownego, wykonuje roboty niezgodnie z OPZ, dokumentacją projektową lub STWiORB, nie usuwa zagrożenia, powierza zastrzeżone zadania podwykonawcy, nie utrzymuje wymaganego ubezpieczenia albo wielokrotnie narusza zasady pracy w czynnym obiekcie.</w:t>
      </w:r>
    </w:p>
    <w:p w14:paraId="45C7B962"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Odstąpienie może nastąpić w terminie 15 dni od powzięcia wiadomości o podstawie, nie później niż do 20 dni po upływie terminu realizacji. Oświadczenie wymaga formy pisemnej pod rygorem nieważności i uzasadnienia.</w:t>
      </w:r>
    </w:p>
    <w:p w14:paraId="1A1FC38A"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Po odstąpieniu strony przeprowadzą inwentaryzację. Wykonawca zabezpieczy roboty i przekaże dokumentację; rozliczeniu podlegają wyłącznie prawidłowo wykonane i odebrane roboty.</w:t>
      </w:r>
    </w:p>
    <w:p w14:paraId="4F9D3DEE" w14:textId="77777777" w:rsidR="004C4281" w:rsidRPr="00B95550" w:rsidRDefault="004C4281" w:rsidP="004C4281">
      <w:pPr>
        <w:spacing w:line="276" w:lineRule="auto"/>
        <w:jc w:val="both"/>
        <w:rPr>
          <w:rFonts w:ascii="Lato" w:hAnsi="Lato" w:cstheme="majorHAnsi"/>
          <w:sz w:val="22"/>
          <w:szCs w:val="22"/>
        </w:rPr>
      </w:pPr>
      <w:bookmarkStart w:id="21" w:name="_Toc241581671"/>
    </w:p>
    <w:p w14:paraId="5E5DA129"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17. Zmiany umowy</w:t>
      </w:r>
      <w:bookmarkEnd w:id="21"/>
    </w:p>
    <w:p w14:paraId="48FC8998"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1. Zamawiający przewiduje, zgodnie z art. 455 ust. 1 pkt 1 </w:t>
      </w:r>
      <w:proofErr w:type="spellStart"/>
      <w:r w:rsidRPr="00B95550">
        <w:rPr>
          <w:rFonts w:ascii="Lato" w:hAnsi="Lato" w:cstheme="majorHAnsi"/>
          <w:sz w:val="22"/>
          <w:szCs w:val="22"/>
        </w:rPr>
        <w:t>Pzp</w:t>
      </w:r>
      <w:proofErr w:type="spellEnd"/>
      <w:r w:rsidRPr="00B95550">
        <w:rPr>
          <w:rFonts w:ascii="Lato" w:hAnsi="Lato" w:cstheme="majorHAnsi"/>
          <w:sz w:val="22"/>
          <w:szCs w:val="22"/>
        </w:rPr>
        <w:t>, zmianę terminu w zakresie odpowiadającym rzeczywistemu wpływowi: siły wyższej, nieprzewidzianych kolizji lub warunków ukrytych, awarii instalacji niezwiązanej z winą Wykonawcy, decyzji organów, wstrzymania robót przez Zamawiającego, ograniczeń operacyjnych PSP albo zwłoki Zamawiającego w przekazaniu terenu lub akceptacji.</w:t>
      </w:r>
    </w:p>
    <w:p w14:paraId="1B37750C"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 xml:space="preserve">2. Dopuszcza się zmianę materiału lub urządzenia z powodu udokumentowanej niedostępności, wycofania z obrotu albo zmiany prawa, pod warunkiem zastosowania rozwiązania co najmniej równoważnego i bez zwiększenia wynagrodzenia. Zmiana skutkująca zwiększeniem wynagrodzenia jest dopuszczalna wyłącznie w granicach przesłanek ustawowych z art. 455 </w:t>
      </w:r>
      <w:proofErr w:type="spellStart"/>
      <w:r w:rsidRPr="00B95550">
        <w:rPr>
          <w:rFonts w:ascii="Lato" w:hAnsi="Lato"/>
          <w:sz w:val="22"/>
          <w:szCs w:val="22"/>
        </w:rPr>
        <w:t>Pzp</w:t>
      </w:r>
      <w:proofErr w:type="spellEnd"/>
      <w:r w:rsidRPr="00B95550">
        <w:rPr>
          <w:rFonts w:ascii="Lato" w:hAnsi="Lato"/>
          <w:sz w:val="22"/>
          <w:szCs w:val="22"/>
        </w:rPr>
        <w:t xml:space="preserve"> i wymaga odrębnego uzasadnienia oraz aneksu.</w:t>
      </w:r>
    </w:p>
    <w:p w14:paraId="39920542"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 xml:space="preserve">3. W razie ujawnienia konieczności wykonania robót nieobjętych zamówieniem Wykonawca nie może ich rozpocząć bez uprzedniego pisemnego polecenia Zamawiającego oraz ustalenia podstawy prawnej dopuszczalnej zmiany umowy zgodnie z art. 455 </w:t>
      </w:r>
      <w:proofErr w:type="spellStart"/>
      <w:r w:rsidRPr="00B95550">
        <w:rPr>
          <w:rFonts w:ascii="Lato" w:hAnsi="Lato"/>
          <w:sz w:val="22"/>
          <w:szCs w:val="22"/>
        </w:rPr>
        <w:t>Pzp</w:t>
      </w:r>
      <w:proofErr w:type="spellEnd"/>
      <w:r w:rsidRPr="00B95550">
        <w:rPr>
          <w:rFonts w:ascii="Lato" w:hAnsi="Lato"/>
          <w:sz w:val="22"/>
          <w:szCs w:val="22"/>
        </w:rPr>
        <w:t>. Samo stwierdzenie potrzeby wykonania robót dodatkowych nie uprawnia do dodatkowego wynagrodzenia.</w:t>
      </w:r>
    </w:p>
    <w:p w14:paraId="31E07BC9"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lastRenderedPageBreak/>
        <w:t>4. Zmiana ustawowej stawki VAT zmienia wyłącznie podatek i cenę brutto części niewykonanej od dnia wejścia zmiany w życie; cena netto pozostaje bez zmian.</w:t>
      </w:r>
    </w:p>
    <w:p w14:paraId="0BF99A73"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5. Zmiany osób, danych kontaktowych i harmonogramu niewpływające na termin końcowy mogą być dokonywane w formie dokumentowej i nie stanowią zmiany umowy. Pozostałe zmiany wymagają aneksu w formie pisemnej lub elektronicznej z kwalifikowanymi podpisami.</w:t>
      </w:r>
    </w:p>
    <w:p w14:paraId="01A6EBBF"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6. Uruchomienie opcji zgodnie z § 3 nie stanowi zmiany umowy.</w:t>
      </w:r>
    </w:p>
    <w:p w14:paraId="7BAEBA2D" w14:textId="77777777" w:rsidR="004C4281" w:rsidRPr="00B95550" w:rsidRDefault="004C4281" w:rsidP="004C4281">
      <w:pPr>
        <w:spacing w:line="276" w:lineRule="auto"/>
        <w:jc w:val="both"/>
        <w:rPr>
          <w:rFonts w:ascii="Lato" w:hAnsi="Lato" w:cstheme="majorHAnsi"/>
          <w:sz w:val="22"/>
          <w:szCs w:val="22"/>
        </w:rPr>
      </w:pPr>
    </w:p>
    <w:p w14:paraId="79294E9A" w14:textId="77777777" w:rsidR="004C4281" w:rsidRPr="00B95550" w:rsidRDefault="004C4281" w:rsidP="004C4281">
      <w:pPr>
        <w:spacing w:line="276" w:lineRule="auto"/>
        <w:jc w:val="center"/>
        <w:rPr>
          <w:rFonts w:ascii="Lato" w:hAnsi="Lato" w:cstheme="majorHAnsi"/>
          <w:sz w:val="22"/>
          <w:szCs w:val="22"/>
        </w:rPr>
      </w:pPr>
      <w:bookmarkStart w:id="22" w:name="_Toc241581672"/>
      <w:r w:rsidRPr="00B95550">
        <w:rPr>
          <w:rFonts w:ascii="Lato" w:hAnsi="Lato" w:cstheme="majorHAnsi"/>
          <w:sz w:val="22"/>
          <w:szCs w:val="22"/>
        </w:rPr>
        <w:t>§ 18. Sankcje i państwa trzecie</w:t>
      </w:r>
      <w:bookmarkEnd w:id="22"/>
    </w:p>
    <w:p w14:paraId="40B951DF"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Wykonawca zapewnia, że on, uczestnicy konsorcjum i dopuszczeni podwykonawcy nie podlegają zakazowi z art. 7 ust. 1 ustawy sankcyjnej.</w:t>
      </w:r>
    </w:p>
    <w:p w14:paraId="2086AF75"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2. Wykonawca nie może korzystać z podwykonawców ani dalszych podwykonawców pochodzących z państw trzecich niebędących stronami umów międzynarodowych w rozumieniu art. 16a </w:t>
      </w:r>
      <w:proofErr w:type="spellStart"/>
      <w:r w:rsidRPr="00B95550">
        <w:rPr>
          <w:rFonts w:ascii="Lato" w:hAnsi="Lato" w:cstheme="majorHAnsi"/>
          <w:sz w:val="22"/>
          <w:szCs w:val="22"/>
        </w:rPr>
        <w:t>Pzp</w:t>
      </w:r>
      <w:proofErr w:type="spellEnd"/>
      <w:r w:rsidRPr="00B95550">
        <w:rPr>
          <w:rFonts w:ascii="Lato" w:hAnsi="Lato" w:cstheme="majorHAnsi"/>
          <w:sz w:val="22"/>
          <w:szCs w:val="22"/>
        </w:rPr>
        <w:t>. Podmiot taki podlega niezwłocznemu zastąpieniu.</w:t>
      </w:r>
    </w:p>
    <w:p w14:paraId="6A05CE01"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Wykonawca zawiadamia Zamawiającego o każdej zmianie mogącej wpływać na powyższe oświadczenia.</w:t>
      </w:r>
    </w:p>
    <w:p w14:paraId="7BBCE689" w14:textId="77777777" w:rsidR="004C4281" w:rsidRDefault="004C4281" w:rsidP="004C4281">
      <w:pPr>
        <w:spacing w:line="276" w:lineRule="auto"/>
        <w:jc w:val="both"/>
        <w:rPr>
          <w:rFonts w:ascii="Lato" w:hAnsi="Lato" w:cstheme="majorHAnsi"/>
          <w:sz w:val="22"/>
          <w:szCs w:val="22"/>
        </w:rPr>
      </w:pPr>
      <w:bookmarkStart w:id="23" w:name="_Toc241581673"/>
    </w:p>
    <w:p w14:paraId="62484549" w14:textId="77777777" w:rsidR="006E1587" w:rsidRDefault="006E1587" w:rsidP="004C4281">
      <w:pPr>
        <w:spacing w:line="276" w:lineRule="auto"/>
        <w:jc w:val="both"/>
        <w:rPr>
          <w:rFonts w:ascii="Lato" w:hAnsi="Lato" w:cstheme="majorHAnsi"/>
          <w:sz w:val="22"/>
          <w:szCs w:val="22"/>
        </w:rPr>
      </w:pPr>
    </w:p>
    <w:p w14:paraId="7B2AECF0" w14:textId="77777777" w:rsidR="006E1587" w:rsidRPr="00B95550" w:rsidRDefault="006E1587" w:rsidP="004C4281">
      <w:pPr>
        <w:spacing w:line="276" w:lineRule="auto"/>
        <w:jc w:val="both"/>
        <w:rPr>
          <w:rFonts w:ascii="Lato" w:hAnsi="Lato" w:cstheme="majorHAnsi"/>
          <w:sz w:val="22"/>
          <w:szCs w:val="22"/>
        </w:rPr>
      </w:pPr>
    </w:p>
    <w:p w14:paraId="18E4FE5F" w14:textId="77777777" w:rsidR="004C4281" w:rsidRPr="00B95550" w:rsidRDefault="004C4281" w:rsidP="004C4281">
      <w:pPr>
        <w:spacing w:line="276" w:lineRule="auto"/>
        <w:jc w:val="center"/>
        <w:rPr>
          <w:rFonts w:ascii="Lato" w:hAnsi="Lato" w:cstheme="majorHAnsi"/>
          <w:sz w:val="22"/>
          <w:szCs w:val="22"/>
        </w:rPr>
      </w:pPr>
      <w:r w:rsidRPr="00B95550">
        <w:rPr>
          <w:rFonts w:ascii="Lato" w:hAnsi="Lato" w:cstheme="majorHAnsi"/>
          <w:sz w:val="22"/>
          <w:szCs w:val="22"/>
        </w:rPr>
        <w:t>§ 19. Komunikacja i przedstawiciele</w:t>
      </w:r>
      <w:bookmarkEnd w:id="23"/>
    </w:p>
    <w:p w14:paraId="23FF4BDE"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1. Przedstawicielem Zamawiającego jest __________________, e</w:t>
      </w:r>
      <w:r w:rsidRPr="00B95550">
        <w:rPr>
          <w:rFonts w:ascii="Cambria Math" w:hAnsi="Cambria Math" w:cs="Cambria Math"/>
          <w:sz w:val="22"/>
          <w:szCs w:val="22"/>
        </w:rPr>
        <w:t>‑</w:t>
      </w:r>
      <w:r w:rsidRPr="00B95550">
        <w:rPr>
          <w:rFonts w:ascii="Lato" w:hAnsi="Lato" w:cstheme="majorHAnsi"/>
          <w:sz w:val="22"/>
          <w:szCs w:val="22"/>
        </w:rPr>
        <w:t>mail __________________. Przedstawicielem Wykonawcy jest __________________, e</w:t>
      </w:r>
      <w:r w:rsidRPr="00B95550">
        <w:rPr>
          <w:rFonts w:ascii="Cambria Math" w:hAnsi="Cambria Math" w:cs="Cambria Math"/>
          <w:sz w:val="22"/>
          <w:szCs w:val="22"/>
        </w:rPr>
        <w:t>‑</w:t>
      </w:r>
      <w:r w:rsidRPr="00B95550">
        <w:rPr>
          <w:rFonts w:ascii="Lato" w:hAnsi="Lato" w:cstheme="majorHAnsi"/>
          <w:sz w:val="22"/>
          <w:szCs w:val="22"/>
        </w:rPr>
        <w:t>mail __________________.</w:t>
      </w:r>
    </w:p>
    <w:p w14:paraId="140E56D2"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Bieżące ustalenia techniczne nie mogą zmieniać zakresu, ceny ani terminu umowy bez zachowania trybu z § 17.</w:t>
      </w:r>
    </w:p>
    <w:p w14:paraId="05258199" w14:textId="77777777" w:rsidR="004C4281" w:rsidRPr="00B95550" w:rsidRDefault="004C4281" w:rsidP="004C4281">
      <w:pPr>
        <w:spacing w:line="276" w:lineRule="auto"/>
        <w:jc w:val="both"/>
        <w:rPr>
          <w:rFonts w:ascii="Lato" w:hAnsi="Lato" w:cstheme="majorHAnsi"/>
          <w:sz w:val="22"/>
          <w:szCs w:val="22"/>
        </w:rPr>
      </w:pPr>
      <w:bookmarkStart w:id="24" w:name="_Toc241581674"/>
      <w:r w:rsidRPr="00B95550">
        <w:rPr>
          <w:rFonts w:ascii="Lato" w:hAnsi="Lato" w:cstheme="majorHAnsi"/>
          <w:sz w:val="22"/>
          <w:szCs w:val="22"/>
        </w:rPr>
        <w:t>§ 20. Postanowienia końcowe</w:t>
      </w:r>
      <w:bookmarkEnd w:id="24"/>
    </w:p>
    <w:p w14:paraId="0AE96CC1"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 xml:space="preserve">1. W sprawach nieuregulowanych stosuje się ustawę </w:t>
      </w:r>
      <w:proofErr w:type="spellStart"/>
      <w:r w:rsidRPr="00B95550">
        <w:rPr>
          <w:rFonts w:ascii="Lato" w:hAnsi="Lato" w:cstheme="majorHAnsi"/>
          <w:sz w:val="22"/>
          <w:szCs w:val="22"/>
        </w:rPr>
        <w:t>Pzp</w:t>
      </w:r>
      <w:proofErr w:type="spellEnd"/>
      <w:r w:rsidRPr="00B95550">
        <w:rPr>
          <w:rFonts w:ascii="Lato" w:hAnsi="Lato" w:cstheme="majorHAnsi"/>
          <w:sz w:val="22"/>
          <w:szCs w:val="22"/>
        </w:rPr>
        <w:t>, Kodeks cywilny, Prawo budowlane i pozostałe właściwe przepisy.</w:t>
      </w:r>
    </w:p>
    <w:p w14:paraId="37FDD4FF"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2. Spory strony poddadzą w pierwszej kolejności negocjacjom; w razie braku ugody właściwy będzie sąd powszechny miejscowo właściwy dla siedziby Zamawiającego, z uwzględnieniem przepisów bezwzględnie obowiązujących.</w:t>
      </w:r>
    </w:p>
    <w:p w14:paraId="1FE10CE9" w14:textId="77777777" w:rsidR="004C4281" w:rsidRPr="00B95550" w:rsidRDefault="004C4281" w:rsidP="004C4281">
      <w:pPr>
        <w:spacing w:line="276" w:lineRule="auto"/>
        <w:jc w:val="both"/>
        <w:rPr>
          <w:rFonts w:ascii="Lato" w:hAnsi="Lato" w:cstheme="majorHAnsi"/>
          <w:sz w:val="22"/>
          <w:szCs w:val="22"/>
        </w:rPr>
      </w:pPr>
      <w:r w:rsidRPr="00B95550">
        <w:rPr>
          <w:rFonts w:ascii="Lato" w:hAnsi="Lato" w:cstheme="majorHAnsi"/>
          <w:sz w:val="22"/>
          <w:szCs w:val="22"/>
        </w:rPr>
        <w:t>3. Umowę sporządza się w postaci elektronicznej albo w trzech egzemplarzach papierowych – dwóch dla Zamawiającego i jednym dla Wykonawcy.</w:t>
      </w:r>
    </w:p>
    <w:p w14:paraId="17B90B0F" w14:textId="77777777" w:rsidR="004C4281" w:rsidRPr="00B95550" w:rsidRDefault="004C4281" w:rsidP="004C4281">
      <w:pPr>
        <w:spacing w:line="276" w:lineRule="auto"/>
        <w:jc w:val="both"/>
        <w:rPr>
          <w:rFonts w:ascii="Lato" w:hAnsi="Lato" w:cstheme="majorHAnsi"/>
          <w:sz w:val="22"/>
          <w:szCs w:val="22"/>
        </w:rPr>
      </w:pPr>
    </w:p>
    <w:p w14:paraId="30E9EBB5" w14:textId="77777777" w:rsidR="004C4281" w:rsidRPr="00B95550" w:rsidRDefault="004C4281" w:rsidP="004C4281">
      <w:pPr>
        <w:spacing w:line="276" w:lineRule="auto"/>
        <w:jc w:val="both"/>
        <w:rPr>
          <w:rFonts w:ascii="Lato" w:hAnsi="Lato" w:cstheme="majorHAnsi"/>
          <w:sz w:val="22"/>
          <w:szCs w:val="22"/>
        </w:rPr>
      </w:pPr>
    </w:p>
    <w:p w14:paraId="7324B06B" w14:textId="77777777" w:rsidR="006E1587" w:rsidRDefault="006E1587" w:rsidP="004C4281">
      <w:pPr>
        <w:spacing w:line="276" w:lineRule="auto"/>
        <w:jc w:val="both"/>
        <w:rPr>
          <w:rFonts w:ascii="Lato" w:hAnsi="Lato"/>
          <w:sz w:val="22"/>
          <w:szCs w:val="22"/>
        </w:rPr>
      </w:pPr>
    </w:p>
    <w:p w14:paraId="1287B607" w14:textId="77777777" w:rsidR="006E1587" w:rsidRDefault="006E1587" w:rsidP="004C4281">
      <w:pPr>
        <w:spacing w:line="276" w:lineRule="auto"/>
        <w:jc w:val="both"/>
        <w:rPr>
          <w:rFonts w:ascii="Lato" w:hAnsi="Lato"/>
          <w:sz w:val="22"/>
          <w:szCs w:val="22"/>
        </w:rPr>
      </w:pPr>
    </w:p>
    <w:p w14:paraId="19044D82" w14:textId="6190FEB1" w:rsidR="004C4281" w:rsidRPr="00B95550" w:rsidRDefault="004C4281" w:rsidP="004C4281">
      <w:pPr>
        <w:spacing w:line="276" w:lineRule="auto"/>
        <w:jc w:val="both"/>
        <w:rPr>
          <w:rFonts w:ascii="Lato" w:hAnsi="Lato" w:cstheme="majorHAnsi"/>
          <w:sz w:val="22"/>
          <w:szCs w:val="22"/>
        </w:rPr>
      </w:pPr>
      <w:r w:rsidRPr="00B95550">
        <w:rPr>
          <w:rFonts w:ascii="Lato" w:hAnsi="Lato"/>
          <w:sz w:val="22"/>
          <w:szCs w:val="22"/>
        </w:rPr>
        <w:t>ZAMAWIAJĄCY                                                                      WYKONAWCA</w:t>
      </w:r>
    </w:p>
    <w:p w14:paraId="551E2408" w14:textId="77777777" w:rsidR="004C4281" w:rsidRPr="00B95550" w:rsidRDefault="004C4281" w:rsidP="004C4281">
      <w:pPr>
        <w:keepNext/>
        <w:keepLines/>
        <w:spacing w:line="276" w:lineRule="auto"/>
        <w:outlineLvl w:val="0"/>
        <w:rPr>
          <w:rFonts w:ascii="Lato" w:eastAsiaTheme="majorEastAsia" w:hAnsi="Lato" w:cstheme="majorBidi"/>
          <w:sz w:val="22"/>
          <w:szCs w:val="22"/>
          <w:lang w:eastAsia="en-US"/>
        </w:rPr>
      </w:pPr>
    </w:p>
    <w:p w14:paraId="00591C67" w14:textId="77777777" w:rsidR="004C4281" w:rsidRPr="00B95550" w:rsidRDefault="004C4281" w:rsidP="004C4281">
      <w:pPr>
        <w:spacing w:line="276" w:lineRule="auto"/>
        <w:rPr>
          <w:rFonts w:ascii="Lato" w:hAnsi="Lato"/>
          <w:sz w:val="22"/>
          <w:szCs w:val="22"/>
        </w:rPr>
      </w:pPr>
    </w:p>
    <w:p w14:paraId="75A3588E" w14:textId="77777777" w:rsidR="004C4281" w:rsidRPr="00B95550" w:rsidRDefault="004C4281" w:rsidP="004C4281">
      <w:pPr>
        <w:spacing w:line="276" w:lineRule="auto"/>
        <w:rPr>
          <w:rFonts w:ascii="Lato" w:hAnsi="Lato"/>
          <w:sz w:val="22"/>
          <w:szCs w:val="22"/>
        </w:rPr>
      </w:pPr>
    </w:p>
    <w:p w14:paraId="1689482F" w14:textId="77777777" w:rsidR="004C4281" w:rsidRPr="00B95550" w:rsidRDefault="004C4281" w:rsidP="004C4281">
      <w:pPr>
        <w:spacing w:line="276" w:lineRule="auto"/>
        <w:rPr>
          <w:rFonts w:ascii="Lato" w:hAnsi="Lato"/>
          <w:sz w:val="22"/>
          <w:szCs w:val="22"/>
        </w:rPr>
      </w:pPr>
    </w:p>
    <w:p w14:paraId="2BA2FA08" w14:textId="77777777" w:rsidR="004C4281" w:rsidRPr="00B95550" w:rsidRDefault="004C4281" w:rsidP="004C4281">
      <w:pPr>
        <w:spacing w:line="276" w:lineRule="auto"/>
        <w:rPr>
          <w:rFonts w:ascii="Lato" w:hAnsi="Lato"/>
          <w:sz w:val="22"/>
          <w:szCs w:val="22"/>
        </w:rPr>
      </w:pPr>
    </w:p>
    <w:p w14:paraId="265EDF46" w14:textId="77777777" w:rsidR="004C4281" w:rsidRPr="00B95550" w:rsidRDefault="004C4281" w:rsidP="004C4281">
      <w:pPr>
        <w:spacing w:line="276" w:lineRule="auto"/>
        <w:rPr>
          <w:rFonts w:ascii="Lato" w:hAnsi="Lato"/>
          <w:sz w:val="22"/>
          <w:szCs w:val="22"/>
        </w:rPr>
      </w:pPr>
    </w:p>
    <w:p w14:paraId="20A83628" w14:textId="77777777" w:rsidR="004C4281" w:rsidRPr="00B95550" w:rsidRDefault="004C4281" w:rsidP="004C4281">
      <w:pPr>
        <w:spacing w:line="276" w:lineRule="auto"/>
        <w:rPr>
          <w:rFonts w:ascii="Lato" w:hAnsi="Lato"/>
          <w:sz w:val="22"/>
          <w:szCs w:val="22"/>
        </w:rPr>
      </w:pPr>
    </w:p>
    <w:p w14:paraId="70325912" w14:textId="77777777" w:rsidR="004C4281" w:rsidRPr="00B95550" w:rsidRDefault="004C4281" w:rsidP="004C4281">
      <w:pPr>
        <w:spacing w:line="276" w:lineRule="auto"/>
        <w:rPr>
          <w:rFonts w:ascii="Lato" w:hAnsi="Lato"/>
          <w:sz w:val="22"/>
          <w:szCs w:val="22"/>
        </w:rPr>
      </w:pPr>
    </w:p>
    <w:p w14:paraId="568FFEC0" w14:textId="77777777" w:rsidR="004C4281" w:rsidRPr="00B95550" w:rsidRDefault="004C4281" w:rsidP="004C4281">
      <w:pPr>
        <w:spacing w:line="276" w:lineRule="auto"/>
        <w:rPr>
          <w:rFonts w:ascii="Lato" w:hAnsi="Lato"/>
          <w:sz w:val="22"/>
          <w:szCs w:val="22"/>
        </w:rPr>
      </w:pPr>
    </w:p>
    <w:p w14:paraId="6D2CE549" w14:textId="77777777" w:rsidR="004C4281" w:rsidRPr="00B95550" w:rsidRDefault="004C4281" w:rsidP="004C4281">
      <w:pPr>
        <w:spacing w:line="276" w:lineRule="auto"/>
        <w:rPr>
          <w:rFonts w:ascii="Lato" w:hAnsi="Lato"/>
          <w:sz w:val="22"/>
          <w:szCs w:val="22"/>
        </w:rPr>
      </w:pPr>
    </w:p>
    <w:p w14:paraId="6E65240B" w14:textId="77777777" w:rsidR="004C4281" w:rsidRPr="00B95550" w:rsidRDefault="004C4281" w:rsidP="004C4281">
      <w:pPr>
        <w:spacing w:line="276" w:lineRule="auto"/>
        <w:rPr>
          <w:rFonts w:ascii="Lato" w:hAnsi="Lato"/>
          <w:sz w:val="22"/>
          <w:szCs w:val="22"/>
        </w:rPr>
      </w:pPr>
    </w:p>
    <w:p w14:paraId="3924A405" w14:textId="77777777" w:rsidR="004C4281" w:rsidRPr="00B95550" w:rsidRDefault="004C4281" w:rsidP="004C4281">
      <w:pPr>
        <w:spacing w:line="276" w:lineRule="auto"/>
        <w:rPr>
          <w:rFonts w:ascii="Lato" w:hAnsi="Lato"/>
          <w:sz w:val="22"/>
          <w:szCs w:val="22"/>
        </w:rPr>
      </w:pPr>
    </w:p>
    <w:p w14:paraId="4DB52E8E" w14:textId="77777777" w:rsidR="004C4281" w:rsidRPr="00B95550" w:rsidRDefault="004C4281" w:rsidP="004C4281">
      <w:pPr>
        <w:spacing w:line="276" w:lineRule="auto"/>
        <w:rPr>
          <w:rFonts w:ascii="Lato" w:hAnsi="Lato"/>
          <w:sz w:val="22"/>
          <w:szCs w:val="22"/>
        </w:rPr>
      </w:pPr>
    </w:p>
    <w:p w14:paraId="3AC7D627" w14:textId="77777777" w:rsidR="004C4281" w:rsidRPr="00B95550" w:rsidRDefault="004C4281" w:rsidP="004C4281">
      <w:pPr>
        <w:spacing w:line="276" w:lineRule="auto"/>
        <w:rPr>
          <w:rFonts w:ascii="Lato" w:hAnsi="Lato"/>
          <w:sz w:val="22"/>
          <w:szCs w:val="22"/>
        </w:rPr>
      </w:pPr>
    </w:p>
    <w:p w14:paraId="1F6F6478" w14:textId="77777777" w:rsidR="004C4281" w:rsidRPr="00B95550" w:rsidRDefault="004C4281" w:rsidP="004C4281">
      <w:pPr>
        <w:spacing w:line="276" w:lineRule="auto"/>
        <w:rPr>
          <w:rFonts w:ascii="Lato" w:hAnsi="Lato"/>
          <w:sz w:val="22"/>
          <w:szCs w:val="22"/>
        </w:rPr>
      </w:pPr>
    </w:p>
    <w:p w14:paraId="0F6E2251" w14:textId="77777777" w:rsidR="004C4281" w:rsidRPr="00B95550" w:rsidRDefault="004C4281" w:rsidP="004C4281">
      <w:pPr>
        <w:spacing w:line="276" w:lineRule="auto"/>
        <w:rPr>
          <w:rFonts w:ascii="Lato" w:hAnsi="Lato"/>
          <w:sz w:val="22"/>
          <w:szCs w:val="22"/>
        </w:rPr>
      </w:pPr>
    </w:p>
    <w:p w14:paraId="0F274549" w14:textId="77777777" w:rsidR="004C4281" w:rsidRPr="00B95550" w:rsidRDefault="004C4281" w:rsidP="004C4281">
      <w:pPr>
        <w:spacing w:line="276" w:lineRule="auto"/>
        <w:rPr>
          <w:rFonts w:ascii="Lato" w:hAnsi="Lato"/>
          <w:sz w:val="22"/>
          <w:szCs w:val="22"/>
        </w:rPr>
      </w:pPr>
    </w:p>
    <w:p w14:paraId="7099BC69" w14:textId="77777777" w:rsidR="004C4281" w:rsidRPr="00B95550" w:rsidRDefault="004C4281" w:rsidP="004C4281">
      <w:pPr>
        <w:spacing w:line="276" w:lineRule="auto"/>
        <w:rPr>
          <w:rFonts w:ascii="Lato" w:hAnsi="Lato"/>
          <w:sz w:val="22"/>
          <w:szCs w:val="22"/>
        </w:rPr>
      </w:pPr>
    </w:p>
    <w:p w14:paraId="54DDFF81" w14:textId="77777777" w:rsidR="004C4281" w:rsidRPr="00B95550" w:rsidRDefault="004C4281" w:rsidP="004C4281">
      <w:pPr>
        <w:spacing w:line="276" w:lineRule="auto"/>
        <w:rPr>
          <w:rFonts w:ascii="Lato" w:hAnsi="Lato"/>
          <w:sz w:val="22"/>
          <w:szCs w:val="22"/>
        </w:rPr>
      </w:pPr>
    </w:p>
    <w:p w14:paraId="3F031C4C" w14:textId="77777777" w:rsidR="004C4281" w:rsidRPr="00B95550" w:rsidRDefault="004C4281" w:rsidP="007C34BC">
      <w:pPr>
        <w:pStyle w:val="Tekstpodstawowy2"/>
        <w:tabs>
          <w:tab w:val="left" w:pos="426"/>
        </w:tabs>
        <w:spacing w:after="0" w:line="240" w:lineRule="auto"/>
        <w:rPr>
          <w:rFonts w:ascii="Lato" w:hAnsi="Lato" w:cs="Arial"/>
          <w:sz w:val="22"/>
          <w:szCs w:val="22"/>
        </w:rPr>
      </w:pPr>
    </w:p>
    <w:p w14:paraId="36037FCD" w14:textId="77777777" w:rsidR="004C4281" w:rsidRPr="00B95550" w:rsidRDefault="004C4281" w:rsidP="007C34BC">
      <w:pPr>
        <w:pStyle w:val="Tekstpodstawowy2"/>
        <w:tabs>
          <w:tab w:val="left" w:pos="426"/>
        </w:tabs>
        <w:spacing w:after="0" w:line="240" w:lineRule="auto"/>
        <w:rPr>
          <w:rFonts w:ascii="Lato" w:hAnsi="Lato" w:cs="Arial"/>
          <w:sz w:val="22"/>
          <w:szCs w:val="22"/>
        </w:rPr>
      </w:pPr>
    </w:p>
    <w:sectPr w:rsidR="004C4281" w:rsidRPr="00B95550" w:rsidSect="007C34BC">
      <w:headerReference w:type="default" r:id="rId8"/>
      <w:footerReference w:type="default" r:id="rId9"/>
      <w:headerReference w:type="first" r:id="rId10"/>
      <w:footerReference w:type="first" r:id="rId11"/>
      <w:pgSz w:w="11910" w:h="16840"/>
      <w:pgMar w:top="1418" w:right="1985" w:bottom="278" w:left="1985" w:header="709" w:footer="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8163" w14:textId="77777777" w:rsidR="00CD300B" w:rsidRDefault="00CD300B">
      <w:r>
        <w:separator/>
      </w:r>
    </w:p>
  </w:endnote>
  <w:endnote w:type="continuationSeparator" w:id="0">
    <w:p w14:paraId="4913E261" w14:textId="77777777" w:rsidR="00CD300B" w:rsidRDefault="00CD3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Calibri"/>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0A3A" w14:textId="77777777" w:rsidR="00964051" w:rsidRDefault="00000000">
    <w:pPr>
      <w:pStyle w:val="Stopka"/>
      <w:jc w:val="center"/>
    </w:pPr>
    <w:sdt>
      <w:sdtPr>
        <w:id w:val="-1490322234"/>
        <w:docPartObj>
          <w:docPartGallery w:val="Page Numbers (Bottom of Page)"/>
          <w:docPartUnique/>
        </w:docPartObj>
      </w:sdtPr>
      <w:sdtContent>
        <w:r>
          <w:fldChar w:fldCharType="begin"/>
        </w:r>
        <w:r>
          <w:instrText>PAGE   \* MERGEFORMAT</w:instrText>
        </w:r>
        <w:r>
          <w:fldChar w:fldCharType="separate"/>
        </w:r>
        <w:r>
          <w:rPr>
            <w:noProof/>
          </w:rPr>
          <w:t>2</w:t>
        </w:r>
        <w:r>
          <w:fldChar w:fldCharType="end"/>
        </w:r>
      </w:sdtContent>
    </w:sdt>
  </w:p>
  <w:p w14:paraId="77A2378C" w14:textId="77777777" w:rsidR="00964051" w:rsidRDefault="0096405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2E52" w14:textId="77777777" w:rsidR="00964051" w:rsidRPr="007E29F6" w:rsidRDefault="00000000" w:rsidP="007E29F6">
    <w:pPr>
      <w:rPr>
        <w:rFonts w:ascii="Lato" w:hAnsi="Lato"/>
        <w:sz w:val="14"/>
        <w:szCs w:val="14"/>
      </w:rPr>
    </w:pPr>
    <w:r>
      <w:rPr>
        <w:noProof/>
      </w:rPr>
      <mc:AlternateContent>
        <mc:Choice Requires="wps">
          <w:drawing>
            <wp:anchor distT="0" distB="0" distL="114300" distR="114300" simplePos="0" relativeHeight="251658240" behindDoc="0" locked="0" layoutInCell="1" allowOverlap="1" wp14:anchorId="627867D7" wp14:editId="40348629">
              <wp:simplePos x="0" y="0"/>
              <wp:positionH relativeFrom="margin">
                <wp:posOffset>2540</wp:posOffset>
              </wp:positionH>
              <wp:positionV relativeFrom="paragraph">
                <wp:posOffset>-24130</wp:posOffset>
              </wp:positionV>
              <wp:extent cx="5039995" cy="0"/>
              <wp:effectExtent l="0" t="0" r="0" b="0"/>
              <wp:wrapNone/>
              <wp:docPr id="755844542" name="Łącznik prosty 1"/>
              <wp:cNvGraphicFramePr/>
              <a:graphic xmlns:a="http://schemas.openxmlformats.org/drawingml/2006/main">
                <a:graphicData uri="http://schemas.microsoft.com/office/word/2010/wordprocessingShape">
                  <wps:wsp>
                    <wps:cNvCnPr/>
                    <wps:spPr>
                      <a:xfrm>
                        <a:off x="0" y="0"/>
                        <a:ext cx="5039995" cy="0"/>
                      </a:xfrm>
                      <a:prstGeom prst="line">
                        <a:avLst/>
                      </a:prstGeom>
                      <a:noFill/>
                      <a:ln w="6350">
                        <a:solidFill>
                          <a:sysClr val="windowText" lastClr="000000"/>
                        </a:solidFill>
                        <a:miter lim="800000"/>
                      </a:ln>
                    </wps:spPr>
                    <wps:bodyPr/>
                  </wps:wsp>
                </a:graphicData>
              </a:graphic>
              <wp14:sizeRelH relativeFrom="margin">
                <wp14:pctWidth>0</wp14:pctWidth>
              </wp14:sizeRelH>
              <wp14:sizeRelV relativeFrom="margin">
                <wp14:pctHeight>0</wp14:pctHeight>
              </wp14:sizeRelV>
            </wp:anchor>
          </w:drawing>
        </mc:Choice>
        <mc:Fallback>
          <w:pict>
            <v:line id="Łącznik prosty 1" o:spid="_x0000_s2049" style="mso-height-percent:0;mso-height-relative:margin;mso-position-horizontal-relative:margin;mso-width-percent:0;mso-width-relative:margin;mso-wrap-distance-bottom:0pt;mso-wrap-distance-left:9pt;mso-wrap-distance-right:9pt;mso-wrap-distance-top:0pt;mso-wrap-style:square;position:absolute;visibility:visible;z-index:251659264" from="0.2pt,-1.9pt" to="397.05pt,-1.9pt" strokecolor="black" strokeweight="0.5pt">
              <v:stroke joinstyle="miter"/>
              <w10:wrap anchorx="margin"/>
            </v:line>
          </w:pict>
        </mc:Fallback>
      </mc:AlternateContent>
    </w:r>
  </w:p>
  <w:tbl>
    <w:tblPr>
      <w:tblW w:w="8667" w:type="dxa"/>
      <w:tblInd w:w="-567" w:type="dxa"/>
      <w:tblLook w:val="04A0" w:firstRow="1" w:lastRow="0" w:firstColumn="1" w:lastColumn="0" w:noHBand="0" w:noVBand="1"/>
    </w:tblPr>
    <w:tblGrid>
      <w:gridCol w:w="5896"/>
      <w:gridCol w:w="2771"/>
    </w:tblGrid>
    <w:tr w:rsidR="000347E4" w14:paraId="44A705F4" w14:textId="77777777" w:rsidTr="007E29F6">
      <w:trPr>
        <w:trHeight w:val="851"/>
      </w:trPr>
      <w:tc>
        <w:tcPr>
          <w:tcW w:w="5896" w:type="dxa"/>
        </w:tcPr>
        <w:p w14:paraId="0F91C16E" w14:textId="77777777" w:rsidR="00964051" w:rsidRPr="00004109" w:rsidRDefault="00000000" w:rsidP="00480BC9">
          <w:pPr>
            <w:pStyle w:val="Stopka"/>
            <w:tabs>
              <w:tab w:val="clear" w:pos="4536"/>
              <w:tab w:val="clear" w:pos="9072"/>
              <w:tab w:val="left" w:pos="5954"/>
            </w:tabs>
            <w:ind w:left="660"/>
            <w:jc w:val="both"/>
            <w:rPr>
              <w:rFonts w:ascii="Lato" w:hAnsi="Lato" w:cs="Arial"/>
              <w:sz w:val="14"/>
              <w:szCs w:val="14"/>
            </w:rPr>
          </w:pPr>
          <w:bookmarkStart w:id="25" w:name="ezdAutorInicjaly"/>
          <w:r w:rsidRPr="00004109">
            <w:rPr>
              <w:rFonts w:ascii="Lato" w:hAnsi="Lato" w:cs="Arial"/>
              <w:sz w:val="14"/>
              <w:szCs w:val="14"/>
            </w:rPr>
            <w:t>IK-B</w:t>
          </w:r>
          <w:bookmarkEnd w:id="25"/>
        </w:p>
      </w:tc>
      <w:tc>
        <w:tcPr>
          <w:tcW w:w="2771" w:type="dxa"/>
        </w:tcPr>
        <w:p w14:paraId="65B650EE" w14:textId="77777777" w:rsidR="00964051" w:rsidRPr="000055C9" w:rsidRDefault="00000000" w:rsidP="000055C9">
          <w:pPr>
            <w:pStyle w:val="Stopka"/>
            <w:tabs>
              <w:tab w:val="left" w:pos="5954"/>
            </w:tabs>
            <w:ind w:left="-30"/>
            <w:rPr>
              <w:rFonts w:ascii="Lato" w:hAnsi="Lato" w:cs="Arial"/>
              <w:sz w:val="14"/>
              <w:szCs w:val="14"/>
            </w:rPr>
          </w:pPr>
          <w:r w:rsidRPr="000055C9">
            <w:rPr>
              <w:rFonts w:ascii="Lato" w:hAnsi="Lato" w:cs="Arial"/>
              <w:sz w:val="14"/>
              <w:szCs w:val="14"/>
            </w:rPr>
            <w:t>ul. Saperska 1</w:t>
          </w:r>
          <w:r>
            <w:rPr>
              <w:rFonts w:ascii="Lato" w:hAnsi="Lato" w:cs="Arial"/>
              <w:sz w:val="14"/>
              <w:szCs w:val="14"/>
            </w:rPr>
            <w:t>6</w:t>
          </w:r>
        </w:p>
        <w:p w14:paraId="1E4BAE9A" w14:textId="77777777" w:rsidR="00964051" w:rsidRPr="000055C9" w:rsidRDefault="00000000" w:rsidP="000055C9">
          <w:pPr>
            <w:pStyle w:val="Stopka"/>
            <w:tabs>
              <w:tab w:val="left" w:pos="5954"/>
            </w:tabs>
            <w:ind w:left="-30"/>
            <w:rPr>
              <w:rFonts w:ascii="Lato" w:hAnsi="Lato" w:cs="Arial"/>
              <w:sz w:val="14"/>
              <w:szCs w:val="14"/>
            </w:rPr>
          </w:pPr>
          <w:r w:rsidRPr="000055C9">
            <w:rPr>
              <w:rFonts w:ascii="Lato" w:hAnsi="Lato" w:cs="Arial"/>
              <w:sz w:val="14"/>
              <w:szCs w:val="14"/>
            </w:rPr>
            <w:t>49-300 Brzeg</w:t>
          </w:r>
        </w:p>
        <w:p w14:paraId="58761240" w14:textId="77777777" w:rsidR="00964051" w:rsidRPr="00004109" w:rsidRDefault="00000000" w:rsidP="000055C9">
          <w:pPr>
            <w:pStyle w:val="Stopka"/>
            <w:tabs>
              <w:tab w:val="clear" w:pos="4536"/>
              <w:tab w:val="clear" w:pos="9072"/>
              <w:tab w:val="left" w:pos="5954"/>
            </w:tabs>
            <w:ind w:left="-30"/>
            <w:jc w:val="both"/>
            <w:rPr>
              <w:rFonts w:ascii="Lato" w:hAnsi="Lato"/>
              <w:sz w:val="14"/>
              <w:szCs w:val="14"/>
            </w:rPr>
          </w:pPr>
          <w:r w:rsidRPr="000055C9">
            <w:rPr>
              <w:rFonts w:ascii="Lato" w:hAnsi="Lato" w:cs="Arial"/>
              <w:sz w:val="14"/>
              <w:szCs w:val="14"/>
            </w:rPr>
            <w:t>https://www.gov.pl/web/kppsp-brzeg</w:t>
          </w:r>
        </w:p>
      </w:tc>
    </w:tr>
  </w:tbl>
  <w:p w14:paraId="569C4046" w14:textId="77777777" w:rsidR="00964051" w:rsidRPr="00346CC9" w:rsidRDefault="00964051" w:rsidP="00900F39">
    <w:pPr>
      <w:pStyle w:val="Stopka"/>
      <w:tabs>
        <w:tab w:val="clear" w:pos="4536"/>
        <w:tab w:val="clear" w:pos="9072"/>
        <w:tab w:val="left" w:pos="5954"/>
      </w:tabs>
      <w:ind w:left="1800"/>
      <w:rPr>
        <w:rFonts w:ascii="Lato" w:hAnsi="Lato"/>
        <w:sz w:val="14"/>
        <w:szCs w:val="14"/>
      </w:rPr>
    </w:pPr>
  </w:p>
  <w:p w14:paraId="435AA714" w14:textId="77777777" w:rsidR="00964051" w:rsidRPr="00684247" w:rsidRDefault="00964051" w:rsidP="00900F39">
    <w:pPr>
      <w:pStyle w:val="Stopka"/>
      <w:ind w:left="180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C93A" w14:textId="77777777" w:rsidR="00CD300B" w:rsidRDefault="00CD300B">
      <w:r>
        <w:separator/>
      </w:r>
    </w:p>
  </w:footnote>
  <w:footnote w:type="continuationSeparator" w:id="0">
    <w:p w14:paraId="659F11D4" w14:textId="77777777" w:rsidR="00CD300B" w:rsidRDefault="00CD3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59F8" w14:textId="77777777" w:rsidR="00964051" w:rsidRPr="00D35802" w:rsidRDefault="00000000" w:rsidP="00405B0E">
    <w:pPr>
      <w:pStyle w:val="Nagwek"/>
      <w:ind w:left="-1418"/>
      <w:rPr>
        <w:noProof/>
      </w:rPr>
    </w:pPr>
    <w:r>
      <w:rPr>
        <w:noProof/>
      </w:rPr>
      <w:t xml:space="preserve">      </w:t>
    </w:r>
    <w:r>
      <w:rPr>
        <w:noProof/>
        <w:lang w:eastAsia="pl-PL"/>
      </w:rPr>
      <w:drawing>
        <wp:inline distT="0" distB="0" distL="0" distR="0" wp14:anchorId="0EE532BC" wp14:editId="09D813E4">
          <wp:extent cx="3699263" cy="720000"/>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PPSPBrzeg.png"/>
                  <pic:cNvPicPr/>
                </pic:nvPicPr>
                <pic:blipFill>
                  <a:blip r:embed="rId1">
                    <a:extLst>
                      <a:ext uri="{28A0092B-C50C-407E-A947-70E740481C1C}">
                        <a14:useLocalDpi xmlns:a14="http://schemas.microsoft.com/office/drawing/2010/main" val="0"/>
                      </a:ext>
                    </a:extLst>
                  </a:blip>
                  <a:stretch>
                    <a:fillRect/>
                  </a:stretch>
                </pic:blipFill>
                <pic:spPr>
                  <a:xfrm>
                    <a:off x="0" y="0"/>
                    <a:ext cx="3699263" cy="720000"/>
                  </a:xfrm>
                  <a:prstGeom prst="rect">
                    <a:avLst/>
                  </a:prstGeom>
                </pic:spPr>
              </pic:pic>
            </a:graphicData>
          </a:graphic>
        </wp:inline>
      </w:drawing>
    </w:r>
  </w:p>
  <w:p w14:paraId="602955B6" w14:textId="77777777" w:rsidR="00964051" w:rsidRDefault="0096405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914A" w14:textId="77777777" w:rsidR="00964051" w:rsidRPr="00D35802" w:rsidRDefault="00000000" w:rsidP="00D35802">
    <w:pPr>
      <w:pStyle w:val="Nagwek"/>
      <w:ind w:left="-1418"/>
      <w:rPr>
        <w:noProof/>
      </w:rPr>
    </w:pPr>
    <w:r>
      <w:rPr>
        <w:noProof/>
      </w:rPr>
      <w:t xml:space="preserve">   </w:t>
    </w:r>
    <w:r>
      <w:rPr>
        <w:noProof/>
        <w:lang w:eastAsia="pl-PL"/>
      </w:rPr>
      <w:drawing>
        <wp:inline distT="0" distB="0" distL="0" distR="0" wp14:anchorId="417FD125" wp14:editId="5F873E93">
          <wp:extent cx="3699263" cy="720000"/>
          <wp:effectExtent l="0" t="0" r="0" b="444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PPSPBrzeg.png"/>
                  <pic:cNvPicPr/>
                </pic:nvPicPr>
                <pic:blipFill>
                  <a:blip r:embed="rId1">
                    <a:extLst>
                      <a:ext uri="{28A0092B-C50C-407E-A947-70E740481C1C}">
                        <a14:useLocalDpi xmlns:a14="http://schemas.microsoft.com/office/drawing/2010/main" val="0"/>
                      </a:ext>
                    </a:extLst>
                  </a:blip>
                  <a:stretch>
                    <a:fillRect/>
                  </a:stretch>
                </pic:blipFill>
                <pic:spPr>
                  <a:xfrm>
                    <a:off x="0" y="0"/>
                    <a:ext cx="3699263"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150011"/>
    <w:lvl w:ilvl="0">
      <w:start w:val="1"/>
      <w:numFmt w:val="decimal"/>
      <w:lvlText w:val="%1)"/>
      <w:lvlJc w:val="left"/>
      <w:pPr>
        <w:ind w:left="360" w:hanging="360"/>
      </w:pPr>
      <w:rPr>
        <w:rFonts w:hint="default"/>
      </w:rPr>
    </w:lvl>
  </w:abstractNum>
  <w:abstractNum w:abstractNumId="1" w15:restartNumberingAfterBreak="0">
    <w:nsid w:val="1A333E03"/>
    <w:multiLevelType w:val="hybridMultilevel"/>
    <w:tmpl w:val="96420EA8"/>
    <w:lvl w:ilvl="0" w:tplc="6216717C">
      <w:start w:val="1"/>
      <w:numFmt w:val="decimal"/>
      <w:lvlText w:val="%1."/>
      <w:lvlJc w:val="left"/>
      <w:pPr>
        <w:ind w:left="1440" w:hanging="360"/>
      </w:pPr>
    </w:lvl>
    <w:lvl w:ilvl="1" w:tplc="01321F82" w:tentative="1">
      <w:start w:val="1"/>
      <w:numFmt w:val="lowerLetter"/>
      <w:lvlText w:val="%2."/>
      <w:lvlJc w:val="left"/>
      <w:pPr>
        <w:ind w:left="2160" w:hanging="360"/>
      </w:pPr>
    </w:lvl>
    <w:lvl w:ilvl="2" w:tplc="2732FA6C" w:tentative="1">
      <w:start w:val="1"/>
      <w:numFmt w:val="lowerRoman"/>
      <w:lvlText w:val="%3."/>
      <w:lvlJc w:val="right"/>
      <w:pPr>
        <w:ind w:left="2880" w:hanging="180"/>
      </w:pPr>
    </w:lvl>
    <w:lvl w:ilvl="3" w:tplc="B16A9EB6" w:tentative="1">
      <w:start w:val="1"/>
      <w:numFmt w:val="decimal"/>
      <w:lvlText w:val="%4."/>
      <w:lvlJc w:val="left"/>
      <w:pPr>
        <w:ind w:left="3600" w:hanging="360"/>
      </w:pPr>
    </w:lvl>
    <w:lvl w:ilvl="4" w:tplc="413891A8" w:tentative="1">
      <w:start w:val="1"/>
      <w:numFmt w:val="lowerLetter"/>
      <w:lvlText w:val="%5."/>
      <w:lvlJc w:val="left"/>
      <w:pPr>
        <w:ind w:left="4320" w:hanging="360"/>
      </w:pPr>
    </w:lvl>
    <w:lvl w:ilvl="5" w:tplc="64EE9EFE" w:tentative="1">
      <w:start w:val="1"/>
      <w:numFmt w:val="lowerRoman"/>
      <w:lvlText w:val="%6."/>
      <w:lvlJc w:val="right"/>
      <w:pPr>
        <w:ind w:left="5040" w:hanging="180"/>
      </w:pPr>
    </w:lvl>
    <w:lvl w:ilvl="6" w:tplc="DD8035A8" w:tentative="1">
      <w:start w:val="1"/>
      <w:numFmt w:val="decimal"/>
      <w:lvlText w:val="%7."/>
      <w:lvlJc w:val="left"/>
      <w:pPr>
        <w:ind w:left="5760" w:hanging="360"/>
      </w:pPr>
    </w:lvl>
    <w:lvl w:ilvl="7" w:tplc="D396D15A" w:tentative="1">
      <w:start w:val="1"/>
      <w:numFmt w:val="lowerLetter"/>
      <w:lvlText w:val="%8."/>
      <w:lvlJc w:val="left"/>
      <w:pPr>
        <w:ind w:left="6480" w:hanging="360"/>
      </w:pPr>
    </w:lvl>
    <w:lvl w:ilvl="8" w:tplc="E700A746" w:tentative="1">
      <w:start w:val="1"/>
      <w:numFmt w:val="lowerRoman"/>
      <w:lvlText w:val="%9."/>
      <w:lvlJc w:val="right"/>
      <w:pPr>
        <w:ind w:left="7200" w:hanging="180"/>
      </w:pPr>
    </w:lvl>
  </w:abstractNum>
  <w:abstractNum w:abstractNumId="2" w15:restartNumberingAfterBreak="0">
    <w:nsid w:val="21184788"/>
    <w:multiLevelType w:val="hybridMultilevel"/>
    <w:tmpl w:val="96420EA8"/>
    <w:lvl w:ilvl="0" w:tplc="3954DC10">
      <w:start w:val="1"/>
      <w:numFmt w:val="decimal"/>
      <w:lvlText w:val="%1."/>
      <w:lvlJc w:val="left"/>
      <w:pPr>
        <w:ind w:left="720" w:hanging="360"/>
      </w:pPr>
    </w:lvl>
    <w:lvl w:ilvl="1" w:tplc="F114374E">
      <w:start w:val="1"/>
      <w:numFmt w:val="lowerLetter"/>
      <w:lvlText w:val="%2."/>
      <w:lvlJc w:val="left"/>
      <w:pPr>
        <w:ind w:left="1440" w:hanging="360"/>
      </w:pPr>
    </w:lvl>
    <w:lvl w:ilvl="2" w:tplc="10340008">
      <w:start w:val="1"/>
      <w:numFmt w:val="lowerRoman"/>
      <w:lvlText w:val="%3."/>
      <w:lvlJc w:val="right"/>
      <w:pPr>
        <w:ind w:left="2160" w:hanging="180"/>
      </w:pPr>
    </w:lvl>
    <w:lvl w:ilvl="3" w:tplc="B5761CE4">
      <w:start w:val="1"/>
      <w:numFmt w:val="decimal"/>
      <w:lvlText w:val="%4."/>
      <w:lvlJc w:val="left"/>
      <w:pPr>
        <w:ind w:left="2880" w:hanging="360"/>
      </w:pPr>
    </w:lvl>
    <w:lvl w:ilvl="4" w:tplc="A79488FA">
      <w:start w:val="1"/>
      <w:numFmt w:val="lowerLetter"/>
      <w:lvlText w:val="%5."/>
      <w:lvlJc w:val="left"/>
      <w:pPr>
        <w:ind w:left="3600" w:hanging="360"/>
      </w:pPr>
    </w:lvl>
    <w:lvl w:ilvl="5" w:tplc="6AE8D26E">
      <w:start w:val="1"/>
      <w:numFmt w:val="lowerRoman"/>
      <w:lvlText w:val="%6."/>
      <w:lvlJc w:val="right"/>
      <w:pPr>
        <w:ind w:left="4320" w:hanging="180"/>
      </w:pPr>
    </w:lvl>
    <w:lvl w:ilvl="6" w:tplc="8222D3F8">
      <w:start w:val="1"/>
      <w:numFmt w:val="decimal"/>
      <w:lvlText w:val="%7."/>
      <w:lvlJc w:val="left"/>
      <w:pPr>
        <w:ind w:left="5040" w:hanging="360"/>
      </w:pPr>
    </w:lvl>
    <w:lvl w:ilvl="7" w:tplc="65D0739A">
      <w:start w:val="1"/>
      <w:numFmt w:val="lowerLetter"/>
      <w:lvlText w:val="%8."/>
      <w:lvlJc w:val="left"/>
      <w:pPr>
        <w:ind w:left="5760" w:hanging="360"/>
      </w:pPr>
    </w:lvl>
    <w:lvl w:ilvl="8" w:tplc="4CB8BAE8">
      <w:start w:val="1"/>
      <w:numFmt w:val="lowerRoman"/>
      <w:lvlText w:val="%9."/>
      <w:lvlJc w:val="right"/>
      <w:pPr>
        <w:ind w:left="6480" w:hanging="180"/>
      </w:pPr>
    </w:lvl>
  </w:abstractNum>
  <w:abstractNum w:abstractNumId="3" w15:restartNumberingAfterBreak="0">
    <w:nsid w:val="29C519D9"/>
    <w:multiLevelType w:val="hybridMultilevel"/>
    <w:tmpl w:val="7F707D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852B0A"/>
    <w:multiLevelType w:val="hybridMultilevel"/>
    <w:tmpl w:val="D6F4DAF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65E001EA"/>
    <w:multiLevelType w:val="hybridMultilevel"/>
    <w:tmpl w:val="39D61F24"/>
    <w:lvl w:ilvl="0" w:tplc="731ED17A">
      <w:start w:val="1"/>
      <w:numFmt w:val="decimal"/>
      <w:lvlText w:val="%1."/>
      <w:lvlJc w:val="left"/>
      <w:pPr>
        <w:ind w:left="1711" w:hanging="426"/>
      </w:pPr>
      <w:rPr>
        <w:rFonts w:ascii="Tahoma" w:eastAsia="Tahoma" w:hAnsi="Tahoma" w:cs="Tahoma" w:hint="default"/>
        <w:b w:val="0"/>
        <w:bCs w:val="0"/>
        <w:i w:val="0"/>
        <w:iCs w:val="0"/>
        <w:w w:val="96"/>
        <w:sz w:val="22"/>
        <w:szCs w:val="22"/>
        <w:lang w:val="pl-PL" w:eastAsia="en-US" w:bidi="ar-SA"/>
      </w:rPr>
    </w:lvl>
    <w:lvl w:ilvl="1" w:tplc="DC9A9242">
      <w:numFmt w:val="bullet"/>
      <w:lvlText w:val="•"/>
      <w:lvlJc w:val="left"/>
      <w:pPr>
        <w:ind w:left="2500" w:hanging="426"/>
      </w:pPr>
      <w:rPr>
        <w:rFonts w:hint="default"/>
        <w:lang w:val="pl-PL" w:eastAsia="en-US" w:bidi="ar-SA"/>
      </w:rPr>
    </w:lvl>
    <w:lvl w:ilvl="2" w:tplc="6A9A20BC">
      <w:numFmt w:val="bullet"/>
      <w:lvlText w:val="•"/>
      <w:lvlJc w:val="left"/>
      <w:pPr>
        <w:ind w:left="3281" w:hanging="426"/>
      </w:pPr>
      <w:rPr>
        <w:rFonts w:hint="default"/>
        <w:lang w:val="pl-PL" w:eastAsia="en-US" w:bidi="ar-SA"/>
      </w:rPr>
    </w:lvl>
    <w:lvl w:ilvl="3" w:tplc="341C8BF8">
      <w:numFmt w:val="bullet"/>
      <w:lvlText w:val="•"/>
      <w:lvlJc w:val="left"/>
      <w:pPr>
        <w:ind w:left="4061" w:hanging="426"/>
      </w:pPr>
      <w:rPr>
        <w:rFonts w:hint="default"/>
        <w:lang w:val="pl-PL" w:eastAsia="en-US" w:bidi="ar-SA"/>
      </w:rPr>
    </w:lvl>
    <w:lvl w:ilvl="4" w:tplc="25E8AD26">
      <w:numFmt w:val="bullet"/>
      <w:lvlText w:val="•"/>
      <w:lvlJc w:val="left"/>
      <w:pPr>
        <w:ind w:left="4842" w:hanging="426"/>
      </w:pPr>
      <w:rPr>
        <w:rFonts w:hint="default"/>
        <w:lang w:val="pl-PL" w:eastAsia="en-US" w:bidi="ar-SA"/>
      </w:rPr>
    </w:lvl>
    <w:lvl w:ilvl="5" w:tplc="191CBC90">
      <w:numFmt w:val="bullet"/>
      <w:lvlText w:val="•"/>
      <w:lvlJc w:val="left"/>
      <w:pPr>
        <w:ind w:left="5623" w:hanging="426"/>
      </w:pPr>
      <w:rPr>
        <w:rFonts w:hint="default"/>
        <w:lang w:val="pl-PL" w:eastAsia="en-US" w:bidi="ar-SA"/>
      </w:rPr>
    </w:lvl>
    <w:lvl w:ilvl="6" w:tplc="85CC74D2">
      <w:numFmt w:val="bullet"/>
      <w:lvlText w:val="•"/>
      <w:lvlJc w:val="left"/>
      <w:pPr>
        <w:ind w:left="6403" w:hanging="426"/>
      </w:pPr>
      <w:rPr>
        <w:rFonts w:hint="default"/>
        <w:lang w:val="pl-PL" w:eastAsia="en-US" w:bidi="ar-SA"/>
      </w:rPr>
    </w:lvl>
    <w:lvl w:ilvl="7" w:tplc="FB9082C6">
      <w:numFmt w:val="bullet"/>
      <w:lvlText w:val="•"/>
      <w:lvlJc w:val="left"/>
      <w:pPr>
        <w:ind w:left="7184" w:hanging="426"/>
      </w:pPr>
      <w:rPr>
        <w:rFonts w:hint="default"/>
        <w:lang w:val="pl-PL" w:eastAsia="en-US" w:bidi="ar-SA"/>
      </w:rPr>
    </w:lvl>
    <w:lvl w:ilvl="8" w:tplc="57AE19BC">
      <w:numFmt w:val="bullet"/>
      <w:lvlText w:val="•"/>
      <w:lvlJc w:val="left"/>
      <w:pPr>
        <w:ind w:left="7964" w:hanging="426"/>
      </w:pPr>
      <w:rPr>
        <w:rFonts w:hint="default"/>
        <w:lang w:val="pl-PL" w:eastAsia="en-US" w:bidi="ar-SA"/>
      </w:rPr>
    </w:lvl>
  </w:abstractNum>
  <w:abstractNum w:abstractNumId="6" w15:restartNumberingAfterBreak="0">
    <w:nsid w:val="6FF00A52"/>
    <w:multiLevelType w:val="hybridMultilevel"/>
    <w:tmpl w:val="14100E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44C61F4"/>
    <w:multiLevelType w:val="hybridMultilevel"/>
    <w:tmpl w:val="186A0752"/>
    <w:lvl w:ilvl="0" w:tplc="FE941E4C">
      <w:start w:val="1"/>
      <w:numFmt w:val="decimal"/>
      <w:lvlText w:val="%1."/>
      <w:lvlJc w:val="left"/>
      <w:pPr>
        <w:ind w:left="1711" w:hanging="426"/>
      </w:pPr>
      <w:rPr>
        <w:rFonts w:ascii="Tahoma" w:eastAsia="Tahoma" w:hAnsi="Tahoma" w:cs="Tahoma" w:hint="default"/>
        <w:b w:val="0"/>
        <w:bCs w:val="0"/>
        <w:i w:val="0"/>
        <w:iCs w:val="0"/>
        <w:w w:val="96"/>
        <w:sz w:val="22"/>
        <w:szCs w:val="22"/>
        <w:lang w:val="pl-PL" w:eastAsia="en-US" w:bidi="ar-SA"/>
      </w:rPr>
    </w:lvl>
    <w:lvl w:ilvl="1" w:tplc="968885FC">
      <w:numFmt w:val="bullet"/>
      <w:lvlText w:val="•"/>
      <w:lvlJc w:val="left"/>
      <w:pPr>
        <w:ind w:left="2500" w:hanging="426"/>
      </w:pPr>
      <w:rPr>
        <w:rFonts w:hint="default"/>
        <w:lang w:val="pl-PL" w:eastAsia="en-US" w:bidi="ar-SA"/>
      </w:rPr>
    </w:lvl>
    <w:lvl w:ilvl="2" w:tplc="B9E65BEA">
      <w:numFmt w:val="bullet"/>
      <w:lvlText w:val="•"/>
      <w:lvlJc w:val="left"/>
      <w:pPr>
        <w:ind w:left="3281" w:hanging="426"/>
      </w:pPr>
      <w:rPr>
        <w:rFonts w:hint="default"/>
        <w:lang w:val="pl-PL" w:eastAsia="en-US" w:bidi="ar-SA"/>
      </w:rPr>
    </w:lvl>
    <w:lvl w:ilvl="3" w:tplc="7988DA92">
      <w:numFmt w:val="bullet"/>
      <w:lvlText w:val="•"/>
      <w:lvlJc w:val="left"/>
      <w:pPr>
        <w:ind w:left="4061" w:hanging="426"/>
      </w:pPr>
      <w:rPr>
        <w:rFonts w:hint="default"/>
        <w:lang w:val="pl-PL" w:eastAsia="en-US" w:bidi="ar-SA"/>
      </w:rPr>
    </w:lvl>
    <w:lvl w:ilvl="4" w:tplc="CB16C128">
      <w:numFmt w:val="bullet"/>
      <w:lvlText w:val="•"/>
      <w:lvlJc w:val="left"/>
      <w:pPr>
        <w:ind w:left="4842" w:hanging="426"/>
      </w:pPr>
      <w:rPr>
        <w:rFonts w:hint="default"/>
        <w:lang w:val="pl-PL" w:eastAsia="en-US" w:bidi="ar-SA"/>
      </w:rPr>
    </w:lvl>
    <w:lvl w:ilvl="5" w:tplc="C4DE0F0E">
      <w:numFmt w:val="bullet"/>
      <w:lvlText w:val="•"/>
      <w:lvlJc w:val="left"/>
      <w:pPr>
        <w:ind w:left="5623" w:hanging="426"/>
      </w:pPr>
      <w:rPr>
        <w:rFonts w:hint="default"/>
        <w:lang w:val="pl-PL" w:eastAsia="en-US" w:bidi="ar-SA"/>
      </w:rPr>
    </w:lvl>
    <w:lvl w:ilvl="6" w:tplc="E0244F2A">
      <w:numFmt w:val="bullet"/>
      <w:lvlText w:val="•"/>
      <w:lvlJc w:val="left"/>
      <w:pPr>
        <w:ind w:left="6403" w:hanging="426"/>
      </w:pPr>
      <w:rPr>
        <w:rFonts w:hint="default"/>
        <w:lang w:val="pl-PL" w:eastAsia="en-US" w:bidi="ar-SA"/>
      </w:rPr>
    </w:lvl>
    <w:lvl w:ilvl="7" w:tplc="51B4D648">
      <w:numFmt w:val="bullet"/>
      <w:lvlText w:val="•"/>
      <w:lvlJc w:val="left"/>
      <w:pPr>
        <w:ind w:left="7184" w:hanging="426"/>
      </w:pPr>
      <w:rPr>
        <w:rFonts w:hint="default"/>
        <w:lang w:val="pl-PL" w:eastAsia="en-US" w:bidi="ar-SA"/>
      </w:rPr>
    </w:lvl>
    <w:lvl w:ilvl="8" w:tplc="1C30C846">
      <w:numFmt w:val="bullet"/>
      <w:lvlText w:val="•"/>
      <w:lvlJc w:val="left"/>
      <w:pPr>
        <w:ind w:left="7964" w:hanging="426"/>
      </w:pPr>
      <w:rPr>
        <w:rFonts w:hint="default"/>
        <w:lang w:val="pl-PL" w:eastAsia="en-US" w:bidi="ar-SA"/>
      </w:rPr>
    </w:lvl>
  </w:abstractNum>
  <w:num w:numId="1" w16cid:durableId="1343124810">
    <w:abstractNumId w:val="5"/>
  </w:num>
  <w:num w:numId="2" w16cid:durableId="1552113398">
    <w:abstractNumId w:val="7"/>
  </w:num>
  <w:num w:numId="3" w16cid:durableId="14499315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45282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5594394">
    <w:abstractNumId w:val="0"/>
  </w:num>
  <w:num w:numId="6" w16cid:durableId="390278391">
    <w:abstractNumId w:val="4"/>
  </w:num>
  <w:num w:numId="7" w16cid:durableId="1668244143">
    <w:abstractNumId w:val="3"/>
  </w:num>
  <w:num w:numId="8" w16cid:durableId="519722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E4"/>
    <w:rsid w:val="000347E4"/>
    <w:rsid w:val="00122094"/>
    <w:rsid w:val="001C3826"/>
    <w:rsid w:val="002E7DD6"/>
    <w:rsid w:val="003453A3"/>
    <w:rsid w:val="003813FE"/>
    <w:rsid w:val="003D4AC0"/>
    <w:rsid w:val="004C4281"/>
    <w:rsid w:val="00506868"/>
    <w:rsid w:val="00694364"/>
    <w:rsid w:val="006E1587"/>
    <w:rsid w:val="007C34BC"/>
    <w:rsid w:val="00877711"/>
    <w:rsid w:val="0094327A"/>
    <w:rsid w:val="00964051"/>
    <w:rsid w:val="00A246B1"/>
    <w:rsid w:val="00A30314"/>
    <w:rsid w:val="00A84BBC"/>
    <w:rsid w:val="00AB1F51"/>
    <w:rsid w:val="00AF354A"/>
    <w:rsid w:val="00B95550"/>
    <w:rsid w:val="00C63560"/>
    <w:rsid w:val="00CB5A66"/>
    <w:rsid w:val="00CD300B"/>
    <w:rsid w:val="00F86810"/>
    <w:rsid w:val="00FC1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C316E"/>
  <w15:docId w15:val="{D8770100-9EE4-4A98-B486-810AB7533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9760E"/>
    <w:pPr>
      <w:widowControl w:val="0"/>
      <w:tabs>
        <w:tab w:val="center" w:pos="4536"/>
        <w:tab w:val="right" w:pos="9072"/>
      </w:tabs>
      <w:autoSpaceDE w:val="0"/>
      <w:autoSpaceDN w:val="0"/>
    </w:pPr>
    <w:rPr>
      <w:rFonts w:ascii="Tahoma" w:eastAsia="Tahoma" w:hAnsi="Tahoma" w:cs="Tahoma"/>
      <w:sz w:val="22"/>
      <w:szCs w:val="22"/>
      <w:lang w:eastAsia="en-US"/>
    </w:rPr>
  </w:style>
  <w:style w:type="character" w:customStyle="1" w:styleId="NagwekZnak">
    <w:name w:val="Nagłówek Znak"/>
    <w:link w:val="Nagwek"/>
    <w:uiPriority w:val="99"/>
    <w:rsid w:val="0039760E"/>
    <w:rPr>
      <w:rFonts w:ascii="Tahoma" w:eastAsia="Tahoma" w:hAnsi="Tahoma" w:cs="Tahoma"/>
      <w:sz w:val="22"/>
      <w:szCs w:val="22"/>
      <w:lang w:eastAsia="en-US"/>
    </w:rPr>
  </w:style>
  <w:style w:type="paragraph" w:styleId="Stopka">
    <w:name w:val="footer"/>
    <w:basedOn w:val="Normalny"/>
    <w:link w:val="StopkaZnak"/>
    <w:uiPriority w:val="99"/>
    <w:unhideWhenUsed/>
    <w:rsid w:val="0039760E"/>
    <w:pPr>
      <w:widowControl w:val="0"/>
      <w:tabs>
        <w:tab w:val="center" w:pos="4536"/>
        <w:tab w:val="right" w:pos="9072"/>
      </w:tabs>
      <w:autoSpaceDE w:val="0"/>
      <w:autoSpaceDN w:val="0"/>
    </w:pPr>
    <w:rPr>
      <w:rFonts w:ascii="Tahoma" w:eastAsia="Tahoma" w:hAnsi="Tahoma" w:cs="Tahoma"/>
      <w:sz w:val="22"/>
      <w:szCs w:val="22"/>
      <w:lang w:eastAsia="en-US"/>
    </w:rPr>
  </w:style>
  <w:style w:type="character" w:customStyle="1" w:styleId="StopkaZnak">
    <w:name w:val="Stopka Znak"/>
    <w:link w:val="Stopka"/>
    <w:uiPriority w:val="99"/>
    <w:rsid w:val="0039760E"/>
    <w:rPr>
      <w:rFonts w:ascii="Tahoma" w:eastAsia="Tahoma" w:hAnsi="Tahoma" w:cs="Tahoma"/>
      <w:sz w:val="22"/>
      <w:szCs w:val="22"/>
      <w:lang w:eastAsia="en-US"/>
    </w:rPr>
  </w:style>
  <w:style w:type="paragraph" w:styleId="Tekstpodstawowy">
    <w:name w:val="Body Text"/>
    <w:basedOn w:val="Normalny"/>
    <w:link w:val="TekstpodstawowyZnak"/>
    <w:uiPriority w:val="1"/>
    <w:qFormat/>
    <w:rsid w:val="0039760E"/>
    <w:pPr>
      <w:widowControl w:val="0"/>
      <w:autoSpaceDE w:val="0"/>
      <w:autoSpaceDN w:val="0"/>
    </w:pPr>
    <w:rPr>
      <w:rFonts w:ascii="Tahoma" w:eastAsia="Tahoma" w:hAnsi="Tahoma" w:cs="Tahoma"/>
      <w:sz w:val="22"/>
      <w:szCs w:val="22"/>
      <w:lang w:eastAsia="en-US"/>
    </w:rPr>
  </w:style>
  <w:style w:type="character" w:customStyle="1" w:styleId="TekstpodstawowyZnak">
    <w:name w:val="Tekst podstawowy Znak"/>
    <w:link w:val="Tekstpodstawowy"/>
    <w:uiPriority w:val="1"/>
    <w:rsid w:val="0039760E"/>
    <w:rPr>
      <w:rFonts w:ascii="Tahoma" w:eastAsia="Tahoma" w:hAnsi="Tahoma" w:cs="Tahoma"/>
      <w:sz w:val="22"/>
      <w:szCs w:val="22"/>
      <w:lang w:eastAsia="en-US"/>
    </w:rPr>
  </w:style>
  <w:style w:type="paragraph" w:styleId="Tytu">
    <w:name w:val="Title"/>
    <w:basedOn w:val="Normalny"/>
    <w:link w:val="TytuZnak"/>
    <w:uiPriority w:val="10"/>
    <w:qFormat/>
    <w:rsid w:val="0039760E"/>
    <w:pPr>
      <w:widowControl w:val="0"/>
      <w:autoSpaceDE w:val="0"/>
      <w:autoSpaceDN w:val="0"/>
      <w:spacing w:before="163"/>
      <w:ind w:left="1285"/>
    </w:pPr>
    <w:rPr>
      <w:rFonts w:ascii="Tahoma" w:eastAsia="Tahoma" w:hAnsi="Tahoma" w:cs="Tahoma"/>
      <w:b/>
      <w:bCs/>
      <w:sz w:val="22"/>
      <w:szCs w:val="22"/>
      <w:lang w:eastAsia="en-US"/>
    </w:rPr>
  </w:style>
  <w:style w:type="character" w:customStyle="1" w:styleId="TytuZnak">
    <w:name w:val="Tytuł Znak"/>
    <w:link w:val="Tytu"/>
    <w:uiPriority w:val="10"/>
    <w:rsid w:val="0039760E"/>
    <w:rPr>
      <w:rFonts w:ascii="Tahoma" w:eastAsia="Tahoma" w:hAnsi="Tahoma" w:cs="Tahoma"/>
      <w:b/>
      <w:bCs/>
      <w:sz w:val="22"/>
      <w:szCs w:val="22"/>
      <w:lang w:eastAsia="en-US"/>
    </w:rPr>
  </w:style>
  <w:style w:type="paragraph" w:styleId="Akapitzlist">
    <w:name w:val="List Paragraph"/>
    <w:basedOn w:val="Normalny"/>
    <w:uiPriority w:val="1"/>
    <w:qFormat/>
    <w:rsid w:val="0039760E"/>
    <w:pPr>
      <w:widowControl w:val="0"/>
      <w:autoSpaceDE w:val="0"/>
      <w:autoSpaceDN w:val="0"/>
      <w:spacing w:line="264" w:lineRule="exact"/>
      <w:ind w:left="1711" w:hanging="426"/>
    </w:pPr>
    <w:rPr>
      <w:rFonts w:ascii="Tahoma" w:eastAsia="Tahoma" w:hAnsi="Tahoma" w:cs="Tahoma"/>
      <w:sz w:val="22"/>
      <w:szCs w:val="22"/>
      <w:lang w:eastAsia="en-US"/>
    </w:rPr>
  </w:style>
  <w:style w:type="paragraph" w:styleId="Tekstpodstawowy2">
    <w:name w:val="Body Text 2"/>
    <w:basedOn w:val="Normalny"/>
    <w:link w:val="Tekstpodstawowy2Znak"/>
    <w:rsid w:val="00B5305B"/>
    <w:pPr>
      <w:spacing w:after="120" w:line="480" w:lineRule="auto"/>
    </w:pPr>
  </w:style>
  <w:style w:type="character" w:customStyle="1" w:styleId="Tekstpodstawowy2Znak">
    <w:name w:val="Tekst podstawowy 2 Znak"/>
    <w:link w:val="Tekstpodstawowy2"/>
    <w:rsid w:val="00B5305B"/>
    <w:rPr>
      <w:sz w:val="24"/>
      <w:szCs w:val="24"/>
    </w:rPr>
  </w:style>
  <w:style w:type="paragraph" w:customStyle="1" w:styleId="dane1">
    <w:name w:val="dane1"/>
    <w:basedOn w:val="Normalny"/>
    <w:link w:val="dane1Znak"/>
    <w:qFormat/>
    <w:rsid w:val="00B5305B"/>
    <w:pPr>
      <w:spacing w:line="276" w:lineRule="auto"/>
    </w:pPr>
    <w:rPr>
      <w:rFonts w:ascii="Lato" w:eastAsia="Calibri" w:hAnsi="Lato"/>
      <w:szCs w:val="22"/>
      <w:lang w:eastAsia="en-US"/>
    </w:rPr>
  </w:style>
  <w:style w:type="character" w:customStyle="1" w:styleId="dane1Znak">
    <w:name w:val="dane1 Znak"/>
    <w:link w:val="dane1"/>
    <w:rsid w:val="00B5305B"/>
    <w:rPr>
      <w:rFonts w:ascii="Lato" w:eastAsia="Calibri" w:hAnsi="Lato"/>
      <w:sz w:val="24"/>
      <w:szCs w:val="22"/>
      <w:lang w:eastAsia="en-US"/>
    </w:rPr>
  </w:style>
  <w:style w:type="paragraph" w:customStyle="1" w:styleId="dane4">
    <w:name w:val="dane4"/>
    <w:basedOn w:val="Normalny"/>
    <w:link w:val="dane4Znak"/>
    <w:qFormat/>
    <w:rsid w:val="00B5305B"/>
    <w:pPr>
      <w:spacing w:line="276" w:lineRule="auto"/>
    </w:pPr>
    <w:rPr>
      <w:rFonts w:ascii="Lato" w:eastAsia="Calibri" w:hAnsi="Lato"/>
      <w:szCs w:val="22"/>
      <w:lang w:eastAsia="en-US"/>
    </w:rPr>
  </w:style>
  <w:style w:type="character" w:customStyle="1" w:styleId="dane4Znak">
    <w:name w:val="dane4 Znak"/>
    <w:link w:val="dane4"/>
    <w:rsid w:val="00B5305B"/>
    <w:rPr>
      <w:rFonts w:ascii="Lato" w:eastAsia="Calibri" w:hAnsi="Lato"/>
      <w:sz w:val="24"/>
      <w:szCs w:val="22"/>
      <w:lang w:eastAsia="en-US"/>
    </w:rPr>
  </w:style>
  <w:style w:type="table" w:styleId="Tabela-Siatka">
    <w:name w:val="Table Grid"/>
    <w:basedOn w:val="Standardowy"/>
    <w:uiPriority w:val="39"/>
    <w:rsid w:val="00B530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9B7167"/>
    <w:rPr>
      <w:rFonts w:asciiTheme="minorHAnsi" w:eastAsiaTheme="minorHAnsi" w:hAnsiTheme="minorHAnsi" w:cstheme="minorBidi"/>
      <w:sz w:val="22"/>
      <w:szCs w:val="22"/>
      <w:lang w:eastAsia="en-US"/>
    </w:rPr>
  </w:style>
  <w:style w:type="paragraph" w:styleId="NormalnyWeb">
    <w:name w:val="Normal (Web)"/>
    <w:basedOn w:val="Normalny"/>
    <w:rsid w:val="00506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D3FA2-43D3-4516-BA16-95DCA89C2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3329</Words>
  <Characters>19976</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23259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msawicka</dc:creator>
  <cp:lastModifiedBy>I.Kmak-Błaszczuk (KP Brzeg)</cp:lastModifiedBy>
  <cp:revision>11</cp:revision>
  <cp:lastPrinted>2026-10-15T09:45:00Z</cp:lastPrinted>
  <dcterms:created xsi:type="dcterms:W3CDTF">2026-10-15T09:27:00Z</dcterms:created>
  <dcterms:modified xsi:type="dcterms:W3CDTF">2026-10-15T19:10:00Z</dcterms:modified>
</cp:coreProperties>
</file>