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DDC1" w14:textId="63FF5CE4" w:rsidR="00C21257" w:rsidRPr="001D330F" w:rsidRDefault="002836A3" w:rsidP="002836A3">
      <w:pPr>
        <w:pStyle w:val="Tytu"/>
        <w:spacing w:line="276" w:lineRule="auto"/>
        <w:jc w:val="right"/>
        <w:rPr>
          <w:sz w:val="22"/>
          <w:szCs w:val="22"/>
        </w:rPr>
      </w:pPr>
      <w:r w:rsidRPr="001D330F">
        <w:rPr>
          <w:sz w:val="22"/>
          <w:szCs w:val="22"/>
        </w:rPr>
        <w:t xml:space="preserve">Zał. nr 2 do SWZ </w:t>
      </w:r>
    </w:p>
    <w:p w14:paraId="3589AE85" w14:textId="77777777" w:rsidR="00C21257" w:rsidRPr="001D330F" w:rsidRDefault="00C21257" w:rsidP="00050772">
      <w:pPr>
        <w:pStyle w:val="Tytu"/>
        <w:spacing w:line="276" w:lineRule="auto"/>
        <w:jc w:val="center"/>
        <w:rPr>
          <w:sz w:val="22"/>
          <w:szCs w:val="22"/>
        </w:rPr>
      </w:pPr>
    </w:p>
    <w:p w14:paraId="7DF8FE9A" w14:textId="77777777" w:rsidR="00050772" w:rsidRPr="001D330F" w:rsidRDefault="00050772" w:rsidP="00050772">
      <w:pPr>
        <w:pStyle w:val="Tytu"/>
        <w:spacing w:line="276" w:lineRule="auto"/>
        <w:jc w:val="center"/>
        <w:rPr>
          <w:sz w:val="22"/>
          <w:szCs w:val="22"/>
        </w:rPr>
      </w:pPr>
      <w:r w:rsidRPr="001D330F">
        <w:rPr>
          <w:sz w:val="22"/>
          <w:szCs w:val="22"/>
        </w:rPr>
        <w:t>Opis Przedmiotu Zamówienia</w:t>
      </w:r>
    </w:p>
    <w:p w14:paraId="544C556D" w14:textId="77777777" w:rsidR="00050772" w:rsidRPr="001D330F" w:rsidRDefault="00050772" w:rsidP="00050772">
      <w:pPr>
        <w:pStyle w:val="Tytu"/>
        <w:spacing w:line="276" w:lineRule="auto"/>
        <w:jc w:val="center"/>
        <w:rPr>
          <w:sz w:val="22"/>
          <w:szCs w:val="22"/>
        </w:rPr>
      </w:pPr>
    </w:p>
    <w:p w14:paraId="0F761DA1" w14:textId="77777777" w:rsidR="00050772" w:rsidRPr="001D330F" w:rsidRDefault="00050772" w:rsidP="00050772">
      <w:pPr>
        <w:pStyle w:val="Podtytu"/>
        <w:spacing w:line="276" w:lineRule="auto"/>
        <w:jc w:val="center"/>
        <w:rPr>
          <w:sz w:val="22"/>
          <w:szCs w:val="22"/>
        </w:rPr>
      </w:pPr>
      <w:r w:rsidRPr="001D330F">
        <w:rPr>
          <w:sz w:val="22"/>
          <w:szCs w:val="22"/>
        </w:rPr>
        <w:t>dla postępowania</w:t>
      </w:r>
    </w:p>
    <w:p w14:paraId="415B5399" w14:textId="77777777" w:rsidR="00C21257" w:rsidRPr="001D330F" w:rsidRDefault="00A56CCA" w:rsidP="00530D7C">
      <w:pPr>
        <w:pStyle w:val="Podtytu"/>
        <w:spacing w:line="276" w:lineRule="auto"/>
        <w:jc w:val="center"/>
        <w:rPr>
          <w:sz w:val="22"/>
          <w:szCs w:val="22"/>
        </w:rPr>
      </w:pPr>
      <w:r w:rsidRPr="001D330F">
        <w:rPr>
          <w:sz w:val="22"/>
          <w:szCs w:val="22"/>
        </w:rPr>
        <w:t xml:space="preserve">Dostawa i wdrożenie rozwiązań cyberbezpieczeństwa OT dla</w:t>
      </w:r>
      <w:r w:rsidRPr="001D330F">
        <w:rPr>
          <w:sz w:val="22"/>
          <w:szCs w:val="22"/>
        </w:rPr>
        <w:t xml:space="preserve"> </w:t>
      </w:r>
    </w:p>
    <w:p w14:paraId="67A2F191" w14:textId="77777777" w:rsidR="00C21257" w:rsidRPr="001D330F" w:rsidRDefault="00C21257" w:rsidP="00C21257">
      <w:pPr>
        <w:spacing w:line="276" w:lineRule="auto"/>
        <w:jc w:val="center"/>
        <w:rPr>
          <w:color w:val="595959" w:themeColor="text1" w:themeTint="A6"/>
          <w:spacing w:val="15"/>
        </w:rPr>
      </w:pPr>
      <w:r w:rsidRPr="001D330F">
        <w:rPr>
          <w:color w:val="595959" w:themeColor="text1" w:themeTint="A6"/>
          <w:spacing w:val="15"/>
        </w:rPr>
        <w:t>PGK Sp. z o.o. w Grodzisku Dolnym</w:t>
      </w:r>
    </w:p>
    <w:p w14:paraId="711A3179" w14:textId="77777777" w:rsidR="00050772" w:rsidRPr="001D330F" w:rsidRDefault="00530D7C" w:rsidP="00530D7C">
      <w:pPr>
        <w:pStyle w:val="Podtytu"/>
        <w:spacing w:line="276" w:lineRule="auto"/>
        <w:jc w:val="center"/>
        <w:rPr>
          <w:sz w:val="22"/>
          <w:szCs w:val="22"/>
        </w:rPr>
      </w:pPr>
      <w:r w:rsidRPr="001D330F">
        <w:rPr>
          <w:sz w:val="22"/>
          <w:szCs w:val="22"/>
        </w:rPr>
        <w:t>w ramach projektu „Wzmocnienie cyberbezpieczeństwa infrastruktury wodociągowej w Gminie Grodzisko Dolne”</w:t>
      </w:r>
    </w:p>
    <w:p w14:paraId="14E8DB15" w14:textId="77777777" w:rsidR="00050772" w:rsidRPr="001D330F" w:rsidRDefault="00050772" w:rsidP="00050772">
      <w:pPr>
        <w:pStyle w:val="Podtytu"/>
        <w:spacing w:line="276" w:lineRule="auto"/>
        <w:jc w:val="center"/>
        <w:rPr>
          <w:sz w:val="22"/>
          <w:szCs w:val="22"/>
        </w:rPr>
      </w:pPr>
      <w:r w:rsidRPr="001D330F">
        <w:rPr>
          <w:sz w:val="22"/>
          <w:szCs w:val="22"/>
        </w:rPr>
        <w:t xml:space="preserve">Znak sprawy: </w:t>
      </w:r>
      <w:r w:rsidRPr="001D330F">
        <w:rPr>
          <w:sz w:val="22"/>
          <w:szCs w:val="22"/>
        </w:rPr>
        <w:t xml:space="preserve">5/CW/PGKGrodzisko</w:t>
      </w:r>
      <w:proofErr w:type="spellStart"/>
      <w:proofErr w:type="spellEnd"/>
    </w:p>
    <w:p w14:paraId="44296C4D" w14:textId="77777777" w:rsidR="00C21257" w:rsidRPr="001D330F" w:rsidRDefault="00C21257" w:rsidP="00C21257">
      <w:pPr>
        <w:spacing w:line="276" w:lineRule="auto"/>
      </w:pPr>
    </w:p>
    <w:p w14:paraId="584732F1" w14:textId="77777777" w:rsidR="003C054E" w:rsidRPr="001D330F" w:rsidRDefault="003C054E">
      <w:pPr>
        <w:spacing w:line="276" w:lineRule="auto"/>
        <w:rPr>
          <w:color w:val="0F4761" w:themeColor="accent1" w:themeShade="BF"/>
        </w:rPr>
      </w:pPr>
      <w:r w:rsidRPr="001D330F">
        <w:br w:type="page"/>
      </w:r>
    </w:p>
    <w:p w14:paraId="3E7A2EBA" w14:textId="77777777" w:rsidR="00050772" w:rsidRPr="001D330F" w:rsidRDefault="00E14C6D" w:rsidP="00E14C6D">
      <w:pPr>
        <w:pStyle w:val="Nagwek1"/>
        <w:spacing w:line="276" w:lineRule="auto"/>
        <w:rPr>
          <w:sz w:val="22"/>
          <w:szCs w:val="22"/>
        </w:rPr>
      </w:pPr>
      <w:bookmarkStart w:id="0" w:name="_Toc235519348"/>
      <w:r w:rsidRPr="001D330F">
        <w:rPr>
          <w:sz w:val="22"/>
          <w:szCs w:val="22"/>
        </w:rPr>
        <w:lastRenderedPageBreak/>
        <w:t>Informacje wstępne – zakres zamówienia</w:t>
      </w:r>
      <w:bookmarkEnd w:id="0"/>
    </w:p>
    <w:p w14:paraId="705F73FA" w14:textId="77777777" w:rsidR="002825F2" w:rsidRPr="001D330F" w:rsidRDefault="00811973" w:rsidP="00EC5CC1">
      <w:pPr>
        <w:spacing w:line="276" w:lineRule="auto"/>
      </w:pPr>
      <w:r w:rsidRPr="001D330F">
        <w:t xml:space="preserve">Przedmiotem zamówienia objęte są dostawy urządzeń i oprogramowania oraz usługi wdrożeniowe </w:t>
      </w:r>
      <w:r w:rsidRPr="001D330F">
        <w:t xml:space="preserve">w zakresie OT</w:t>
      </w:r>
      <w:r w:rsidRPr="001D330F">
        <w:t xml:space="preserve">. Celem zamówienia jest podniesienie poziomu cyberbezpieczeństwa i odporności u Zamawiającego.</w:t>
      </w:r>
    </w:p>
    <w:p w14:paraId="18F138EE" w14:textId="77777777" w:rsidR="00087B57" w:rsidRPr="001D330F" w:rsidRDefault="00087B57" w:rsidP="002825F2">
      <w:pPr>
        <w:pStyle w:val="Nagwek2"/>
        <w:spacing w:line="276" w:lineRule="auto"/>
        <w:rPr>
          <w:sz w:val="22"/>
          <w:szCs w:val="22"/>
        </w:rPr>
      </w:pPr>
      <w:bookmarkStart w:id="1" w:name="_Toc235519349"/>
      <w:r w:rsidRPr="001D330F">
        <w:rPr>
          <w:sz w:val="22"/>
          <w:szCs w:val="22"/>
        </w:rPr>
        <w:t>Wymagania ogólne</w:t>
      </w:r>
      <w:bookmarkEnd w:id="1"/>
    </w:p>
    <w:p w14:paraId="7921C6B8" w14:textId="77777777" w:rsidR="00087B57" w:rsidRPr="001D330F" w:rsidRDefault="00087B57" w:rsidP="00A62028">
      <w:pPr>
        <w:spacing w:after="0" w:line="276" w:lineRule="auto"/>
      </w:pPr>
      <w:r w:rsidRPr="001D330F">
        <w:t>Wymagania ogólne:</w:t>
      </w:r>
    </w:p>
    <w:p w14:paraId="1FD16CE5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 xml:space="preserve">całość sprzętu i oprogramowania musi pochodzić z autoryzowanego kanału sprzedaży </w:t>
      </w:r>
      <w:proofErr w:type="gramStart"/>
      <w:r w:rsidRPr="001D330F">
        <w:t>producentów  i</w:t>
      </w:r>
      <w:proofErr w:type="gramEnd"/>
      <w:r w:rsidRPr="001D330F">
        <w:t xml:space="preserve"> nie może być obciążony uprzednio nabytymi prawami podmiotów trzecich (</w:t>
      </w:r>
      <w:proofErr w:type="spellStart"/>
      <w:r w:rsidRPr="001D330F">
        <w:t>subdystrybucja</w:t>
      </w:r>
      <w:proofErr w:type="spellEnd"/>
      <w:r w:rsidRPr="001D330F">
        <w:t xml:space="preserve">, niezależni brokerzy); </w:t>
      </w:r>
    </w:p>
    <w:p w14:paraId="404B3DF8" w14:textId="77777777" w:rsidR="00CF6AFF" w:rsidRPr="001D330F" w:rsidRDefault="00CF6AFF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>wszystkie urządzenia muszą być wyprodukowane nie wcześniej niż 12 miesięcy przed dniem dostawy; Zamawiający nie dopuszcza urządzeń powystawowych, regenerowanych ani odnawianych (</w:t>
      </w:r>
      <w:proofErr w:type="spellStart"/>
      <w:r w:rsidRPr="001D330F">
        <w:t>refurbished</w:t>
      </w:r>
      <w:proofErr w:type="spellEnd"/>
      <w:r w:rsidRPr="001D330F">
        <w:t xml:space="preserve">) </w:t>
      </w:r>
    </w:p>
    <w:p w14:paraId="21953673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 xml:space="preserve">całość sprzętu musi być fabrycznie nowa, nie używana wcześniej; </w:t>
      </w:r>
    </w:p>
    <w:p w14:paraId="7456AE12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>wszystkie dostarczone i montowane komponenty przez Wykonawcę muszą być dopuszczone do obrotu na terenie Unii Europejskiej;</w:t>
      </w:r>
    </w:p>
    <w:p w14:paraId="3C60CFA4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>dostarczane urządzenia muszą być pozbawione wszelkich wad;</w:t>
      </w:r>
    </w:p>
    <w:p w14:paraId="690A9E04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 xml:space="preserve">urządzenia muszą być kompletne i gotowe do pracy po podłączeniu </w:t>
      </w:r>
    </w:p>
    <w:p w14:paraId="575CFEAE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>wszystkie oferowane urządzenia w ramach poszczególnych typów musza być:</w:t>
      </w:r>
    </w:p>
    <w:p w14:paraId="25A34363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</w:pPr>
      <w:r w:rsidRPr="001D330F">
        <w:t>złożone z identycznych podzespołów, sygnowanych przez ich Producenta;</w:t>
      </w:r>
    </w:p>
    <w:p w14:paraId="035CEF35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</w:pPr>
      <w:r w:rsidRPr="001D330F">
        <w:t>dostarczane w oryginalnych opakowaniach Producenta (opakowania nie mogą być otwierane od momentu wyprodukowania przez Producenta do momentu dostawy do Zamawiającego, fabryczne zamknięcie fabrycznych opakowań).</w:t>
      </w:r>
    </w:p>
    <w:p w14:paraId="1F51673F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</w:pPr>
      <w:r w:rsidRPr="001D330F">
        <w:t>objęte gwarancją dostawy sprzętu tego samego modelu/serii przez cały okres trwania projektu.</w:t>
      </w:r>
    </w:p>
    <w:p w14:paraId="10F2AF0F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t xml:space="preserve">o ile wymagania szczegółowe nie specyfikują inaczej, na dostarczany sprzęt musi być udzielona </w:t>
      </w:r>
      <w:proofErr w:type="gramStart"/>
      <w:r w:rsidRPr="001D330F">
        <w:t>gwarancja  oparta</w:t>
      </w:r>
      <w:proofErr w:type="gramEnd"/>
      <w:r w:rsidRPr="001D330F">
        <w:t xml:space="preserve"> na gwarancji producenta; serwis gwarancyjny świadczony ma być w miejscu instalacji sprzętu; </w:t>
      </w:r>
    </w:p>
    <w:p w14:paraId="49329DC0" w14:textId="77777777" w:rsidR="0054119D" w:rsidRPr="001D330F" w:rsidRDefault="004E1E1E">
      <w:pPr>
        <w:pStyle w:val="Akapitzlist"/>
        <w:numPr>
          <w:ilvl w:val="0"/>
          <w:numId w:val="2"/>
        </w:numPr>
        <w:spacing w:line="276" w:lineRule="auto"/>
      </w:pPr>
      <w:r w:rsidRPr="001D330F">
        <w:t>Ilekroć w niniejszym OPZ mowa jest o realizacji gwarancji w trybie NBD (</w:t>
      </w:r>
      <w:proofErr w:type="spellStart"/>
      <w:r w:rsidRPr="001D330F">
        <w:t>Next</w:t>
      </w:r>
      <w:proofErr w:type="spellEnd"/>
      <w:r w:rsidRPr="001D330F">
        <w:t xml:space="preserve"> Business Day), należy przez to rozumieć przyjęcie zgłoszenia awarii oraz podjęcie działań serwisowych, w tym wysyłkę sprawnego urządzenia zastępczego, urządzenia na wymianę albo części zamiennej, najpóźniej w następnym dniu roboczym po dniu przyjęcia zgłoszenia. Zamawiający nie wymaga fizycznego dostarczenia sprzętu do siedziby Zamawiającego w następnym dniu roboczym po zgłoszeniu. Naprawa albo wymiana urządzenia na sprawne, wolne od wad, nastąpi nie później niż w terminie 10 dni roboczych od dnia przyjęcia zgłoszenia, o ile wymagania szczegółowe dla danej pozycji nie przewidują terminu krótszego;</w:t>
      </w:r>
    </w:p>
    <w:p w14:paraId="35DABDA5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</w:pPr>
      <w:r w:rsidRPr="001D330F">
        <w:rPr>
          <w:b/>
        </w:rPr>
        <w:t>Postanowienia dotyczące nośników danych (dysków):</w:t>
      </w:r>
    </w:p>
    <w:p w14:paraId="23AA3630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</w:pPr>
      <w:r w:rsidRPr="001D330F">
        <w:t>W przypadku awarii, uszkodzenia lub wymiany dysku twardego (HDD/SSD) wchodzącego w skład dostarczonego sprzętu:</w:t>
      </w:r>
    </w:p>
    <w:p w14:paraId="53EDA1B5" w14:textId="77777777" w:rsidR="00087B57" w:rsidRPr="001D330F" w:rsidRDefault="00087B57" w:rsidP="007D6D40">
      <w:pPr>
        <w:pStyle w:val="Akapitzlist"/>
        <w:numPr>
          <w:ilvl w:val="2"/>
          <w:numId w:val="2"/>
        </w:numPr>
        <w:spacing w:after="0" w:line="276" w:lineRule="auto"/>
      </w:pPr>
      <w:r w:rsidRPr="001D330F">
        <w:t>Uszkodzony dysk pozostaje u Zamawiającego i nie podlega zwrotowi Wykonawcy ani producentowi.</w:t>
      </w:r>
    </w:p>
    <w:p w14:paraId="5E618786" w14:textId="77777777" w:rsidR="00087B57" w:rsidRPr="001D330F" w:rsidRDefault="00087B57" w:rsidP="007D6D40">
      <w:pPr>
        <w:pStyle w:val="Akapitzlist"/>
        <w:numPr>
          <w:ilvl w:val="2"/>
          <w:numId w:val="2"/>
        </w:numPr>
        <w:spacing w:after="0" w:line="276" w:lineRule="auto"/>
      </w:pPr>
      <w:r w:rsidRPr="001D330F">
        <w:lastRenderedPageBreak/>
        <w:t>Wykonawca zobowiązany jest do dostarczenia nowego, sprawnego dysku w miejsce uszkodzonego, bez dodatkowych kosztów dla Zamawiającego (w ramach gwarancji/serwisu).</w:t>
      </w:r>
    </w:p>
    <w:p w14:paraId="5E9919A9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</w:pPr>
      <w:r w:rsidRPr="001D330F">
        <w:t>Zapis ten ma na celu zapewnienie bezpieczeństwa danych przechowywanych na nośnikach, niezależnie od ich stanu technicznego.</w:t>
      </w:r>
    </w:p>
    <w:p w14:paraId="327A5D82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</w:pPr>
      <w:r w:rsidRPr="001D330F">
        <w:t>Wykonawca uwzględnia powyższe postanowienia przy kalkulacji ceny oferty oraz przy realizacji usług serwisowych.</w:t>
      </w:r>
    </w:p>
    <w:p w14:paraId="1B621A66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</w:pPr>
      <w:r w:rsidRPr="001D330F">
        <w:t>Zamawiający zastrzega sobie prawo do samodzielnego zniszczenia lub utylizacji uszkodzonych nośników zgodnie z obowiązującymi procedurami bezpieczeństwa i ochrony danych.</w:t>
      </w:r>
    </w:p>
    <w:p w14:paraId="1D9B6A30" w14:textId="77777777" w:rsidR="00087B57" w:rsidRPr="001D330F" w:rsidRDefault="00087B57" w:rsidP="007D6D40">
      <w:pPr>
        <w:pStyle w:val="Akapitzlist"/>
        <w:numPr>
          <w:ilvl w:val="0"/>
          <w:numId w:val="2"/>
        </w:numPr>
        <w:spacing w:after="0" w:line="276" w:lineRule="auto"/>
        <w:rPr>
          <w:b/>
        </w:rPr>
      </w:pPr>
      <w:r w:rsidRPr="001D330F">
        <w:rPr>
          <w:b/>
        </w:rPr>
        <w:t>Oprogramowanie</w:t>
      </w:r>
    </w:p>
    <w:p w14:paraId="6E457094" w14:textId="77777777" w:rsidR="00087B57" w:rsidRPr="001D330F" w:rsidRDefault="00087B57" w:rsidP="007D6D40">
      <w:pPr>
        <w:pStyle w:val="Akapitzlist"/>
        <w:numPr>
          <w:ilvl w:val="1"/>
          <w:numId w:val="2"/>
        </w:numPr>
        <w:spacing w:after="0" w:line="276" w:lineRule="auto"/>
        <w:rPr>
          <w:b/>
        </w:rPr>
      </w:pPr>
      <w:r w:rsidRPr="001D330F">
        <w:t>oprogramowanie powinno posiadać gwarancję obejmującą swoim zakresem poprawność działania w zakresie wdrożonych funkcjonalności wg stanu na dzień podpisania stosownego protokołu odbioru (chyba że zapisy szczegółowe stanowią inaczej);</w:t>
      </w:r>
    </w:p>
    <w:p w14:paraId="78FCBFFE" w14:textId="77777777" w:rsidR="00087B57" w:rsidRPr="001D330F" w:rsidRDefault="00087B57" w:rsidP="007D6D40">
      <w:pPr>
        <w:pStyle w:val="Akapitzlist3"/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1D330F">
        <w:rPr>
          <w:szCs w:val="22"/>
        </w:rPr>
        <w:t>Dostarczony sprzęt i oprogramowanie powinny zostać zamontowane, zainstalowane i skonfigurowane zgodnie z wymaganiami opisanymi w dalszej części załącznika,</w:t>
      </w:r>
      <w:r w:rsidRPr="001D330F">
        <w:rPr>
          <w:szCs w:val="22"/>
        </w:rPr>
        <w:br/>
        <w:t xml:space="preserve">w miejscach wskazanych przez Zamawiającego. </w:t>
      </w:r>
    </w:p>
    <w:p w14:paraId="135E7893" w14:textId="77777777" w:rsidR="00C158E9" w:rsidRPr="001D330F" w:rsidRDefault="00C158E9" w:rsidP="007D6D40">
      <w:pPr>
        <w:pStyle w:val="Akapitzlist3"/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1D330F">
        <w:rPr>
          <w:szCs w:val="22"/>
        </w:rPr>
        <w:t xml:space="preserve">Zamawiający wymaga, aby oferowane świadczenie, w tym wszystkie produkty ICT, usługi ICT oraz procesy ICT wykorzystywane do realizacji zamówienia, zarówno jako elementy główne, jak i komponenty, elementy środowiska świadczenia usługi lub rozwiązania towarzyszące, nie obejmowało: </w:t>
      </w:r>
    </w:p>
    <w:p w14:paraId="2A445846" w14:textId="77777777" w:rsidR="00C158E9" w:rsidRPr="001D330F" w:rsidRDefault="00C158E9" w:rsidP="007D6D40">
      <w:pPr>
        <w:pStyle w:val="Akapitzlist3"/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1D330F">
        <w:rPr>
          <w:szCs w:val="22"/>
        </w:rPr>
        <w:t xml:space="preserve">produktów ICT, usług ICT lub procesów ICT wskazanych w rekomendacji, o której mowa w art. 33 ust. 4 ustawy z dnia 5 lipca 2018 r. o krajowym systemie cyberbezpieczeństwa (t.j. Dz.U. z 2026 r. poz. 20, ze zm.), stwierdzającej ich negatywny wpływ na podstawowy interes bezpieczeństwa państwa; </w:t>
      </w:r>
    </w:p>
    <w:p w14:paraId="1AFB4A1A" w14:textId="77777777" w:rsidR="00C158E9" w:rsidRPr="001D330F" w:rsidRDefault="00C158E9" w:rsidP="007D6D40">
      <w:pPr>
        <w:pStyle w:val="Akapitzlist3"/>
        <w:numPr>
          <w:ilvl w:val="1"/>
          <w:numId w:val="2"/>
        </w:numPr>
        <w:spacing w:line="276" w:lineRule="auto"/>
        <w:jc w:val="both"/>
        <w:rPr>
          <w:szCs w:val="22"/>
        </w:rPr>
      </w:pPr>
      <w:r w:rsidRPr="001D330F">
        <w:rPr>
          <w:szCs w:val="22"/>
        </w:rPr>
        <w:t xml:space="preserve">produktu ICT, którego typ został określony w decyzji w sprawie uznania dostawcy za dostawcę wysokiego ryzyka, o której mowa w art. 67b ust. 15 ustawy z dnia 5 lipca 2018 r. o krajowym systemie cyberbezpieczeństwa (t.j. Dz.U. z 2026 r. poz. 20, ze zm.), ogłoszonej w Dzienniku Urzędowym Rzeczypospolitej Polskiej „Monitor Polski”, ani usług ICT lub procesów ICT określonych w tej decyzji – według stanu na dzień składania ofert. </w:t>
      </w:r>
    </w:p>
    <w:p w14:paraId="355684AA" w14:textId="77777777" w:rsidR="00C158E9" w:rsidRPr="001D330F" w:rsidRDefault="00C158E9" w:rsidP="007D6D40">
      <w:pPr>
        <w:pStyle w:val="Akapitzlist3"/>
        <w:numPr>
          <w:ilvl w:val="0"/>
          <w:numId w:val="2"/>
        </w:numPr>
        <w:spacing w:line="276" w:lineRule="auto"/>
        <w:jc w:val="both"/>
        <w:rPr>
          <w:szCs w:val="22"/>
        </w:rPr>
      </w:pPr>
      <w:r w:rsidRPr="001D330F">
        <w:rPr>
          <w:szCs w:val="22"/>
        </w:rPr>
        <w:t xml:space="preserve">Niespełnienie powyższego wymagania skutkuje odrzuceniem oferty na podstawie art. 226 ust. 1 pkt 5 ustawy Pzp jako niezgodność treści oferty z warunkami zamówienia. </w:t>
      </w:r>
    </w:p>
    <w:p w14:paraId="532C3098" w14:textId="77777777" w:rsidR="00087B57" w:rsidRPr="001D330F" w:rsidRDefault="00087B57" w:rsidP="00087B57">
      <w:pPr>
        <w:spacing w:line="276" w:lineRule="auto"/>
        <w:jc w:val="both"/>
      </w:pPr>
    </w:p>
    <w:p w14:paraId="615111F5" w14:textId="77777777" w:rsidR="00A62028" w:rsidRPr="001D330F" w:rsidRDefault="00087B57" w:rsidP="00087B57">
      <w:pPr>
        <w:spacing w:line="276" w:lineRule="auto"/>
        <w:jc w:val="both"/>
        <w:sectPr w:rsidR="00A62028" w:rsidRPr="001D330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  <w:r w:rsidRPr="001D330F">
        <w:t>UWAGA. Powyższe zapisy gwarancyjne znajdują zastosowanie w każdym przypadku i podlegają modyfikacji o uregulowania szczególne znajdujące w dalszej części OPZ.</w:t>
      </w:r>
    </w:p>
    <w:p w14:paraId="7E2ABC91" w14:textId="77777777" w:rsidR="0054119D" w:rsidRPr="001D330F" w:rsidRDefault="004E1E1E">
      <w:pPr>
        <w:spacing w:line="276" w:lineRule="auto"/>
      </w:pPr>
      <w:r w:rsidRPr="001D330F">
        <w:rPr>
          <w:b/>
          <w:bCs/>
        </w:rPr>
        <w:lastRenderedPageBreak/>
        <w:t>Równoważność rozwiązań</w:t>
      </w:r>
    </w:p>
    <w:p w14:paraId="4890FB57" w14:textId="77777777" w:rsidR="0054119D" w:rsidRPr="001D330F" w:rsidRDefault="004E1E1E">
      <w:pPr>
        <w:spacing w:line="276" w:lineRule="auto"/>
      </w:pPr>
      <w:r w:rsidRPr="001D330F">
        <w:t>1. Wszędzie tam, gdzie w niniejszym OPZ przedmiot zamówienia został opisany przez odniesienie do znaków towarowych, patentów, pochodzenia, źródła lub szczególnego procesu charakteryzującego produkty lub usługi dostarczane przez konkretnego wykonawcę, a także przez odniesienie do norm, ocen technicznych, specyfikacji technicznych lub systemów referencji technicznych, każdemu takiemu odniesieniu towarzyszą wyrazy „lub równoważne” („lub równoważny”, „lub równoważna”), zgodnie z art. 99 ust. 5 oraz art. 101 ust. 4 ustawy Pzp. Odniesienia te mają charakter wyłącznie przykładowy i służą określeniu wymaganego poziomu funkcjonalności, wydajności, jakości i bezpieczeństwa, a nie wskazaniu konkretnego produktu lub producenta.</w:t>
      </w:r>
    </w:p>
    <w:p w14:paraId="7D070B66" w14:textId="77777777" w:rsidR="0054119D" w:rsidRPr="001D330F" w:rsidRDefault="004E1E1E">
      <w:pPr>
        <w:spacing w:line="276" w:lineRule="auto"/>
      </w:pPr>
      <w:r w:rsidRPr="001D330F">
        <w:t>2. Zamawiający dopuszcza zaoferowanie rozwiązań równoważnych. Wykonawca, który powołuje się na rozwiązania równoważne, jest obowiązany udowodnić w ofercie, że oferowane dostawy spełniają w stopniu równoważnym wymagania określone w OPZ (art. 101 ust. 5 oraz art. 104 ustawy Pzp), w szczególności przez załączenie kart katalogowych, dokumentacji technicznej producenta, wyników testów, certyfikatów albo sprawozdań z badań jednostki oceniającej zgodność.</w:t>
      </w:r>
    </w:p>
    <w:p w14:paraId="124D3D3F" w14:textId="77777777" w:rsidR="0054119D" w:rsidRPr="001D330F" w:rsidRDefault="004E1E1E">
      <w:pPr>
        <w:spacing w:line="276" w:lineRule="auto"/>
      </w:pPr>
      <w:r w:rsidRPr="001D330F">
        <w:t>3. Kryteria stosowane w celu oceny równoważności (art. 99 ust. 6 ustawy Pzp). Zamawiający uzna rozwiązanie za równoważne, jeżeli spełnia ono kryteria właściwe dla danej kategorii odniesienia:</w:t>
      </w:r>
    </w:p>
    <w:p w14:paraId="383350A9" w14:textId="44991450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>Testy wydajnościowe procesorów (</w:t>
      </w:r>
      <w:proofErr w:type="spellStart"/>
      <w:r w:rsidRPr="001D330F">
        <w:t>PassMark</w:t>
      </w:r>
      <w:proofErr w:type="spellEnd"/>
      <w:r w:rsidRPr="001D330F">
        <w:t xml:space="preserve"> CPU Mark i równoważne) – równoważnym jest publicznie dostępny, powtarzalny test wielowątkowej wydajności procesorów, dla którego opublikowano metodykę pomiaru oraz wyniki dla co najmniej 100 modeli procesorów. Równoważność wykazuje się przez podanie wyniku oferowanego procesora w tym teście oraz wyniku w tym samym teście dla procesora osiągającego w teście </w:t>
      </w:r>
      <w:proofErr w:type="spellStart"/>
      <w:r w:rsidRPr="001D330F">
        <w:t>PassMark</w:t>
      </w:r>
      <w:proofErr w:type="spellEnd"/>
      <w:r w:rsidRPr="001D330F">
        <w:t xml:space="preserve"> CPU Mark wynik równy wymaganemu w OPZ; wynik oferowanego procesora nie może być niższy od tego wyniku odniesienia.</w:t>
      </w:r>
    </w:p>
    <w:p w14:paraId="23AA34C5" w14:textId="2553F71F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 xml:space="preserve">Platformy </w:t>
      </w:r>
      <w:proofErr w:type="spellStart"/>
      <w:r w:rsidRPr="001D330F">
        <w:t>wirtualizacyjne</w:t>
      </w:r>
      <w:proofErr w:type="spellEnd"/>
      <w:r w:rsidRPr="001D330F">
        <w:t xml:space="preserve"> – równoważną jest platforma wirtualizacji serwerów typu </w:t>
      </w:r>
      <w:proofErr w:type="spellStart"/>
      <w:r w:rsidRPr="001D330F">
        <w:t>hypervisor</w:t>
      </w:r>
      <w:proofErr w:type="spellEnd"/>
      <w:r w:rsidRPr="001D330F">
        <w:t xml:space="preserve">, dla której producent oferowanego urządzenia publikuje potwierdzenie zgodności (certyfikat albo wpis na liście kompatybilności), umożliwiająca podłączenie urządzenia jako zewnętrznego repozytorium blokowego lub plikowego przez </w:t>
      </w:r>
      <w:proofErr w:type="spellStart"/>
      <w:r w:rsidRPr="001D330F">
        <w:t>iSCSI</w:t>
      </w:r>
      <w:proofErr w:type="spellEnd"/>
      <w:r w:rsidRPr="001D330F">
        <w:t xml:space="preserve"> albo NFS oraz wykonywanie kopii zapasowych maszyn wirtualnych </w:t>
      </w:r>
      <w:proofErr w:type="spellStart"/>
      <w:r w:rsidRPr="001D330F">
        <w:t>agentowo</w:t>
      </w:r>
      <w:proofErr w:type="spellEnd"/>
      <w:r w:rsidRPr="001D330F">
        <w:t xml:space="preserve"> lub </w:t>
      </w:r>
      <w:proofErr w:type="spellStart"/>
      <w:r w:rsidRPr="001D330F">
        <w:t>bezagentowo</w:t>
      </w:r>
      <w:proofErr w:type="spellEnd"/>
      <w:r w:rsidRPr="001D330F">
        <w:t>.</w:t>
      </w:r>
    </w:p>
    <w:p w14:paraId="53B72715" w14:textId="5C3201D4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 xml:space="preserve">Usługi katalogowe – równoważną jest usługa katalogowa udostępniająca interfejs LDAP v3, obsługująca uwierzytelnianie </w:t>
      </w:r>
      <w:proofErr w:type="spellStart"/>
      <w:r w:rsidRPr="001D330F">
        <w:t>Kerberos</w:t>
      </w:r>
      <w:proofErr w:type="spellEnd"/>
      <w:r w:rsidRPr="001D330F">
        <w:t xml:space="preserve"> albo </w:t>
      </w:r>
      <w:proofErr w:type="spellStart"/>
      <w:r w:rsidRPr="001D330F">
        <w:t>simple</w:t>
      </w:r>
      <w:proofErr w:type="spellEnd"/>
      <w:r w:rsidRPr="001D330F">
        <w:t xml:space="preserve"> bind w kanale zabezpieczonym TLS, umożliwiająca uwierzytelnianie użytkowników oraz odczyt ich przynależności do grup na potrzeby budowy polityk dostępu.</w:t>
      </w:r>
    </w:p>
    <w:p w14:paraId="34632F57" w14:textId="0F1AC10D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>Systemy operacyjne stacji klienckich i serwerów Zamawiającego – wskazane nazwy odnoszą się do środowiska faktycznie eksploatowanego u Zamawiającego i stanowią wymóg kompatybilności oprogramowania, a nie opis przedmiotu dostawy. Równoważnym jest oprogramowanie zapewniające pełną funkcjonalność w tych systemach w wersjach objętych wsparciem producenta systemu w dniu składania ofert.</w:t>
      </w:r>
    </w:p>
    <w:p w14:paraId="5C1BE6DC" w14:textId="2D7194EE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 xml:space="preserve">Dystrybucje systemu Linux klasy </w:t>
      </w:r>
      <w:proofErr w:type="spellStart"/>
      <w:r w:rsidRPr="001D330F">
        <w:t>enterprise</w:t>
      </w:r>
      <w:proofErr w:type="spellEnd"/>
      <w:r w:rsidRPr="001D330F">
        <w:t xml:space="preserve"> – równoważną jest dystrybucja objęta odpłatnym wsparciem producenta, o zadeklarowanym okresie wsparcia nie krótszym niż 5 lat od daty wydania danej wersji, dla której producent oferowanego oprogramowania publikuje pakiet instalacyjny lub potwierdzenie zgodności.</w:t>
      </w:r>
    </w:p>
    <w:p w14:paraId="35745FFD" w14:textId="2FE7EDCC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lastRenderedPageBreak/>
        <w:t>Protokoły komunikacyjne OT/ICS oraz sieciowe – wskazane nazwy protokołów określają standardy wymiany danych stosowane w infrastrukturze automatyki i telemetrii Zamawiającego oraz w systemach z nią współpracujących. Równoważnym jest protokół zapewniający wymianę danych z tymi samymi urządzeniami i systemami w zakresie odczytu i zapisu zmiennych procesowych oraz umożliwiający inspekcję i kontrolę ruchu na poziomie poszczególnych funkcji protokołu. Warunkiem koniecznym jest zachowanie interoperacyjności z posiadanymi przez Zamawiającego sterownikami, modułami telemetrycznymi i systemem monitoringu, bez konieczności ich wymiany lub modyfikacji.</w:t>
      </w:r>
    </w:p>
    <w:p w14:paraId="4C932D20" w14:textId="303790EB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>Normy i specyfikacje techniczne (PN-EN, EN, IEC, ISO, IEEE, RFC, JEDEC i inne) – równoważną jest norma krajowa, europejska lub międzynarodowa albo specyfikacja techniczna określająca w odniesieniu do parametru będącego przedmiotem odniesienia wymagania takie same lub wyższe. Równoważność wykazuje się sprawozdaniem z badań albo certyfikatem jednostki oceniającej zgodność akredytowanej zgodnie z rozporządzeniem Parlamentu Europejskiego i Rady (WE) nr 765/2008, ze wskazaniem zastosowanej normy oraz uzyskanego wyniku.</w:t>
      </w:r>
    </w:p>
    <w:p w14:paraId="4536F1A7" w14:textId="0FAA7610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 xml:space="preserve">Oznaczenia i certyfikaty zgodności (CE, </w:t>
      </w:r>
      <w:proofErr w:type="spellStart"/>
      <w:r w:rsidRPr="001D330F">
        <w:t>RoHS</w:t>
      </w:r>
      <w:proofErr w:type="spellEnd"/>
      <w:r w:rsidRPr="001D330F">
        <w:t>, FCC) – w zakresie, w jakim oznakowanie lub zgodność są obowiązkowe na podstawie przepisów prawa powszechnie obowiązującego, równoważność nie ma zastosowania. W pozostałym zakresie równoważnym jest certyfikat albo deklaracja zgodności potwierdzająca spełnienie tych samych wymagań zasadniczych, wydana przez jednostkę oceniającą zgodność.</w:t>
      </w:r>
    </w:p>
    <w:p w14:paraId="67E16304" w14:textId="359376F3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 xml:space="preserve">Standardy interfejsów, obudów i pamięci (SATA, SAS, </w:t>
      </w:r>
      <w:proofErr w:type="spellStart"/>
      <w:r w:rsidRPr="001D330F">
        <w:t>NVMe</w:t>
      </w:r>
      <w:proofErr w:type="spellEnd"/>
      <w:r w:rsidRPr="001D330F">
        <w:t xml:space="preserve">, </w:t>
      </w:r>
      <w:proofErr w:type="spellStart"/>
      <w:r w:rsidRPr="001D330F">
        <w:t>PCIe</w:t>
      </w:r>
      <w:proofErr w:type="spellEnd"/>
      <w:r w:rsidRPr="001D330F">
        <w:t xml:space="preserve">, U.2, M.2, SFP/SFP+/SFP28, DDR, PC5, szafa </w:t>
      </w:r>
      <w:proofErr w:type="spellStart"/>
      <w:r w:rsidRPr="001D330F">
        <w:t>rack</w:t>
      </w:r>
      <w:proofErr w:type="spellEnd"/>
      <w:r w:rsidRPr="001D330F">
        <w:t xml:space="preserve"> 19", jednostka U) – równoważnym jest interfejs, format lub standard konstrukcyjny o przepustowości nie niższej i opóźnieniu nie wyższym niż wskazane, zapewniający kompatybilność mechaniczną i elektryczną z pozostałymi elementami oferowanego rozwiązania oraz z infrastrukturą techniczną Zamawiającego (szafy, zasilanie, okablowanie), bez konieczności ponoszenia przez Zamawiającego dodatkowych nakładów.</w:t>
      </w:r>
    </w:p>
    <w:p w14:paraId="4CA07801" w14:textId="71E8CF76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 xml:space="preserve">Algorytmy i protokoły kryptograficzne oraz uwierzytelniania (AES, TLS, TOTP, HOTP, OATH, SAE, EAP) – równoważnym jest algorytm lub protokół o </w:t>
      </w:r>
      <w:proofErr w:type="gramStart"/>
      <w:r w:rsidRPr="001D330F">
        <w:t>nie mniejszej</w:t>
      </w:r>
      <w:proofErr w:type="gramEnd"/>
      <w:r w:rsidRPr="001D330F">
        <w:t xml:space="preserve"> sile kryptograficznej, ujęty jako zalecany w aktualnych rekomendacjach ENISA albo NIST i nieoznaczony w nich jako wycofany lub odradzany, przy zachowaniu interoperacyjności z systemami i urządzeniami Zamawiającego.</w:t>
      </w:r>
    </w:p>
    <w:p w14:paraId="43289940" w14:textId="2A7D9663" w:rsidR="0054119D" w:rsidRPr="001D330F" w:rsidRDefault="004E1E1E" w:rsidP="001D330F">
      <w:pPr>
        <w:pStyle w:val="Akapitzlist"/>
        <w:numPr>
          <w:ilvl w:val="0"/>
          <w:numId w:val="58"/>
        </w:numPr>
        <w:spacing w:line="276" w:lineRule="auto"/>
      </w:pPr>
      <w:r w:rsidRPr="001D330F">
        <w:t xml:space="preserve">Stopnie ochrony IP oraz klasy wykonania – równoważnym jest stopień ochrony albo klasa zapewniająca </w:t>
      </w:r>
      <w:proofErr w:type="gramStart"/>
      <w:r w:rsidRPr="001D330F">
        <w:t>nie niższy</w:t>
      </w:r>
      <w:proofErr w:type="gramEnd"/>
      <w:r w:rsidRPr="001D330F">
        <w:t xml:space="preserve"> poziom ochrony przed wnikaniem ciał obcych i wody oraz </w:t>
      </w:r>
      <w:proofErr w:type="gramStart"/>
      <w:r w:rsidRPr="001D330F">
        <w:t>nie gorsze</w:t>
      </w:r>
      <w:proofErr w:type="gramEnd"/>
      <w:r w:rsidRPr="001D330F">
        <w:t xml:space="preserve"> parametry pracy w zakresie wskazanym w OPZ, potwierdzone sprawozdaniem z badań lub dokumentacją producenta.</w:t>
      </w:r>
    </w:p>
    <w:p w14:paraId="078C12C1" w14:textId="77777777" w:rsidR="0054119D" w:rsidRPr="001D330F" w:rsidRDefault="004E1E1E">
      <w:pPr>
        <w:spacing w:line="276" w:lineRule="auto"/>
      </w:pPr>
      <w:r w:rsidRPr="001D330F">
        <w:t>4. Rozwiązanie równoważne nie musi być identyczne z rozwiązaniem opisanym w OPZ. Musi natomiast zapewniać wymagany poziom funkcjonalności, wydajności, bezpieczeństwa i trwałości oraz nie może powodować konieczności ponoszenia przez Zamawiającego dodatkowych kosztów wdrożenia, integracji, licencji lub eksploatacji ani wprowadzania zmian w posiadanej infrastrukturze technicznej i teleinformatycznej.</w:t>
      </w:r>
    </w:p>
    <w:p w14:paraId="23B83C2C" w14:textId="77777777" w:rsidR="0054119D" w:rsidRPr="001D330F" w:rsidRDefault="004E1E1E">
      <w:pPr>
        <w:spacing w:line="276" w:lineRule="auto"/>
      </w:pPr>
      <w:r w:rsidRPr="001D330F">
        <w:t>5. Ocena równoważności dokonywana jest na podstawie dokumentów złożonych wraz z ofertą. Zamawiający nie odrzuci oferty wyłącznie z powodu zaoferowania rozwiązania równoważnego, jeżeli Wykonawca wykaże spełnienie kryteriów, o których mowa w ust. 3.</w:t>
      </w:r>
    </w:p>
    <w:p w14:paraId="6DE93774" w14:textId="77777777" w:rsidR="0054119D" w:rsidRPr="001D330F" w:rsidRDefault="004E1E1E">
      <w:pPr>
        <w:spacing w:line="276" w:lineRule="auto"/>
      </w:pPr>
      <w:r w:rsidRPr="001D330F">
        <w:lastRenderedPageBreak/>
        <w:t xml:space="preserve">6. Nazwy pozycji wskazane w tabelach w pkt 1.2 OPZ (kolumna „Nazwa kosztu”) </w:t>
      </w:r>
      <w:r w:rsidRPr="001D330F">
        <w:t xml:space="preserve">oraz w tytułach rozdziałów 2.1–2.3</w:t>
      </w:r>
      <w:r w:rsidRPr="001D330F">
        <w:t xml:space="preserve"> stanowią odwzorowanie katalogu kosztów kwalifikowalnych projektu i nie stanowią opisu przedmiotu zamówienia. Wymagania techniczne i funkcjonalne, które Wykonawca zobowiązany jest spełnić, </w:t>
      </w:r>
      <w:r w:rsidRPr="001D330F">
        <w:t xml:space="preserve">określa wyłącznie rozdział 2 niniejszego OPZ</w:t>
      </w:r>
      <w:r w:rsidRPr="001D330F">
        <w:t xml:space="preserve">.</w:t>
      </w:r>
    </w:p>
    <w:p w14:paraId="27014452" w14:textId="77777777" w:rsidR="002B04D1" w:rsidRPr="001D330F" w:rsidRDefault="00087B57" w:rsidP="002825F2">
      <w:pPr>
        <w:pStyle w:val="Nagwek2"/>
        <w:spacing w:line="276" w:lineRule="auto"/>
        <w:rPr>
          <w:sz w:val="22"/>
          <w:szCs w:val="22"/>
        </w:rPr>
      </w:pPr>
      <w:bookmarkStart w:id="2" w:name="_Toc235519350"/>
      <w:r w:rsidRPr="001D330F">
        <w:rPr>
          <w:sz w:val="22"/>
          <w:szCs w:val="22"/>
        </w:rPr>
        <w:t>Zakres zamówienia</w:t>
      </w:r>
      <w:bookmarkEnd w:id="2"/>
    </w:p>
    <w:p w14:paraId="4B6C9CE2" w14:textId="77777777" w:rsidR="005551A8" w:rsidRPr="001D330F" w:rsidRDefault="00A56A2C" w:rsidP="005551A8">
      <w:pPr>
        <w:pStyle w:val="Nagwek3"/>
        <w:spacing w:line="276" w:lineRule="auto"/>
        <w:rPr>
          <w:sz w:val="22"/>
          <w:szCs w:val="22"/>
        </w:rPr>
      </w:pPr>
      <w:bookmarkStart w:id="3" w:name="_Toc235519352"/>
      <w:bookmarkEnd w:id="3"/>
      <w:r w:rsidRPr="001D330F">
        <w:rPr>
          <w:sz w:val="22"/>
          <w:szCs w:val="22"/>
        </w:rPr>
        <w:t>Dostawa i wdrożenie urządzeń i systemów OT</w:t>
      </w:r>
    </w:p>
    <w:tbl>
      <w:tblPr>
        <w:tblStyle w:val="Tabela-Siatka1"/>
        <w:tblW w:w="0" w:type="auto"/>
        <w:tblLayout w:type="fixed"/>
        <w:tblLook w:val="04A0" w:firstRow="1" w:lastRow="0" w:firstColumn="1" w:lastColumn="0" w:noHBand="0" w:noVBand="1"/>
      </w:tblPr>
      <w:tblGrid>
        <w:gridCol w:w="1304"/>
        <w:gridCol w:w="2381"/>
        <w:gridCol w:w="2154"/>
        <w:gridCol w:w="737"/>
        <w:gridCol w:w="624"/>
        <w:gridCol w:w="964"/>
        <w:gridCol w:w="907"/>
      </w:tblGrid>
      <w:tr w:rsidR="005551A8" w:rsidRPr="001D330F" w14:paraId="3AF9DFFE" w14:textId="77777777" w:rsidTr="00FE0ABD">
        <w:trPr>
          <w:trHeight w:val="615"/>
        </w:trPr>
        <w:tc>
          <w:tcPr>
            <w:tcW w:w="1304" w:type="dxa"/>
            <w:hideMark/>
          </w:tcPr>
          <w:p w14:paraId="20CB625F" w14:textId="77777777" w:rsidR="005551A8" w:rsidRPr="001D330F" w:rsidRDefault="005551A8" w:rsidP="00FE0ABD">
            <w:pPr>
              <w:spacing w:after="20"/>
              <w:jc w:val="center"/>
              <w:rPr>
                <w:b/>
                <w:bCs/>
                <w:szCs w:val="22"/>
              </w:rPr>
            </w:pPr>
            <w:r w:rsidRPr="001D330F">
              <w:rPr>
                <w:b/>
                <w:bCs/>
                <w:szCs w:val="22"/>
              </w:rPr>
              <w:t>Zadanie</w:t>
            </w:r>
          </w:p>
        </w:tc>
        <w:tc>
          <w:tcPr>
            <w:tcW w:w="2381" w:type="dxa"/>
            <w:hideMark/>
          </w:tcPr>
          <w:p w14:paraId="358988F0" w14:textId="77777777" w:rsidR="005551A8" w:rsidRPr="001D330F" w:rsidRDefault="005551A8" w:rsidP="00FE0ABD">
            <w:pPr>
              <w:spacing w:after="20"/>
              <w:jc w:val="center"/>
              <w:rPr>
                <w:b/>
                <w:bCs/>
                <w:szCs w:val="22"/>
              </w:rPr>
            </w:pPr>
            <w:r w:rsidRPr="001D330F">
              <w:rPr>
                <w:b/>
                <w:bCs/>
                <w:szCs w:val="22"/>
              </w:rPr>
              <w:t>Kategoria kosztu</w:t>
            </w:r>
          </w:p>
        </w:tc>
        <w:tc>
          <w:tcPr>
            <w:tcW w:w="2154" w:type="dxa"/>
            <w:hideMark/>
          </w:tcPr>
          <w:p w14:paraId="78574264" w14:textId="77777777" w:rsidR="005551A8" w:rsidRPr="001D330F" w:rsidRDefault="005551A8" w:rsidP="00FE0ABD">
            <w:pPr>
              <w:spacing w:after="20"/>
              <w:jc w:val="center"/>
              <w:rPr>
                <w:b/>
                <w:bCs/>
                <w:szCs w:val="22"/>
              </w:rPr>
            </w:pPr>
            <w:r w:rsidRPr="001D330F">
              <w:rPr>
                <w:b/>
                <w:bCs/>
                <w:szCs w:val="22"/>
              </w:rPr>
              <w:t>Nazwa kosztu</w:t>
            </w:r>
          </w:p>
        </w:tc>
        <w:tc>
          <w:tcPr>
            <w:tcW w:w="737" w:type="dxa"/>
            <w:noWrap/>
            <w:hideMark/>
          </w:tcPr>
          <w:p w14:paraId="469AE30D" w14:textId="77777777" w:rsidR="005551A8" w:rsidRPr="001D330F" w:rsidRDefault="005551A8" w:rsidP="00FE0ABD">
            <w:pPr>
              <w:spacing w:after="20"/>
              <w:jc w:val="center"/>
              <w:rPr>
                <w:b/>
                <w:bCs/>
                <w:szCs w:val="22"/>
              </w:rPr>
            </w:pPr>
            <w:r w:rsidRPr="001D330F">
              <w:rPr>
                <w:b/>
                <w:bCs/>
                <w:szCs w:val="22"/>
              </w:rPr>
              <w:t>Liczba jednostek</w:t>
            </w:r>
          </w:p>
        </w:tc>
        <w:tc>
          <w:tcPr>
            <w:tcW w:w="624" w:type="dxa"/>
            <w:noWrap/>
          </w:tcPr>
          <w:p w14:paraId="3F0532C7" w14:textId="77777777" w:rsidR="005551A8" w:rsidRPr="001D330F" w:rsidRDefault="005551A8" w:rsidP="00FE0ABD">
            <w:pPr>
              <w:spacing w:after="20"/>
              <w:jc w:val="center"/>
              <w:rPr>
                <w:b/>
                <w:bCs/>
                <w:szCs w:val="22"/>
              </w:rPr>
            </w:pPr>
            <w:r w:rsidRPr="001D330F">
              <w:rPr>
                <w:b/>
                <w:bCs/>
                <w:szCs w:val="22"/>
              </w:rPr>
              <w:t>J.m.</w:t>
            </w:r>
          </w:p>
        </w:tc>
        <w:tc>
          <w:tcPr>
            <w:tcW w:w="964" w:type="dxa"/>
            <w:noWrap/>
          </w:tcPr>
          <w:p w14:paraId="4579D9F4" w14:textId="77777777" w:rsidR="005551A8" w:rsidRPr="001D330F" w:rsidRDefault="005551A8" w:rsidP="00FE0ABD">
            <w:pPr>
              <w:spacing w:after="20"/>
              <w:jc w:val="center"/>
              <w:rPr>
                <w:b/>
                <w:bCs/>
                <w:szCs w:val="22"/>
              </w:rPr>
            </w:pPr>
            <w:r w:rsidRPr="001D330F">
              <w:rPr>
                <w:b/>
                <w:bCs/>
                <w:szCs w:val="22"/>
              </w:rPr>
              <w:t>Długość gwarancji i suportu (m-ce)</w:t>
            </w:r>
          </w:p>
        </w:tc>
        <w:tc>
          <w:tcPr>
            <w:tcW w:w="907" w:type="dxa"/>
          </w:tcPr>
          <w:p w14:paraId="6EAB416D" w14:textId="77777777" w:rsidR="005551A8" w:rsidRPr="001D330F" w:rsidRDefault="005551A8" w:rsidP="00FE0ABD">
            <w:pPr>
              <w:spacing w:after="20"/>
              <w:jc w:val="center"/>
              <w:rPr>
                <w:b/>
                <w:bCs/>
                <w:szCs w:val="22"/>
              </w:rPr>
            </w:pPr>
            <w:r w:rsidRPr="001D330F">
              <w:rPr>
                <w:b/>
                <w:bCs/>
                <w:szCs w:val="22"/>
              </w:rPr>
              <w:t>Rodzaj gwarancji</w:t>
            </w:r>
          </w:p>
        </w:tc>
      </w:tr>
      <w:tr w:rsidR="005551A8" w:rsidRPr="001D330F" w14:paraId="43492018" w14:textId="77777777" w:rsidTr="00FE0ABD">
        <w:trPr>
          <w:trHeight w:val="615"/>
        </w:trPr>
        <w:tc>
          <w:tcPr>
            <w:tcW w:w="1304" w:type="dxa"/>
          </w:tcPr>
          <w:p w14:paraId="1F12F49C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>Zadanie 4 – Obszar techniczny OT</w:t>
            </w:r>
          </w:p>
        </w:tc>
        <w:tc>
          <w:tcPr>
            <w:tcW w:w="2381" w:type="dxa"/>
          </w:tcPr>
          <w:p w14:paraId="353EB647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>S35. Stacja robocza fizyczna lub wirtualna z rolą stacji przesiadkowej</w:t>
            </w:r>
          </w:p>
        </w:tc>
        <w:tc>
          <w:tcPr>
            <w:tcW w:w="2154" w:type="dxa"/>
          </w:tcPr>
          <w:p w14:paraId="41E37EB6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>Stacja przesiadkowa OT</w:t>
            </w:r>
          </w:p>
        </w:tc>
        <w:tc>
          <w:tcPr>
            <w:tcW w:w="737" w:type="dxa"/>
            <w:noWrap/>
          </w:tcPr>
          <w:p w14:paraId="4F80D971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1</w:t>
            </w:r>
          </w:p>
        </w:tc>
        <w:tc>
          <w:tcPr>
            <w:tcW w:w="624" w:type="dxa"/>
            <w:noWrap/>
          </w:tcPr>
          <w:p w14:paraId="1D22AF47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Szt.</w:t>
            </w:r>
          </w:p>
        </w:tc>
        <w:tc>
          <w:tcPr>
            <w:tcW w:w="964" w:type="dxa"/>
            <w:noWrap/>
          </w:tcPr>
          <w:p w14:paraId="56AAE77F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36</w:t>
            </w:r>
          </w:p>
        </w:tc>
        <w:tc>
          <w:tcPr>
            <w:tcW w:w="907" w:type="dxa"/>
          </w:tcPr>
          <w:p w14:paraId="757FCF85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Producenta</w:t>
            </w:r>
          </w:p>
        </w:tc>
      </w:tr>
      <w:tr w:rsidR="005551A8" w:rsidRPr="001D330F" w14:paraId="66A902FC" w14:textId="77777777" w:rsidTr="00FE0ABD">
        <w:trPr>
          <w:trHeight w:val="615"/>
        </w:trPr>
        <w:tc>
          <w:tcPr>
            <w:tcW w:w="1304" w:type="dxa"/>
            <w:hideMark/>
          </w:tcPr>
          <w:p w14:paraId="67611F71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 xml:space="preserve"> Zadanie 4 – Obszar techniczny OT</w:t>
            </w:r>
          </w:p>
        </w:tc>
        <w:tc>
          <w:tcPr>
            <w:tcW w:w="2381" w:type="dxa"/>
            <w:hideMark/>
          </w:tcPr>
          <w:p w14:paraId="14003361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 xml:space="preserve">U39. Usługi konfiguracji i </w:t>
            </w:r>
            <w:proofErr w:type="spellStart"/>
            <w:r w:rsidRPr="001D330F">
              <w:rPr>
                <w:szCs w:val="22"/>
              </w:rPr>
              <w:t>hardeningu</w:t>
            </w:r>
            <w:proofErr w:type="spellEnd"/>
            <w:r w:rsidRPr="001D330F">
              <w:rPr>
                <w:szCs w:val="22"/>
              </w:rPr>
              <w:t xml:space="preserve"> systemów/urządzeń IT/OT/ICS/</w:t>
            </w:r>
            <w:proofErr w:type="spellStart"/>
            <w:r w:rsidRPr="001D330F">
              <w:rPr>
                <w:szCs w:val="22"/>
              </w:rPr>
              <w:t>IIoT</w:t>
            </w:r>
            <w:proofErr w:type="spellEnd"/>
          </w:p>
        </w:tc>
        <w:tc>
          <w:tcPr>
            <w:tcW w:w="2154" w:type="dxa"/>
            <w:hideMark/>
          </w:tcPr>
          <w:p w14:paraId="66BFD758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 xml:space="preserve">Usługa konfiguracji i </w:t>
            </w:r>
            <w:proofErr w:type="spellStart"/>
            <w:r w:rsidRPr="001D330F">
              <w:rPr>
                <w:szCs w:val="22"/>
              </w:rPr>
              <w:t>hardeningu</w:t>
            </w:r>
            <w:proofErr w:type="spellEnd"/>
            <w:r w:rsidRPr="001D330F">
              <w:rPr>
                <w:szCs w:val="22"/>
              </w:rPr>
              <w:t xml:space="preserve"> systemów</w:t>
            </w:r>
          </w:p>
        </w:tc>
        <w:tc>
          <w:tcPr>
            <w:tcW w:w="737" w:type="dxa"/>
            <w:noWrap/>
            <w:hideMark/>
          </w:tcPr>
          <w:p w14:paraId="68B53344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1</w:t>
            </w:r>
          </w:p>
        </w:tc>
        <w:tc>
          <w:tcPr>
            <w:tcW w:w="624" w:type="dxa"/>
            <w:noWrap/>
          </w:tcPr>
          <w:p w14:paraId="0A7CB1EA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Szt.</w:t>
            </w:r>
          </w:p>
        </w:tc>
        <w:tc>
          <w:tcPr>
            <w:tcW w:w="964" w:type="dxa"/>
            <w:noWrap/>
          </w:tcPr>
          <w:p w14:paraId="6CC21B4C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Nie dotyczy</w:t>
            </w:r>
          </w:p>
        </w:tc>
        <w:tc>
          <w:tcPr>
            <w:tcW w:w="907" w:type="dxa"/>
          </w:tcPr>
          <w:p w14:paraId="6D9E22C6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Wykonawcy</w:t>
            </w:r>
          </w:p>
        </w:tc>
      </w:tr>
      <w:tr w:rsidR="005551A8" w:rsidRPr="001D330F" w14:paraId="2DC6A95F" w14:textId="77777777" w:rsidTr="00FE0ABD">
        <w:trPr>
          <w:trHeight w:val="615"/>
        </w:trPr>
        <w:tc>
          <w:tcPr>
            <w:tcW w:w="1304" w:type="dxa"/>
            <w:hideMark/>
          </w:tcPr>
          <w:p w14:paraId="7CE45D87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>Zadanie 4 – Obszar techniczny OT</w:t>
            </w:r>
          </w:p>
        </w:tc>
        <w:tc>
          <w:tcPr>
            <w:tcW w:w="2381" w:type="dxa"/>
            <w:hideMark/>
          </w:tcPr>
          <w:p w14:paraId="5FE4F808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>U10. Utrzymanie i eksploatacja urządzeń/oprogramowania/rozwiązania z zakresu bezpieczeństwa IT/OT/ICS/</w:t>
            </w:r>
            <w:proofErr w:type="spellStart"/>
            <w:r w:rsidRPr="001D330F">
              <w:rPr>
                <w:szCs w:val="22"/>
              </w:rPr>
              <w:t>IIoT</w:t>
            </w:r>
            <w:proofErr w:type="spellEnd"/>
          </w:p>
        </w:tc>
        <w:tc>
          <w:tcPr>
            <w:tcW w:w="2154" w:type="dxa"/>
            <w:hideMark/>
          </w:tcPr>
          <w:p w14:paraId="6E0C2BA3" w14:textId="77777777" w:rsidR="005551A8" w:rsidRPr="001D330F" w:rsidRDefault="005551A8" w:rsidP="00FE0ABD">
            <w:pPr>
              <w:spacing w:after="20"/>
              <w:rPr>
                <w:szCs w:val="22"/>
              </w:rPr>
            </w:pPr>
            <w:r w:rsidRPr="001D330F">
              <w:rPr>
                <w:szCs w:val="22"/>
              </w:rPr>
              <w:t>Usługa utrzymania wdrożonych rozwiązań – 36 miesięcy od odbioru końcowego</w:t>
            </w:r>
          </w:p>
        </w:tc>
        <w:tc>
          <w:tcPr>
            <w:tcW w:w="737" w:type="dxa"/>
            <w:noWrap/>
            <w:hideMark/>
          </w:tcPr>
          <w:p w14:paraId="63F2F929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1</w:t>
            </w:r>
          </w:p>
        </w:tc>
        <w:tc>
          <w:tcPr>
            <w:tcW w:w="624" w:type="dxa"/>
            <w:noWrap/>
          </w:tcPr>
          <w:p w14:paraId="7B4D77ED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Szt.</w:t>
            </w:r>
          </w:p>
        </w:tc>
        <w:tc>
          <w:tcPr>
            <w:tcW w:w="964" w:type="dxa"/>
            <w:noWrap/>
          </w:tcPr>
          <w:p w14:paraId="65FEBDB9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Nie dotyczy</w:t>
            </w:r>
          </w:p>
        </w:tc>
        <w:tc>
          <w:tcPr>
            <w:tcW w:w="907" w:type="dxa"/>
          </w:tcPr>
          <w:p w14:paraId="78C16182" w14:textId="77777777" w:rsidR="005551A8" w:rsidRPr="001D330F" w:rsidRDefault="005551A8" w:rsidP="00FE0ABD">
            <w:pPr>
              <w:spacing w:after="20"/>
              <w:jc w:val="right"/>
              <w:rPr>
                <w:szCs w:val="22"/>
              </w:rPr>
            </w:pPr>
            <w:r w:rsidRPr="001D330F">
              <w:rPr>
                <w:szCs w:val="22"/>
              </w:rPr>
              <w:t>Wykonawcy</w:t>
            </w:r>
          </w:p>
        </w:tc>
      </w:tr>
    </w:tbl>
    <w:p w14:paraId="395C5FC7" w14:textId="77777777" w:rsidR="005551A8" w:rsidRPr="001D330F" w:rsidRDefault="005551A8" w:rsidP="005551A8">
      <w:pPr>
        <w:spacing w:line="276" w:lineRule="auto"/>
      </w:pPr>
    </w:p>
    <w:p w14:paraId="529F3490" w14:textId="77777777" w:rsidR="004955D9" w:rsidRPr="001D330F" w:rsidRDefault="004955D9" w:rsidP="00D322D9">
      <w:pPr>
        <w:spacing w:line="276" w:lineRule="auto"/>
        <w:sectPr w:rsidR="004955D9" w:rsidRPr="001D330F" w:rsidSect="00A62028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3D108B57" w14:textId="77777777" w:rsidR="007B3A4E" w:rsidRPr="001D330F" w:rsidRDefault="007B3A4E" w:rsidP="007B3A4E">
      <w:pPr>
        <w:pStyle w:val="Nagwek1"/>
        <w:spacing w:line="276" w:lineRule="auto"/>
        <w:rPr>
          <w:sz w:val="22"/>
          <w:szCs w:val="22"/>
        </w:rPr>
      </w:pPr>
      <w:bookmarkStart w:id="7" w:name="_Toc235519363"/>
      <w:r w:rsidRPr="001D330F">
        <w:rPr>
          <w:sz w:val="22"/>
          <w:szCs w:val="22"/>
        </w:rPr>
        <w:t xml:space="preserve">Szczegółowy opis pozycji – </w:t>
      </w:r>
      <w:r w:rsidRPr="001D330F">
        <w:rPr>
          <w:sz w:val="22"/>
          <w:szCs w:val="22"/>
        </w:rPr>
        <w:t xml:space="preserve">usługi OT</w:t>
      </w:r>
      <w:bookmarkEnd w:id="7"/>
    </w:p>
    <w:p w14:paraId="3EBE6DD6" w14:textId="77777777" w:rsidR="0094586B" w:rsidRPr="001D330F" w:rsidRDefault="0094586B" w:rsidP="0094586B">
      <w:pPr>
        <w:spacing w:line="276" w:lineRule="auto"/>
      </w:pPr>
      <w:r w:rsidRPr="001D330F">
        <w:t>Zamawiający dysponuje systemem monitoringu i zarządzania umożliwiającym prowadzenie zdalnego nadzoru i zarządzania pracą obiektów technologicznych w zakresie zbiorowego zaopatrzenia w wodę i odbioru ścieków.</w:t>
      </w:r>
    </w:p>
    <w:p w14:paraId="2A886D6E" w14:textId="77777777" w:rsidR="0094586B" w:rsidRPr="001D330F" w:rsidRDefault="0094586B" w:rsidP="0094586B">
      <w:pPr>
        <w:spacing w:line="276" w:lineRule="auto"/>
      </w:pPr>
      <w:r w:rsidRPr="001D330F">
        <w:t>W ramach systemu funkcjonują:</w:t>
      </w:r>
    </w:p>
    <w:p w14:paraId="4EDAE1C3" w14:textId="77777777" w:rsidR="0094586B" w:rsidRPr="001D330F" w:rsidRDefault="0094586B" w:rsidP="0094586B">
      <w:pPr>
        <w:numPr>
          <w:ilvl w:val="0"/>
          <w:numId w:val="51"/>
        </w:numPr>
        <w:spacing w:line="276" w:lineRule="auto"/>
      </w:pPr>
      <w:r w:rsidRPr="001D330F">
        <w:t>autonomiczne systemy sterowania realizujące jednocześnie funkcję monitoringu i zdalnej konfiguracji,</w:t>
      </w:r>
    </w:p>
    <w:p w14:paraId="3E13D6A6" w14:textId="77777777" w:rsidR="0094586B" w:rsidRPr="001D330F" w:rsidRDefault="0094586B" w:rsidP="0094586B">
      <w:pPr>
        <w:numPr>
          <w:ilvl w:val="0"/>
          <w:numId w:val="51"/>
        </w:numPr>
        <w:spacing w:line="276" w:lineRule="auto"/>
      </w:pPr>
      <w:r w:rsidRPr="001D330F">
        <w:t xml:space="preserve">sterowniki z wbudowanym modułem </w:t>
      </w:r>
      <w:proofErr w:type="spellStart"/>
      <w:r w:rsidRPr="001D330F">
        <w:t>telementrycznym</w:t>
      </w:r>
      <w:proofErr w:type="spellEnd"/>
      <w:r w:rsidRPr="001D330F">
        <w:t>,</w:t>
      </w:r>
    </w:p>
    <w:p w14:paraId="1A1E6BDC" w14:textId="77777777" w:rsidR="0094586B" w:rsidRPr="001D330F" w:rsidRDefault="0094586B" w:rsidP="0094586B">
      <w:pPr>
        <w:numPr>
          <w:ilvl w:val="0"/>
          <w:numId w:val="51"/>
        </w:numPr>
        <w:spacing w:line="276" w:lineRule="auto"/>
      </w:pPr>
      <w:r w:rsidRPr="001D330F">
        <w:t>transmisja danych za pomocą sieci GSM,</w:t>
      </w:r>
    </w:p>
    <w:p w14:paraId="1C1C8A53" w14:textId="77777777" w:rsidR="0094586B" w:rsidRPr="001D330F" w:rsidRDefault="0094586B" w:rsidP="0094586B">
      <w:pPr>
        <w:numPr>
          <w:ilvl w:val="0"/>
          <w:numId w:val="51"/>
        </w:numPr>
        <w:spacing w:line="276" w:lineRule="auto"/>
      </w:pPr>
      <w:r w:rsidRPr="001D330F">
        <w:t>dostęp do stanowisk,</w:t>
      </w:r>
    </w:p>
    <w:p w14:paraId="0DF35CDC" w14:textId="77777777" w:rsidR="0094586B" w:rsidRPr="001D330F" w:rsidRDefault="0094586B" w:rsidP="0094586B">
      <w:pPr>
        <w:numPr>
          <w:ilvl w:val="0"/>
          <w:numId w:val="51"/>
        </w:numPr>
        <w:spacing w:line="276" w:lineRule="auto"/>
      </w:pPr>
      <w:r w:rsidRPr="001D330F">
        <w:t>transmisja realizowana za pomocą APN lub dedykowanych tuneli VPN.</w:t>
      </w:r>
    </w:p>
    <w:p w14:paraId="4C3E1B12" w14:textId="77777777" w:rsidR="0094586B" w:rsidRPr="001D330F" w:rsidRDefault="0094586B" w:rsidP="0094586B">
      <w:pPr>
        <w:spacing w:line="276" w:lineRule="auto"/>
      </w:pPr>
      <w:r w:rsidRPr="001D330F">
        <w:t>2. Przedmiot zamówienia</w:t>
      </w:r>
    </w:p>
    <w:p w14:paraId="05A14F65" w14:textId="77777777" w:rsidR="0094586B" w:rsidRPr="001D330F" w:rsidRDefault="0094586B" w:rsidP="0094586B">
      <w:pPr>
        <w:spacing w:line="276" w:lineRule="auto"/>
      </w:pPr>
      <w:r w:rsidRPr="001D330F">
        <w:t xml:space="preserve">Przedmiotem zamówienia jest kompleksowa realizacja następujących elementów składowych: </w:t>
      </w:r>
    </w:p>
    <w:p w14:paraId="186F7E9B" w14:textId="77777777" w:rsidR="0094586B" w:rsidRPr="001D330F" w:rsidRDefault="0094586B" w:rsidP="0094586B">
      <w:pPr>
        <w:numPr>
          <w:ilvl w:val="0"/>
          <w:numId w:val="52"/>
        </w:numPr>
        <w:spacing w:line="276" w:lineRule="auto"/>
      </w:pPr>
      <w:r w:rsidRPr="001D330F">
        <w:lastRenderedPageBreak/>
        <w:t xml:space="preserve">usługa konfiguracji i </w:t>
      </w:r>
      <w:proofErr w:type="spellStart"/>
      <w:r w:rsidRPr="001D330F">
        <w:t>hardeningu</w:t>
      </w:r>
      <w:proofErr w:type="spellEnd"/>
      <w:r w:rsidRPr="001D330F">
        <w:t xml:space="preserve"> systemów/urządzeń OT/</w:t>
      </w:r>
      <w:proofErr w:type="spellStart"/>
      <w:r w:rsidRPr="001D330F">
        <w:t>IIoT</w:t>
      </w:r>
      <w:proofErr w:type="spellEnd"/>
      <w:r w:rsidRPr="001D330F">
        <w:t xml:space="preserve"> opracowanie i wdrożenie </w:t>
      </w:r>
      <w:proofErr w:type="spellStart"/>
      <w:r w:rsidRPr="001D330F">
        <w:t>hardeningu</w:t>
      </w:r>
      <w:proofErr w:type="spellEnd"/>
      <w:r w:rsidRPr="001D330F">
        <w:t xml:space="preserve"> zabezpieczeń posiadanego systemu obszaru OT/</w:t>
      </w:r>
      <w:proofErr w:type="spellStart"/>
      <w:r w:rsidRPr="001D330F">
        <w:t>IIoT</w:t>
      </w:r>
      <w:proofErr w:type="spellEnd"/>
      <w:r w:rsidRPr="001D330F">
        <w:t xml:space="preserve"> oraz powiązanych systemów IT/SCADA</w:t>
      </w:r>
    </w:p>
    <w:p w14:paraId="0858BA88" w14:textId="77777777" w:rsidR="0094586B" w:rsidRPr="001D330F" w:rsidRDefault="0094586B" w:rsidP="0094586B">
      <w:pPr>
        <w:numPr>
          <w:ilvl w:val="0"/>
          <w:numId w:val="52"/>
        </w:numPr>
        <w:spacing w:line="276" w:lineRule="auto"/>
      </w:pPr>
      <w:r w:rsidRPr="001D330F">
        <w:t>usługa utrzymania wdrożonych rozwiązań – wsparcie techniczne i eksploatacja urządzeń, oprogramowania i rozwiązań z zakresu bezpieczeństwa IT/OT/ICS/</w:t>
      </w:r>
      <w:proofErr w:type="spellStart"/>
      <w:r w:rsidRPr="001D330F">
        <w:t>IIoT</w:t>
      </w:r>
      <w:proofErr w:type="spellEnd"/>
      <w:r w:rsidRPr="001D330F">
        <w:t xml:space="preserve"> przez 36 miesięcy od dnia podpisania Protokołu Odbioru Końcowego; </w:t>
      </w:r>
    </w:p>
    <w:p w14:paraId="4EF8AC0D" w14:textId="77777777" w:rsidR="0094586B" w:rsidRPr="001D330F" w:rsidRDefault="0094586B" w:rsidP="0094586B">
      <w:pPr>
        <w:numPr>
          <w:ilvl w:val="0"/>
          <w:numId w:val="52"/>
        </w:numPr>
        <w:spacing w:line="276" w:lineRule="auto"/>
      </w:pPr>
      <w:r w:rsidRPr="001D330F">
        <w:t>stacja przesiadkowa OT – stacja robocza fizyczna lub wirtualna z rolą stacji przesiadkowej dla obszaru OT. Realizacja zamówienia nie wymaga wymiany sprzętu automatyki przemysłowej, modyfikacji sprzętowej urządzeń automatyki i monitorowania.</w:t>
      </w:r>
    </w:p>
    <w:p w14:paraId="34ED54DA" w14:textId="77777777" w:rsidR="0094586B" w:rsidRPr="001D330F" w:rsidRDefault="0094586B" w:rsidP="0094586B">
      <w:pPr>
        <w:spacing w:line="276" w:lineRule="auto"/>
      </w:pPr>
      <w:r w:rsidRPr="001D330F">
        <w:t>Odbiór końcowy nastąpi po:</w:t>
      </w:r>
    </w:p>
    <w:p w14:paraId="0FDCF8C7" w14:textId="77777777" w:rsidR="0094586B" w:rsidRPr="001D330F" w:rsidRDefault="0094586B" w:rsidP="0094586B">
      <w:pPr>
        <w:numPr>
          <w:ilvl w:val="0"/>
          <w:numId w:val="57"/>
        </w:numPr>
        <w:spacing w:line="276" w:lineRule="auto"/>
      </w:pPr>
      <w:r w:rsidRPr="001D330F">
        <w:t>pozytywnym teście wszystkich wdrożonych mechanizmów (w tym prywatnego APN i 3-letniego wsparcia),</w:t>
      </w:r>
    </w:p>
    <w:p w14:paraId="2B40AC02" w14:textId="77777777" w:rsidR="0094586B" w:rsidRPr="001D330F" w:rsidRDefault="0094586B" w:rsidP="0094586B">
      <w:pPr>
        <w:numPr>
          <w:ilvl w:val="0"/>
          <w:numId w:val="57"/>
        </w:numPr>
        <w:spacing w:line="276" w:lineRule="auto"/>
      </w:pPr>
      <w:r w:rsidRPr="001D330F">
        <w:t>przekazaniu pełnej dokumentacji,</w:t>
      </w:r>
    </w:p>
    <w:p w14:paraId="6B1387AA" w14:textId="77777777" w:rsidR="0094586B" w:rsidRPr="001D330F" w:rsidRDefault="0094586B" w:rsidP="0094586B">
      <w:pPr>
        <w:numPr>
          <w:ilvl w:val="0"/>
          <w:numId w:val="57"/>
        </w:numPr>
        <w:spacing w:line="276" w:lineRule="auto"/>
      </w:pPr>
      <w:r w:rsidRPr="001D330F">
        <w:t>szkoleniu personelu Zamawiającego (min. 2 dni),</w:t>
      </w:r>
    </w:p>
    <w:p w14:paraId="674874C6" w14:textId="77777777" w:rsidR="0094586B" w:rsidRPr="001D330F" w:rsidRDefault="0094586B" w:rsidP="0094586B">
      <w:pPr>
        <w:numPr>
          <w:ilvl w:val="0"/>
          <w:numId w:val="57"/>
        </w:numPr>
        <w:spacing w:line="276" w:lineRule="auto"/>
      </w:pPr>
      <w:r w:rsidRPr="001D330F">
        <w:t>dostarczeniu raportu z audytu bezpieczeństwa.</w:t>
      </w:r>
    </w:p>
    <w:p w14:paraId="61B4BF0C" w14:textId="77777777" w:rsidR="0094586B" w:rsidRDefault="0094586B" w:rsidP="0094586B">
      <w:pPr>
        <w:spacing w:line="276" w:lineRule="auto"/>
      </w:pPr>
    </w:p>
    <w:p w14:paraId="63CB66D9" w14:textId="77777777" w:rsidR="004F6C92" w:rsidRPr="001D330F" w:rsidRDefault="004F6C92" w:rsidP="0094586B">
      <w:pPr>
        <w:spacing w:line="276" w:lineRule="auto"/>
      </w:pPr>
    </w:p>
    <w:p w14:paraId="6E121782" w14:textId="77777777" w:rsidR="00DD4BC0" w:rsidRPr="001D330F" w:rsidRDefault="00DD4BC0" w:rsidP="00DD4BC0">
      <w:pPr>
        <w:pStyle w:val="Nagwek2"/>
        <w:spacing w:line="276" w:lineRule="auto"/>
        <w:rPr>
          <w:sz w:val="22"/>
          <w:szCs w:val="22"/>
        </w:rPr>
      </w:pPr>
      <w:bookmarkStart w:id="8" w:name="_Toc235519364"/>
      <w:r w:rsidRPr="001D330F">
        <w:rPr>
          <w:sz w:val="22"/>
          <w:szCs w:val="22"/>
        </w:rPr>
        <w:t>Stacja przesiadkowa OT</w:t>
      </w:r>
      <w:bookmarkEnd w:id="8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4ACA" w:rsidRPr="001D330F" w14:paraId="22C9F8E8" w14:textId="77777777" w:rsidTr="00B47727">
        <w:tc>
          <w:tcPr>
            <w:tcW w:w="9062" w:type="dxa"/>
          </w:tcPr>
          <w:p w14:paraId="471CC27F" w14:textId="77777777" w:rsidR="0094586B" w:rsidRPr="001D330F" w:rsidRDefault="0094586B" w:rsidP="0094586B">
            <w:pPr>
              <w:spacing w:after="20"/>
            </w:pPr>
            <w:r w:rsidRPr="001D330F">
              <w:t>W ramach zamówienia Wykonawca zobowiązany jest do dostarczenia, konfiguracji i uruchomienia stacji przesiadkowej OT (</w:t>
            </w:r>
            <w:proofErr w:type="spellStart"/>
            <w:r w:rsidRPr="001D330F">
              <w:t>jump</w:t>
            </w:r>
            <w:proofErr w:type="spellEnd"/>
            <w:r w:rsidRPr="001D330F">
              <w:t xml:space="preserve"> </w:t>
            </w:r>
            <w:proofErr w:type="spellStart"/>
            <w:r w:rsidRPr="001D330F">
              <w:t>server</w:t>
            </w:r>
            <w:proofErr w:type="spellEnd"/>
            <w:r w:rsidRPr="001D330F">
              <w:t xml:space="preserve"> / bastion host), która stanowi centralny, kontrolowany punkt dostępu do urządzeń i systemów obszaru OT. Stacja przesiadkowa OT musi spełniać następujące wymagania:</w:t>
            </w:r>
          </w:p>
          <w:p w14:paraId="355E6E1C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>Forma: stacja robocza fizyczna lub wirtualna (maszyna wirtualna) dedykowana do roli stacji przesiadkowej w sieci OT – dobór formy w zależności od architektury posiadanej infrastruktury Zamawiającego.</w:t>
            </w:r>
          </w:p>
          <w:p w14:paraId="02B2F833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Minimalne parametry stacji – niezależnie od wybranego wariantu (dla stacji fizycznej parametry zainstalowanych podzespołów, dla maszyny wirtualnej zasoby trwale przydzielone do niej w środowisku </w:t>
            </w:r>
            <w:proofErr w:type="spellStart"/>
            <w:r w:rsidRPr="001D330F">
              <w:t>wirtualizacyjnym</w:t>
            </w:r>
            <w:proofErr w:type="spellEnd"/>
            <w:r w:rsidRPr="001D330F">
              <w:t>):</w:t>
            </w:r>
          </w:p>
          <w:p w14:paraId="26E86FB5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procesor o wydajności równej lub wyższej niż 10 000 punktów w teście </w:t>
            </w:r>
            <w:proofErr w:type="spellStart"/>
            <w:r w:rsidRPr="001D330F">
              <w:t>PassMark</w:t>
            </w:r>
            <w:proofErr w:type="spellEnd"/>
            <w:r w:rsidRPr="001D330F">
              <w:t xml:space="preserve"> CPU Mark (Multi-</w:t>
            </w:r>
            <w:proofErr w:type="spellStart"/>
            <w:r w:rsidRPr="001D330F">
              <w:t>Thread</w:t>
            </w:r>
            <w:proofErr w:type="spellEnd"/>
            <w:r w:rsidRPr="001D330F">
              <w:t xml:space="preserve"> </w:t>
            </w:r>
            <w:proofErr w:type="spellStart"/>
            <w:r w:rsidRPr="001D330F">
              <w:t>Score</w:t>
            </w:r>
            <w:proofErr w:type="spellEnd"/>
            <w:r w:rsidRPr="001D330F">
              <w:t>) wg bazy https://www.cpubenchmark.net lub w teście równoważnym, o liczbie rdzeni nie mniejszej niż 4 i częstotliwości bazowej nie niższej niż 2,0 GHz, z obsługą wirtualizacji sprzętowej (Intel VT-x / AMD-V lub równoważnej); w wariancie wirtualnym warunek odnosi się do procesora hosta, na którym uruchomiona zostanie maszyna wirtualna, przy przydziale co najmniej 4 wirtualnych rdzeni;</w:t>
            </w:r>
          </w:p>
          <w:p w14:paraId="3E12288E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pamięć operacyjna: </w:t>
            </w:r>
            <w:proofErr w:type="gramStart"/>
            <w:r w:rsidRPr="001D330F">
              <w:t>nie mniej</w:t>
            </w:r>
            <w:proofErr w:type="gramEnd"/>
            <w:r w:rsidRPr="001D330F">
              <w:t xml:space="preserve"> niż 16 GB;</w:t>
            </w:r>
          </w:p>
          <w:p w14:paraId="59AAAA19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dysk systemowy: </w:t>
            </w:r>
            <w:proofErr w:type="gramStart"/>
            <w:r w:rsidRPr="001D330F">
              <w:t>nie mniej</w:t>
            </w:r>
            <w:proofErr w:type="gramEnd"/>
            <w:r w:rsidRPr="001D330F">
              <w:t xml:space="preserve"> niż 256 GB, wykonany w technologii SSD (</w:t>
            </w:r>
            <w:proofErr w:type="spellStart"/>
            <w:r w:rsidRPr="001D330F">
              <w:t>NVMe</w:t>
            </w:r>
            <w:proofErr w:type="spellEnd"/>
            <w:r w:rsidRPr="001D330F">
              <w:t xml:space="preserve"> </w:t>
            </w:r>
            <w:proofErr w:type="spellStart"/>
            <w:r w:rsidRPr="001D330F">
              <w:t>PCIe</w:t>
            </w:r>
            <w:proofErr w:type="spellEnd"/>
            <w:r w:rsidRPr="001D330F">
              <w:t xml:space="preserve"> lub SATA III) albo – w wariancie wirtualnym – zasób dyskowy o takiej pojemności ulokowany na nośnikach SSD;</w:t>
            </w:r>
          </w:p>
          <w:p w14:paraId="034C6B1C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Funkcja: pełnienie roli centralnego i jedynego punktu pośredniczącego przy dostępie zdalnym do systemów i urządzeń OT (sterowniki, moduły telemetryczne, system centralny </w:t>
            </w:r>
            <w:proofErr w:type="spellStart"/>
            <w:r w:rsidRPr="001D330F">
              <w:t>IIoT</w:t>
            </w:r>
            <w:proofErr w:type="spellEnd"/>
            <w:r w:rsidRPr="001D330F">
              <w:t xml:space="preserve">, stacje SCADA)</w:t>
            </w:r>
            <w:r w:rsidRPr="001D330F">
              <w:t xml:space="preserve">.</w:t>
            </w:r>
          </w:p>
          <w:p w14:paraId="25B5C579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lastRenderedPageBreak/>
              <w:t xml:space="preserve">Zabezpieczenia: </w:t>
            </w:r>
            <w:proofErr w:type="spellStart"/>
            <w:r w:rsidRPr="001D330F">
              <w:t>hardening</w:t>
            </w:r>
            <w:proofErr w:type="spellEnd"/>
            <w:r w:rsidRPr="001D330F">
              <w:t xml:space="preserve"> systemu operacyjnego stacji przesiadkowej zgodnie z politykami bezpieczeństwa (CIS </w:t>
            </w:r>
            <w:proofErr w:type="spellStart"/>
            <w:r w:rsidRPr="001D330F">
              <w:t>Benchmarks</w:t>
            </w:r>
            <w:proofErr w:type="spellEnd"/>
            <w:r w:rsidRPr="001D330F">
              <w:t xml:space="preserve"> lub równoważne), wdrożenie MFA, RBAC oraz mechanizmów kontroli integralności.</w:t>
            </w:r>
          </w:p>
          <w:p w14:paraId="4965848E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Protokoły dostępu: obsługa połączeń VPN, RDP i/lub SSH</w:t>
            </w:r>
            <w:proofErr w:type="spellStart"/>
            <w:proofErr w:type="spellEnd"/>
            <w:proofErr w:type="spellStart"/>
            <w:proofErr w:type="spellEnd"/>
            <w:r w:rsidRPr="001D330F">
              <w:t xml:space="preserve">.</w:t>
            </w:r>
          </w:p>
          <w:p w14:paraId="569B2502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Integracja: stacja przesiadkowa musi być zintegrowana z systemem zarządzania dostępem opartym na rolach (RBAC) </w:t>
            </w:r>
            <w:r w:rsidRPr="001D330F">
              <w:t xml:space="preserve">wdrożonym w ramach pkt. 2.2</w:t>
            </w:r>
            <w:r w:rsidRPr="001D330F">
              <w:t xml:space="preserve">, tak aby dostęp do urządzeń OT był możliwy wyłącznie przez stację przesiadkową po uprzedniej autentykacji i autoryzacji użytkownika.</w:t>
            </w:r>
          </w:p>
          <w:p w14:paraId="18E7AD5F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Utrzymanie: stacja przesiadkowa objęta jest 3-letnim utrzymaniem w ramach usługi </w:t>
            </w:r>
            <w:r w:rsidRPr="001D330F">
              <w:t xml:space="preserve">(pkt. 2.3)</w:t>
            </w:r>
            <w:r w:rsidRPr="001D330F">
              <w:t xml:space="preserve">, obejmującym aktualizacje bezpieczeństwa, monitoring i wsparcie techniczne do końca okresu kwalifikowalności wydatków.</w:t>
            </w:r>
          </w:p>
          <w:p w14:paraId="0AF2E1B8" w14:textId="77777777" w:rsidR="00FE4ACA" w:rsidRPr="001D330F" w:rsidRDefault="00FE4ACA" w:rsidP="0094586B">
            <w:pPr>
              <w:spacing w:after="20"/>
            </w:pPr>
          </w:p>
        </w:tc>
      </w:tr>
    </w:tbl>
    <w:p w14:paraId="395EA470" w14:textId="77777777" w:rsidR="00FE4ACA" w:rsidRPr="001D330F" w:rsidRDefault="00FE4ACA" w:rsidP="00FE4ACA">
      <w:pPr>
        <w:spacing w:line="276" w:lineRule="auto"/>
      </w:pPr>
    </w:p>
    <w:p w14:paraId="7ED73373" w14:textId="77777777" w:rsidR="0000095C" w:rsidRPr="001D330F" w:rsidRDefault="0000095C" w:rsidP="0000095C">
      <w:pPr>
        <w:pStyle w:val="Nagwek2"/>
        <w:spacing w:line="276" w:lineRule="auto"/>
        <w:rPr>
          <w:sz w:val="22"/>
          <w:szCs w:val="22"/>
        </w:rPr>
      </w:pPr>
      <w:bookmarkStart w:id="9" w:name="_Toc235519365"/>
      <w:r w:rsidRPr="001D330F">
        <w:rPr>
          <w:sz w:val="22"/>
          <w:szCs w:val="22"/>
        </w:rPr>
        <w:t xml:space="preserve">Usługa konfiguracji i </w:t>
      </w:r>
      <w:proofErr w:type="spellStart"/>
      <w:r w:rsidRPr="001D330F">
        <w:rPr>
          <w:sz w:val="22"/>
          <w:szCs w:val="22"/>
        </w:rPr>
        <w:t>hardeningu</w:t>
      </w:r>
      <w:proofErr w:type="spellEnd"/>
      <w:r w:rsidRPr="001D330F">
        <w:rPr>
          <w:sz w:val="22"/>
          <w:szCs w:val="22"/>
        </w:rPr>
        <w:t xml:space="preserve"> systemów</w:t>
      </w:r>
      <w:bookmarkEnd w:id="9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5EE0" w:rsidRPr="001D330F" w14:paraId="05C99EB8" w14:textId="77777777" w:rsidTr="00F45EE0">
        <w:tc>
          <w:tcPr>
            <w:tcW w:w="9062" w:type="dxa"/>
          </w:tcPr>
          <w:p w14:paraId="20DDD005" w14:textId="77777777" w:rsidR="0094586B" w:rsidRPr="001D330F" w:rsidRDefault="0094586B" w:rsidP="0094586B">
            <w:pPr>
              <w:spacing w:after="20"/>
            </w:pPr>
            <w:r w:rsidRPr="001D330F">
              <w:t xml:space="preserve">Zakres usługi konfiguracji i </w:t>
            </w:r>
            <w:proofErr w:type="spellStart"/>
            <w:r w:rsidRPr="001D330F">
              <w:t>hardeningu</w:t>
            </w:r>
            <w:proofErr w:type="spellEnd"/>
            <w:r w:rsidRPr="001D330F">
              <w:t xml:space="preserve"> systemów obejmuje:</w:t>
            </w:r>
          </w:p>
          <w:p w14:paraId="7882126D" w14:textId="77777777" w:rsidR="0094586B" w:rsidRPr="001D330F" w:rsidRDefault="0094586B" w:rsidP="0094586B">
            <w:pPr>
              <w:numPr>
                <w:ilvl w:val="0"/>
                <w:numId w:val="53"/>
              </w:numPr>
              <w:spacing w:after="20"/>
            </w:pPr>
            <w:r w:rsidRPr="001D330F">
              <w:t xml:space="preserve">Przeglądu i inwentaryzacji istniejącego systemu OT (sterowniki, moduły </w:t>
            </w:r>
            <w:proofErr w:type="spellStart"/>
            <w:r w:rsidRPr="001D330F">
              <w:t>telementryczne</w:t>
            </w:r>
            <w:proofErr w:type="spellEnd"/>
            <w:r w:rsidRPr="001D330F">
              <w:t xml:space="preserve">, system centralny </w:t>
            </w:r>
            <w:proofErr w:type="spellStart"/>
            <w:r w:rsidRPr="001D330F">
              <w:t>IIoT</w:t>
            </w:r>
            <w:proofErr w:type="spellEnd"/>
            <w:r w:rsidRPr="001D330F">
              <w:t>, stacje operatorskie SCADA) pod kątem bezpieczeństwa.</w:t>
            </w:r>
          </w:p>
          <w:p w14:paraId="3109CBCC" w14:textId="77777777" w:rsidR="0094586B" w:rsidRPr="001D330F" w:rsidRDefault="0094586B" w:rsidP="0094586B">
            <w:pPr>
              <w:numPr>
                <w:ilvl w:val="0"/>
                <w:numId w:val="53"/>
              </w:numPr>
              <w:spacing w:after="20"/>
            </w:pPr>
            <w:r w:rsidRPr="001D330F">
              <w:t xml:space="preserve">Opracowania i wdrożenia kompleksowego </w:t>
            </w:r>
            <w:proofErr w:type="spellStart"/>
            <w:r w:rsidRPr="001D330F">
              <w:t>hardeningu</w:t>
            </w:r>
            <w:proofErr w:type="spellEnd"/>
            <w:r w:rsidRPr="001D330F">
              <w:t xml:space="preserve"> zabezpieczeń systemu OT, w tym:</w:t>
            </w:r>
          </w:p>
          <w:p w14:paraId="5FDC0FAC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r w:rsidRPr="001D330F">
              <w:t xml:space="preserve">wdrożenie polityk dostępu w ramach weryfikacji na krytycznych stacjach roboczych (System </w:t>
            </w:r>
            <w:proofErr w:type="spellStart"/>
            <w:r w:rsidRPr="001D330F">
              <w:t>Compliance</w:t>
            </w:r>
            <w:proofErr w:type="spellEnd"/>
            <w:r w:rsidRPr="001D330F">
              <w:t xml:space="preserve"> / </w:t>
            </w:r>
            <w:proofErr w:type="spellStart"/>
            <w:r w:rsidRPr="001D330F">
              <w:t>hardening</w:t>
            </w:r>
            <w:proofErr w:type="spellEnd"/>
            <w:r w:rsidRPr="001D330F">
              <w:t xml:space="preserve"> </w:t>
            </w:r>
            <w:proofErr w:type="spellStart"/>
            <w:r w:rsidRPr="001D330F">
              <w:t>endpointów</w:t>
            </w:r>
            <w:proofErr w:type="spellEnd"/>
            <w:r w:rsidRPr="001D330F">
              <w:t>),</w:t>
            </w:r>
          </w:p>
          <w:p w14:paraId="18522D07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r w:rsidRPr="001D330F">
              <w:t>konfigurację i zabezpieczenie połączeń VPN oraz tuneli dla wszystkich urządzeń i systemów OT,</w:t>
            </w:r>
          </w:p>
          <w:p w14:paraId="23961C78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r w:rsidRPr="001D330F">
              <w:t>wdrożenie polityk i dostępu role-</w:t>
            </w:r>
            <w:proofErr w:type="spellStart"/>
            <w:r w:rsidRPr="001D330F">
              <w:t>based</w:t>
            </w:r>
            <w:proofErr w:type="spellEnd"/>
            <w:r w:rsidRPr="001D330F">
              <w:t xml:space="preserve"> (RBAC) – osobne role dla techników terenowych i menadżerów,</w:t>
            </w:r>
          </w:p>
          <w:p w14:paraId="50CEE08A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r w:rsidRPr="001D330F">
              <w:t>wdrożenie wieloskładnikowej autentykacji (MFA) na poziomie klienta,</w:t>
            </w:r>
          </w:p>
          <w:p w14:paraId="2B88E9C6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r w:rsidRPr="001D330F">
              <w:t xml:space="preserve">przegląd i wdrożenie zabezpieczeń systemu komunikacji z systemem centralnym </w:t>
            </w:r>
            <w:proofErr w:type="spellStart"/>
            <w:r w:rsidRPr="001D330F">
              <w:t>IIoT</w:t>
            </w:r>
            <w:proofErr w:type="spellEnd"/>
            <w:r w:rsidRPr="001D330F">
              <w:t xml:space="preserve"> (w tym segmentacja sieci, kontrola przepływu danych, szyfrowanie </w:t>
            </w:r>
            <w:proofErr w:type="gramStart"/>
            <w:r w:rsidRPr="001D330F">
              <w:t>tam</w:t>
            </w:r>
            <w:proofErr w:type="gramEnd"/>
            <w:r w:rsidRPr="001D330F">
              <w:t xml:space="preserve"> gdzie możliwe).</w:t>
            </w:r>
          </w:p>
          <w:p w14:paraId="3E7D0A07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r w:rsidRPr="001D330F">
              <w:t>Separacja sieci.</w:t>
            </w:r>
          </w:p>
          <w:p w14:paraId="5DF671C1" w14:textId="77777777" w:rsidR="0094586B" w:rsidRPr="001D330F" w:rsidRDefault="0094586B" w:rsidP="0094586B">
            <w:pPr>
              <w:numPr>
                <w:ilvl w:val="0"/>
                <w:numId w:val="53"/>
              </w:numPr>
              <w:spacing w:after="20"/>
            </w:pPr>
            <w:r w:rsidRPr="001D330F">
              <w:t xml:space="preserve">Uruchomienia usługi prywatnego APN świadczonej przez operatora publicznej sieci telefonii komórkowej, wraz z integracją z systemem centralnym Zamawiającego. Usługa prywatnego APN musi zapewniać:</w:t>
            </w:r>
          </w:p>
          <w:p w14:paraId="23961C78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proofErr w:type="spellStart"/>
            <w:proofErr w:type="spellEnd"/>
            <w:r w:rsidRPr="001D330F">
              <w:t xml:space="preserve">wydzielony punkt dostępowy (APN) dostępny wyłącznie dla kart SIM Zamawiającego, bez dostępu do sieci Internet z poziomu APN,</w:t>
            </w:r>
          </w:p>
          <w:p w14:paraId="23961C78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proofErr w:type="spellStart"/>
            <w:proofErr w:type="spellEnd"/>
            <w:r w:rsidRPr="001D330F">
              <w:t xml:space="preserve">stałe prywatne adresy IP przypisane do kart SIM, z puli adresowej uzgodnionej z Zamawiającym,</w:t>
            </w:r>
          </w:p>
          <w:p w14:paraId="23961C78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proofErr w:type="spellStart"/>
            <w:proofErr w:type="spellEnd"/>
            <w:r w:rsidRPr="001D330F">
              <w:t xml:space="preserve">połączenie APN z siecią Zamawiającego w jeden z następujących sposobów: szyfrowanym tunelem (np. IPsec, GRE over IPsec lub równoważnym) zestawionym przez Internet do urządzenia brzegowego Zamawiającego, łączem dedykowanym operatora albo przez dostarczony przez Wykonawcę router z kartą SIM pracującą w tym samym APN, zainstalowany w siedzibie Zamawiającego i podłączony do systemu centralnego,</w:t>
            </w:r>
          </w:p>
          <w:p w14:paraId="23961C78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proofErr w:type="spellStart"/>
            <w:proofErr w:type="spellEnd"/>
            <w:r w:rsidRPr="001D330F">
              <w:t xml:space="preserve">transmisję danych w technologii 2G oraz LTE,</w:t>
            </w:r>
          </w:p>
          <w:p w14:paraId="23961C78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proofErr w:type="spellStart"/>
            <w:proofErr w:type="spellEnd"/>
            <w:r w:rsidRPr="001D330F">
              <w:t xml:space="preserve">dostarczenie 50 szt. kart SIM operatora świadczącego usługę, ich aktywację i przypisanie do APN, wraz z transmisją danych w ilości niezbędnej do ciągłej pracy systemu monitoringu przez cały okres utrzymania,</w:t>
            </w:r>
          </w:p>
          <w:p w14:paraId="23961C78" w14:textId="77777777" w:rsidR="0094586B" w:rsidRPr="001D330F" w:rsidRDefault="0094586B" w:rsidP="0094586B">
            <w:pPr>
              <w:numPr>
                <w:ilvl w:val="1"/>
                <w:numId w:val="53"/>
              </w:numPr>
              <w:spacing w:after="20"/>
            </w:pPr>
            <w:proofErr w:type="spellStart"/>
            <w:proofErr w:type="spellEnd"/>
            <w:r w:rsidRPr="001D330F">
              <w:t xml:space="preserve">dostęp Zamawiającego do narzędzia operatora umożliwiającego podgląd statusu i blokadę kart SIM.</w:t>
            </w:r>
          </w:p>
          <w:p w14:paraId="20DDD005" w14:textId="77777777" w:rsidR="0094586B" w:rsidRPr="001D330F" w:rsidRDefault="0094586B" w:rsidP="0094586B">
            <w:pPr>
              <w:spacing w:after="20"/>
            </w:pPr>
            <w:proofErr w:type="spellStart"/>
            <w:proofErr w:type="spellEnd"/>
            <w:r w:rsidRPr="001D330F">
              <w:t xml:space="preserve">Usługa prywatnego APN świadczona jest na standardowych warunkach jakościowych operatora dla klientów biznesowych. Zamawiający nie wymaga gwarantowanego poziomu dostępności usługi wyrażonego w procentach.</w:t>
            </w:r>
          </w:p>
          <w:p w14:paraId="5276D054" w14:textId="77777777" w:rsidR="0094586B" w:rsidRPr="001D330F" w:rsidRDefault="0094586B" w:rsidP="0094586B">
            <w:pPr>
              <w:numPr>
                <w:ilvl w:val="0"/>
                <w:numId w:val="53"/>
              </w:numPr>
              <w:spacing w:after="20"/>
            </w:pPr>
            <w:r w:rsidRPr="001D330F">
              <w:t xml:space="preserve">Rekonfiguracji ustawień i parametrów transmisji danych </w:t>
            </w:r>
            <w:r w:rsidRPr="001D330F">
              <w:t xml:space="preserve">(GSM/APN), w tym wymiany kart SIM w modułach telemetrycznych,</w:t>
            </w:r>
            <w:r w:rsidRPr="001D330F">
              <w:t xml:space="preserve"> w celu maksymalnego podniesienia poziomu bezpieczeństwa bez ingerencji w urządzenia automatyki.</w:t>
            </w:r>
          </w:p>
          <w:p w14:paraId="332310D7" w14:textId="77777777" w:rsidR="0094586B" w:rsidRPr="001D330F" w:rsidRDefault="0094586B" w:rsidP="0094586B">
            <w:pPr>
              <w:numPr>
                <w:ilvl w:val="0"/>
                <w:numId w:val="53"/>
              </w:numPr>
              <w:spacing w:after="20"/>
            </w:pPr>
            <w:proofErr w:type="spellStart"/>
            <w:r w:rsidRPr="001D330F">
              <w:t>Hardeningu</w:t>
            </w:r>
            <w:proofErr w:type="spellEnd"/>
            <w:r w:rsidRPr="001D330F">
              <w:t xml:space="preserve"> posiadanych systemów informatycznych i stacji roboczych obsługujących elementy systemu SCADA (w tym wdrożenie mechanizmów kontroli integralności, w ramach posiadanych przez Zamawiającego, polityk </w:t>
            </w:r>
            <w:proofErr w:type="spellStart"/>
            <w:r w:rsidRPr="001D330F">
              <w:t>hardeningu</w:t>
            </w:r>
            <w:proofErr w:type="spellEnd"/>
            <w:r w:rsidRPr="001D330F">
              <w:t xml:space="preserve"> systemu operacyjnego i aplikacji).</w:t>
            </w:r>
          </w:p>
          <w:p w14:paraId="6349D847" w14:textId="77777777" w:rsidR="0094586B" w:rsidRPr="001D330F" w:rsidRDefault="0094586B" w:rsidP="0094586B">
            <w:pPr>
              <w:spacing w:after="20"/>
            </w:pPr>
          </w:p>
          <w:p w14:paraId="22FB0345" w14:textId="77777777" w:rsidR="0094586B" w:rsidRPr="001D330F" w:rsidRDefault="0094586B" w:rsidP="0094586B">
            <w:pPr>
              <w:spacing w:after="20"/>
            </w:pPr>
            <w:r w:rsidRPr="001D330F">
              <w:t>Wymagania organizacyjne i techniczne realizacji</w:t>
            </w:r>
          </w:p>
          <w:p w14:paraId="12B941FD" w14:textId="77777777" w:rsidR="0094586B" w:rsidRPr="001D330F" w:rsidRDefault="0094586B" w:rsidP="0094586B">
            <w:pPr>
              <w:spacing w:after="20"/>
            </w:pPr>
            <w:r w:rsidRPr="001D330F">
              <w:t>Wykonawca zobowiązany jest do realizacji wszystkich prac z zachowaniem następujących warunków obligatoryjnych:</w:t>
            </w:r>
          </w:p>
          <w:p w14:paraId="68254B2B" w14:textId="77777777" w:rsidR="0094586B" w:rsidRPr="001D330F" w:rsidRDefault="0094586B" w:rsidP="0094586B">
            <w:pPr>
              <w:numPr>
                <w:ilvl w:val="0"/>
                <w:numId w:val="54"/>
              </w:numPr>
              <w:spacing w:after="20"/>
            </w:pPr>
            <w:r w:rsidRPr="001D330F">
              <w:t xml:space="preserve">Bez wymiany sprzętu automatyki przemysłowej (PLC, sterowniki, moduły </w:t>
            </w:r>
            <w:proofErr w:type="spellStart"/>
            <w:r w:rsidRPr="001D330F">
              <w:t>telementryczne</w:t>
            </w:r>
            <w:proofErr w:type="spellEnd"/>
            <w:r w:rsidRPr="001D330F">
              <w:t>, sensory itp.).</w:t>
            </w:r>
          </w:p>
          <w:p w14:paraId="79C19CAA" w14:textId="77777777" w:rsidR="0094586B" w:rsidRPr="001D330F" w:rsidRDefault="0094586B" w:rsidP="0094586B">
            <w:pPr>
              <w:numPr>
                <w:ilvl w:val="0"/>
                <w:numId w:val="54"/>
              </w:numPr>
              <w:spacing w:after="20"/>
            </w:pPr>
            <w:r w:rsidRPr="001D330F">
              <w:lastRenderedPageBreak/>
              <w:t>Bez jakiejkolwiek modyfikacji programów sterujących PLC, programów SCADA lub konfiguracji urządzeń automatyki przemysłowej (poza rekonfiguracją parametrów transmisji danych i innych ustawień związanych z bezpieczeństwem).</w:t>
            </w:r>
          </w:p>
          <w:p w14:paraId="13A4231E" w14:textId="77777777" w:rsidR="0094586B" w:rsidRPr="001D330F" w:rsidRDefault="0094586B" w:rsidP="0094586B">
            <w:pPr>
              <w:numPr>
                <w:ilvl w:val="0"/>
                <w:numId w:val="54"/>
              </w:numPr>
              <w:spacing w:after="20"/>
            </w:pPr>
            <w:r w:rsidRPr="001D330F">
              <w:t>Bez konieczności przestoju urządzeń technicznych i obiektów.</w:t>
            </w:r>
          </w:p>
          <w:p w14:paraId="1AE3E508" w14:textId="77777777" w:rsidR="0094586B" w:rsidRPr="001D330F" w:rsidRDefault="0094586B" w:rsidP="0094586B">
            <w:pPr>
              <w:numPr>
                <w:ilvl w:val="0"/>
                <w:numId w:val="54"/>
              </w:numPr>
              <w:spacing w:after="20"/>
            </w:pPr>
            <w:r w:rsidRPr="001D330F">
              <w:t>Dostęp do systemów monitoringu możliwy wyłącznie poprzez VPN do systemu centralnego w infrastrukturze Zamawiającego. Zamawiający nie dopuszcza transmisji danych niezabezpieczonych lub dostępności usług poprzez publiczną sieć Internet.</w:t>
            </w:r>
          </w:p>
          <w:p w14:paraId="33D6210C" w14:textId="77777777" w:rsidR="0094586B" w:rsidRPr="001D330F" w:rsidRDefault="0094586B" w:rsidP="0094586B">
            <w:pPr>
              <w:numPr>
                <w:ilvl w:val="0"/>
                <w:numId w:val="54"/>
              </w:numPr>
              <w:spacing w:after="20"/>
            </w:pPr>
            <w:r w:rsidRPr="001D330F">
              <w:t>Transmisja danych wyłącznie via prywatny APN lub dedykowane, szyfrowane tunele VPN.</w:t>
            </w:r>
          </w:p>
          <w:p w14:paraId="38BEAB97" w14:textId="77777777" w:rsidR="00F45EE0" w:rsidRPr="001D330F" w:rsidRDefault="00F45EE0" w:rsidP="0094586B">
            <w:pPr>
              <w:spacing w:after="20"/>
            </w:pPr>
          </w:p>
        </w:tc>
      </w:tr>
    </w:tbl>
    <w:p w14:paraId="22DAAAAC" w14:textId="77777777" w:rsidR="00F45EE0" w:rsidRPr="001D330F" w:rsidRDefault="00F45EE0" w:rsidP="00F45EE0">
      <w:pPr>
        <w:spacing w:line="276" w:lineRule="auto"/>
      </w:pPr>
    </w:p>
    <w:p w14:paraId="39D25A4F" w14:textId="77777777" w:rsidR="0000095C" w:rsidRPr="001D330F" w:rsidRDefault="0000095C" w:rsidP="0000095C">
      <w:pPr>
        <w:pStyle w:val="Nagwek2"/>
        <w:spacing w:line="276" w:lineRule="auto"/>
        <w:rPr>
          <w:sz w:val="22"/>
          <w:szCs w:val="22"/>
        </w:rPr>
      </w:pPr>
      <w:bookmarkStart w:id="10" w:name="_Toc235519366"/>
      <w:r w:rsidRPr="001D330F">
        <w:rPr>
          <w:sz w:val="22"/>
          <w:szCs w:val="22"/>
        </w:rPr>
        <w:t>Usługa utrzymania wdrożonych rozwiązań – 36 miesięcy od odbioru końcowego</w:t>
      </w:r>
      <w:bookmarkEnd w:id="1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5EE0" w:rsidRPr="001D330F" w14:paraId="72B5C828" w14:textId="77777777" w:rsidTr="00F45EE0">
        <w:tc>
          <w:tcPr>
            <w:tcW w:w="9062" w:type="dxa"/>
          </w:tcPr>
          <w:p w14:paraId="55DF49A9" w14:textId="77777777" w:rsidR="0094586B" w:rsidRPr="001D330F" w:rsidRDefault="0094586B" w:rsidP="0094586B">
            <w:pPr>
              <w:spacing w:after="20"/>
            </w:pPr>
            <w:r w:rsidRPr="001D330F">
              <w:t>Usługa utrzymania obejmuje wsparcie techniczne i eksploatację wdrożonych rozwiązań z zakresu bezpieczeństwa IT/OT/ICS/</w:t>
            </w:r>
            <w:proofErr w:type="spellStart"/>
            <w:r w:rsidRPr="001D330F">
              <w:t>IIoT</w:t>
            </w:r>
            <w:proofErr w:type="spellEnd"/>
            <w:r w:rsidRPr="001D330F">
              <w:t xml:space="preserve"> przez okres 36 miesięcy liczonych od dnia podpisania Protokołu Odbioru Końcowego. W ramach zamówienia Wykonawca zobowiązany jest do zapewnienia:</w:t>
            </w:r>
          </w:p>
          <w:p w14:paraId="7219C4BD" w14:textId="77777777" w:rsidR="0094586B" w:rsidRPr="001D330F" w:rsidRDefault="0094586B" w:rsidP="0094586B">
            <w:pPr>
              <w:numPr>
                <w:ilvl w:val="0"/>
                <w:numId w:val="55"/>
              </w:numPr>
              <w:spacing w:after="20"/>
            </w:pPr>
            <w:r w:rsidRPr="001D330F">
              <w:t>3-letniego wsparcia technicznego w zakresie wykonywania i zapewnienia dostępu do aktualizacji bezpieczeństwa oprogramowania urządzeń OT wchodzących w skład systemu,</w:t>
            </w:r>
          </w:p>
          <w:p w14:paraId="619D7986" w14:textId="77777777" w:rsidR="0094586B" w:rsidRPr="001D330F" w:rsidRDefault="0094586B" w:rsidP="0094586B">
            <w:pPr>
              <w:numPr>
                <w:ilvl w:val="0"/>
                <w:numId w:val="55"/>
              </w:numPr>
              <w:spacing w:after="20"/>
            </w:pPr>
            <w:r w:rsidRPr="001D330F">
              <w:t>3-letniego wsparcia technicznego w zakresie wykonywania i zapewnienia dostępu do aktualizacji bezpieczeństwa systemów centralnych i IT/SCADA,</w:t>
            </w:r>
          </w:p>
          <w:p w14:paraId="714BF50D" w14:textId="77777777" w:rsidR="0094586B" w:rsidRPr="001D330F" w:rsidRDefault="0094586B" w:rsidP="0094586B">
            <w:pPr>
              <w:numPr>
                <w:ilvl w:val="0"/>
                <w:numId w:val="55"/>
              </w:numPr>
              <w:spacing w:after="20"/>
            </w:pPr>
            <w:r w:rsidRPr="001D330F">
              <w:t xml:space="preserve">3-letniego utrzymania usługi prywatnego APN, obejmującego opłaty operatora, zarządzanie usługą i kartami SIM, przyjmowanie zgłoszeń awarii, podjęcie działań najpóźniej w następnym dniu roboczym po zgłoszeniu (NBD) oraz koordynację usunięcia awarii z operatorem zgodnie ze standardowymi warunkami świadczenia usługi przez operatora.</w:t>
            </w:r>
          </w:p>
          <w:p w14:paraId="0A04D8BB" w14:textId="77777777" w:rsidR="0094586B" w:rsidRPr="001D330F" w:rsidRDefault="0094586B" w:rsidP="0094586B">
            <w:pPr>
              <w:spacing w:after="20"/>
            </w:pPr>
            <w:r w:rsidRPr="001D330F">
              <w:t>Wsparcie musi obejmować:</w:t>
            </w:r>
          </w:p>
          <w:p w14:paraId="76FB2BB6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 xml:space="preserve">regularne dostarczanie i wdrażanie </w:t>
            </w:r>
            <w:proofErr w:type="spellStart"/>
            <w:r w:rsidRPr="001D330F">
              <w:t>patch’y</w:t>
            </w:r>
            <w:proofErr w:type="spellEnd"/>
            <w:r w:rsidRPr="001D330F">
              <w:t xml:space="preserve"> bezpieczeństwa,</w:t>
            </w:r>
          </w:p>
          <w:p w14:paraId="1CC8E4A6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>monitoring podatności,</w:t>
            </w:r>
          </w:p>
          <w:p w14:paraId="61F86DC6" w14:textId="77777777" w:rsidR="0094586B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>wsparcie z czasem reakcji na zgłoszenie najpóźniej w następnym dniu roboczym (NBD),</w:t>
            </w:r>
          </w:p>
          <w:p w14:paraId="12982AFC" w14:textId="77777777" w:rsidR="00F45EE0" w:rsidRPr="001D330F" w:rsidRDefault="0094586B" w:rsidP="0094586B">
            <w:pPr>
              <w:numPr>
                <w:ilvl w:val="0"/>
                <w:numId w:val="56"/>
              </w:numPr>
              <w:spacing w:after="20"/>
            </w:pPr>
            <w:r w:rsidRPr="001D330F">
              <w:t>coroczne przeglądy bezpieczeństwa i raporty</w:t>
            </w:r>
          </w:p>
        </w:tc>
      </w:tr>
    </w:tbl>
    <w:p w14:paraId="42CC92BA" w14:textId="77777777" w:rsidR="00F45EE0" w:rsidRPr="001D330F" w:rsidRDefault="00F45EE0" w:rsidP="00F45EE0">
      <w:pPr>
        <w:spacing w:line="276" w:lineRule="auto"/>
      </w:pPr>
    </w:p>
    <w:sectPr w:rsidR="00F45EE0" w:rsidRPr="001D330F" w:rsidSect="004955D9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B4F09" w14:textId="77777777" w:rsidR="008931D8" w:rsidRDefault="008931D8" w:rsidP="00DC27B6">
      <w:pPr>
        <w:spacing w:after="0" w:line="240" w:lineRule="auto"/>
      </w:pPr>
      <w:r>
        <w:separator/>
      </w:r>
    </w:p>
  </w:endnote>
  <w:endnote w:type="continuationSeparator" w:id="0">
    <w:p w14:paraId="2220653F" w14:textId="77777777" w:rsidR="008931D8" w:rsidRDefault="008931D8" w:rsidP="00DC2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0E8F" w14:textId="77777777" w:rsidR="00464980" w:rsidRDefault="004649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D7C8" w14:textId="77777777" w:rsidR="00464980" w:rsidRDefault="0046498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DB06" w14:textId="77777777" w:rsidR="00464980" w:rsidRDefault="0046498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57EDA" w14:textId="77777777" w:rsidR="008931D8" w:rsidRDefault="008931D8" w:rsidP="00DC27B6">
      <w:pPr>
        <w:spacing w:after="0" w:line="240" w:lineRule="auto"/>
      </w:pPr>
      <w:r>
        <w:separator/>
      </w:r>
    </w:p>
  </w:footnote>
  <w:footnote w:type="continuationSeparator" w:id="0">
    <w:p w14:paraId="1467C73A" w14:textId="77777777" w:rsidR="008931D8" w:rsidRDefault="008931D8" w:rsidP="00DC2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0297" w14:textId="77777777" w:rsidR="00464980" w:rsidRDefault="0046498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CB546" w14:textId="77777777" w:rsidR="00DC27B6" w:rsidRDefault="00DC27B6" w:rsidP="004D172D">
    <w:pPr>
      <w:pStyle w:val="Nagwek"/>
      <w:jc w:val="center"/>
    </w:pPr>
    <w:r w:rsidRPr="000A4543">
      <w:rPr>
        <w:noProof/>
        <w:sz w:val="20"/>
      </w:rPr>
      <w:drawing>
        <wp:inline distT="0" distB="0" distL="0" distR="0" wp14:anchorId="606E9FF5" wp14:editId="0EFB5CFD">
          <wp:extent cx="5760000" cy="608888"/>
          <wp:effectExtent l="0" t="0" r="0" b="635"/>
          <wp:doc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51954" name="Obraz 1" descr="The image depicts a series of logos and acronyms representing various institutions and projects in Poland, including Krajowa Agencja Rozwoju, Centralny Oￅﾛrodek Planowania, Polska, Unia Europejska, Projekt Europejski Next Generation, and CYFROWA.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6088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ED87" w14:textId="77777777" w:rsidR="00464980" w:rsidRDefault="0046498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B3A72"/>
    <w:multiLevelType w:val="hybridMultilevel"/>
    <w:tmpl w:val="4D620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1AE57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0742FF"/>
    <w:multiLevelType w:val="hybridMultilevel"/>
    <w:tmpl w:val="854C24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C79C9"/>
    <w:multiLevelType w:val="hybridMultilevel"/>
    <w:tmpl w:val="2D8CA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3844A2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E5109"/>
    <w:multiLevelType w:val="hybridMultilevel"/>
    <w:tmpl w:val="0EFE9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255DE"/>
    <w:multiLevelType w:val="hybridMultilevel"/>
    <w:tmpl w:val="EBEA2BF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DB58F9"/>
    <w:multiLevelType w:val="hybridMultilevel"/>
    <w:tmpl w:val="3FEC99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EE0"/>
    <w:multiLevelType w:val="multilevel"/>
    <w:tmpl w:val="6E2E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BB645C"/>
    <w:multiLevelType w:val="hybridMultilevel"/>
    <w:tmpl w:val="E9166D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450E4"/>
    <w:multiLevelType w:val="hybridMultilevel"/>
    <w:tmpl w:val="FFE20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62760"/>
    <w:multiLevelType w:val="hybridMultilevel"/>
    <w:tmpl w:val="959853CE"/>
    <w:lvl w:ilvl="0" w:tplc="966669A0">
      <w:start w:val="1"/>
      <w:numFmt w:val="bullet"/>
      <w:lvlText w:val="•"/>
      <w:lvlJc w:val="left"/>
      <w:pPr>
        <w:ind w:left="720" w:hanging="360"/>
      </w:pPr>
    </w:lvl>
    <w:lvl w:ilvl="1" w:tplc="7B6E9D3C">
      <w:numFmt w:val="decimal"/>
      <w:lvlText w:val=""/>
      <w:lvlJc w:val="left"/>
    </w:lvl>
    <w:lvl w:ilvl="2" w:tplc="B14890AC">
      <w:numFmt w:val="decimal"/>
      <w:lvlText w:val=""/>
      <w:lvlJc w:val="left"/>
    </w:lvl>
    <w:lvl w:ilvl="3" w:tplc="9E98CF0E">
      <w:numFmt w:val="decimal"/>
      <w:lvlText w:val=""/>
      <w:lvlJc w:val="left"/>
    </w:lvl>
    <w:lvl w:ilvl="4" w:tplc="E54290CA">
      <w:numFmt w:val="decimal"/>
      <w:lvlText w:val=""/>
      <w:lvlJc w:val="left"/>
    </w:lvl>
    <w:lvl w:ilvl="5" w:tplc="30FA6B76">
      <w:numFmt w:val="decimal"/>
      <w:lvlText w:val=""/>
      <w:lvlJc w:val="left"/>
    </w:lvl>
    <w:lvl w:ilvl="6" w:tplc="F8F6BA86">
      <w:numFmt w:val="decimal"/>
      <w:lvlText w:val=""/>
      <w:lvlJc w:val="left"/>
    </w:lvl>
    <w:lvl w:ilvl="7" w:tplc="2714A2DC">
      <w:numFmt w:val="decimal"/>
      <w:lvlText w:val=""/>
      <w:lvlJc w:val="left"/>
    </w:lvl>
    <w:lvl w:ilvl="8" w:tplc="738A1492">
      <w:numFmt w:val="decimal"/>
      <w:lvlText w:val=""/>
      <w:lvlJc w:val="left"/>
    </w:lvl>
  </w:abstractNum>
  <w:abstractNum w:abstractNumId="10" w15:restartNumberingAfterBreak="0">
    <w:nsid w:val="16893363"/>
    <w:multiLevelType w:val="hybridMultilevel"/>
    <w:tmpl w:val="4FDE5D1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B63900"/>
    <w:multiLevelType w:val="hybridMultilevel"/>
    <w:tmpl w:val="F32683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C56F8C"/>
    <w:multiLevelType w:val="hybridMultilevel"/>
    <w:tmpl w:val="29EA72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DF02054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FF14F9"/>
    <w:multiLevelType w:val="multilevel"/>
    <w:tmpl w:val="7F1E4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5D35E1"/>
    <w:multiLevelType w:val="hybridMultilevel"/>
    <w:tmpl w:val="74B493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A534C"/>
    <w:multiLevelType w:val="hybridMultilevel"/>
    <w:tmpl w:val="A7F84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9667B"/>
    <w:multiLevelType w:val="hybridMultilevel"/>
    <w:tmpl w:val="A7B65C6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9F5831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28C306D5"/>
    <w:multiLevelType w:val="hybridMultilevel"/>
    <w:tmpl w:val="7A0EE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D438B4"/>
    <w:multiLevelType w:val="hybridMultilevel"/>
    <w:tmpl w:val="4356B93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B0D5E48"/>
    <w:multiLevelType w:val="hybridMultilevel"/>
    <w:tmpl w:val="5496870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2CC365F0"/>
    <w:multiLevelType w:val="hybridMultilevel"/>
    <w:tmpl w:val="E0804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C81DE1"/>
    <w:multiLevelType w:val="hybridMultilevel"/>
    <w:tmpl w:val="D35639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096977"/>
    <w:multiLevelType w:val="hybridMultilevel"/>
    <w:tmpl w:val="A4ACE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AF5948"/>
    <w:multiLevelType w:val="hybridMultilevel"/>
    <w:tmpl w:val="F050E9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CB471C"/>
    <w:multiLevelType w:val="hybridMultilevel"/>
    <w:tmpl w:val="7CD2F41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9484BF8"/>
    <w:multiLevelType w:val="hybridMultilevel"/>
    <w:tmpl w:val="4A4EF2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5C4D72"/>
    <w:multiLevelType w:val="hybridMultilevel"/>
    <w:tmpl w:val="9DAE9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F3065C"/>
    <w:multiLevelType w:val="hybridMultilevel"/>
    <w:tmpl w:val="757A477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D326410"/>
    <w:multiLevelType w:val="multilevel"/>
    <w:tmpl w:val="EE3A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D645E84"/>
    <w:multiLevelType w:val="hybridMultilevel"/>
    <w:tmpl w:val="5A281B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CA7381"/>
    <w:multiLevelType w:val="multilevel"/>
    <w:tmpl w:val="D52EF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216897"/>
    <w:multiLevelType w:val="hybridMultilevel"/>
    <w:tmpl w:val="6B4CD33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30A1A89"/>
    <w:multiLevelType w:val="multilevel"/>
    <w:tmpl w:val="45B0E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FB04F5"/>
    <w:multiLevelType w:val="hybridMultilevel"/>
    <w:tmpl w:val="A51831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45191838"/>
    <w:multiLevelType w:val="hybridMultilevel"/>
    <w:tmpl w:val="A3E07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786D1C"/>
    <w:multiLevelType w:val="hybridMultilevel"/>
    <w:tmpl w:val="4384A90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BF65964"/>
    <w:multiLevelType w:val="hybridMultilevel"/>
    <w:tmpl w:val="C9182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F3C5E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6A0CD4"/>
    <w:multiLevelType w:val="hybridMultilevel"/>
    <w:tmpl w:val="870411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C72673"/>
    <w:multiLevelType w:val="hybridMultilevel"/>
    <w:tmpl w:val="DEC6DE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9A468D"/>
    <w:multiLevelType w:val="hybridMultilevel"/>
    <w:tmpl w:val="A84ABD6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52CB6F84"/>
    <w:multiLevelType w:val="multilevel"/>
    <w:tmpl w:val="EAEA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484039A"/>
    <w:multiLevelType w:val="hybridMultilevel"/>
    <w:tmpl w:val="D640D3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6443DCA"/>
    <w:multiLevelType w:val="hybridMultilevel"/>
    <w:tmpl w:val="8424EB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5044A5"/>
    <w:multiLevelType w:val="hybridMultilevel"/>
    <w:tmpl w:val="7B6A2B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C0210A5"/>
    <w:multiLevelType w:val="hybridMultilevel"/>
    <w:tmpl w:val="F55EB250"/>
    <w:lvl w:ilvl="0" w:tplc="783AE54A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CA04122"/>
    <w:multiLevelType w:val="hybridMultilevel"/>
    <w:tmpl w:val="EAAEC9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5E3E4368"/>
    <w:multiLevelType w:val="hybridMultilevel"/>
    <w:tmpl w:val="7272E4A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5EF229A3"/>
    <w:multiLevelType w:val="hybridMultilevel"/>
    <w:tmpl w:val="FDBE2B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404854"/>
    <w:multiLevelType w:val="hybridMultilevel"/>
    <w:tmpl w:val="F3C205F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332368B"/>
    <w:multiLevelType w:val="hybridMultilevel"/>
    <w:tmpl w:val="287A370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8541CEC"/>
    <w:multiLevelType w:val="hybridMultilevel"/>
    <w:tmpl w:val="6E4244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6457FA"/>
    <w:multiLevelType w:val="hybridMultilevel"/>
    <w:tmpl w:val="B2F0133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BD477C2"/>
    <w:multiLevelType w:val="hybridMultilevel"/>
    <w:tmpl w:val="606EE9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DE36964"/>
    <w:multiLevelType w:val="hybridMultilevel"/>
    <w:tmpl w:val="BBB80A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7B3CCA"/>
    <w:multiLevelType w:val="hybridMultilevel"/>
    <w:tmpl w:val="A6164B2C"/>
    <w:lvl w:ilvl="0" w:tplc="3B9C2178">
      <w:start w:val="1"/>
      <w:numFmt w:val="bullet"/>
      <w:lvlText w:val="◦"/>
      <w:lvlJc w:val="left"/>
      <w:pPr>
        <w:ind w:left="1440" w:hanging="360"/>
      </w:pPr>
    </w:lvl>
    <w:lvl w:ilvl="1" w:tplc="76A06B88">
      <w:numFmt w:val="decimal"/>
      <w:lvlText w:val=""/>
      <w:lvlJc w:val="left"/>
    </w:lvl>
    <w:lvl w:ilvl="2" w:tplc="D8501C5C">
      <w:numFmt w:val="decimal"/>
      <w:lvlText w:val=""/>
      <w:lvlJc w:val="left"/>
    </w:lvl>
    <w:lvl w:ilvl="3" w:tplc="7E74B876">
      <w:numFmt w:val="decimal"/>
      <w:lvlText w:val=""/>
      <w:lvlJc w:val="left"/>
    </w:lvl>
    <w:lvl w:ilvl="4" w:tplc="3B0246E0">
      <w:numFmt w:val="decimal"/>
      <w:lvlText w:val=""/>
      <w:lvlJc w:val="left"/>
    </w:lvl>
    <w:lvl w:ilvl="5" w:tplc="5952FAF8">
      <w:numFmt w:val="decimal"/>
      <w:lvlText w:val=""/>
      <w:lvlJc w:val="left"/>
    </w:lvl>
    <w:lvl w:ilvl="6" w:tplc="C3287CD6">
      <w:numFmt w:val="decimal"/>
      <w:lvlText w:val=""/>
      <w:lvlJc w:val="left"/>
    </w:lvl>
    <w:lvl w:ilvl="7" w:tplc="9E84D7F4">
      <w:numFmt w:val="decimal"/>
      <w:lvlText w:val=""/>
      <w:lvlJc w:val="left"/>
    </w:lvl>
    <w:lvl w:ilvl="8" w:tplc="6D283422">
      <w:numFmt w:val="decimal"/>
      <w:lvlText w:val=""/>
      <w:lvlJc w:val="left"/>
    </w:lvl>
  </w:abstractNum>
  <w:abstractNum w:abstractNumId="56" w15:restartNumberingAfterBreak="0">
    <w:nsid w:val="7373546E"/>
    <w:multiLevelType w:val="hybridMultilevel"/>
    <w:tmpl w:val="911A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7D4189"/>
    <w:multiLevelType w:val="hybridMultilevel"/>
    <w:tmpl w:val="DE18CB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5800961"/>
    <w:multiLevelType w:val="hybridMultilevel"/>
    <w:tmpl w:val="05C4AD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938399">
    <w:abstractNumId w:val="17"/>
  </w:num>
  <w:num w:numId="2" w16cid:durableId="1566145397">
    <w:abstractNumId w:val="12"/>
  </w:num>
  <w:num w:numId="3" w16cid:durableId="556598098">
    <w:abstractNumId w:val="4"/>
  </w:num>
  <w:num w:numId="4" w16cid:durableId="1845706263">
    <w:abstractNumId w:val="27"/>
  </w:num>
  <w:num w:numId="5" w16cid:durableId="243413681">
    <w:abstractNumId w:val="52"/>
  </w:num>
  <w:num w:numId="6" w16cid:durableId="1400975591">
    <w:abstractNumId w:val="35"/>
  </w:num>
  <w:num w:numId="7" w16cid:durableId="1954632806">
    <w:abstractNumId w:val="8"/>
  </w:num>
  <w:num w:numId="8" w16cid:durableId="844786530">
    <w:abstractNumId w:val="48"/>
  </w:num>
  <w:num w:numId="9" w16cid:durableId="196704582">
    <w:abstractNumId w:val="30"/>
  </w:num>
  <w:num w:numId="10" w16cid:durableId="863179557">
    <w:abstractNumId w:val="25"/>
  </w:num>
  <w:num w:numId="11" w16cid:durableId="498349735">
    <w:abstractNumId w:val="40"/>
  </w:num>
  <w:num w:numId="12" w16cid:durableId="905383283">
    <w:abstractNumId w:val="21"/>
  </w:num>
  <w:num w:numId="13" w16cid:durableId="1331635880">
    <w:abstractNumId w:val="34"/>
  </w:num>
  <w:num w:numId="14" w16cid:durableId="1134519109">
    <w:abstractNumId w:val="20"/>
  </w:num>
  <w:num w:numId="15" w16cid:durableId="1276669884">
    <w:abstractNumId w:val="32"/>
  </w:num>
  <w:num w:numId="16" w16cid:durableId="2008635023">
    <w:abstractNumId w:val="3"/>
  </w:num>
  <w:num w:numId="17" w16cid:durableId="348724446">
    <w:abstractNumId w:val="19"/>
  </w:num>
  <w:num w:numId="18" w16cid:durableId="1694960469">
    <w:abstractNumId w:val="47"/>
  </w:num>
  <w:num w:numId="19" w16cid:durableId="1990328468">
    <w:abstractNumId w:val="46"/>
  </w:num>
  <w:num w:numId="20" w16cid:durableId="1190417484">
    <w:abstractNumId w:val="28"/>
  </w:num>
  <w:num w:numId="21" w16cid:durableId="390420764">
    <w:abstractNumId w:val="36"/>
  </w:num>
  <w:num w:numId="22" w16cid:durableId="163596638">
    <w:abstractNumId w:val="49"/>
  </w:num>
  <w:num w:numId="23" w16cid:durableId="668868795">
    <w:abstractNumId w:val="42"/>
  </w:num>
  <w:num w:numId="24" w16cid:durableId="53432061">
    <w:abstractNumId w:val="2"/>
  </w:num>
  <w:num w:numId="25" w16cid:durableId="1463498089">
    <w:abstractNumId w:val="37"/>
  </w:num>
  <w:num w:numId="26" w16cid:durableId="1792747439">
    <w:abstractNumId w:val="18"/>
  </w:num>
  <w:num w:numId="27" w16cid:durableId="632487942">
    <w:abstractNumId w:val="0"/>
  </w:num>
  <w:num w:numId="28" w16cid:durableId="1314212444">
    <w:abstractNumId w:val="53"/>
  </w:num>
  <w:num w:numId="29" w16cid:durableId="1850758102">
    <w:abstractNumId w:val="1"/>
  </w:num>
  <w:num w:numId="30" w16cid:durableId="794101480">
    <w:abstractNumId w:val="22"/>
  </w:num>
  <w:num w:numId="31" w16cid:durableId="158542050">
    <w:abstractNumId w:val="7"/>
  </w:num>
  <w:num w:numId="32" w16cid:durableId="477646245">
    <w:abstractNumId w:val="57"/>
  </w:num>
  <w:num w:numId="33" w16cid:durableId="1182813521">
    <w:abstractNumId w:val="43"/>
  </w:num>
  <w:num w:numId="34" w16cid:durableId="1328754584">
    <w:abstractNumId w:val="15"/>
  </w:num>
  <w:num w:numId="35" w16cid:durableId="1836870280">
    <w:abstractNumId w:val="26"/>
  </w:num>
  <w:num w:numId="36" w16cid:durableId="207425308">
    <w:abstractNumId w:val="51"/>
  </w:num>
  <w:num w:numId="37" w16cid:durableId="258685670">
    <w:abstractNumId w:val="44"/>
  </w:num>
  <w:num w:numId="38" w16cid:durableId="708917631">
    <w:abstractNumId w:val="58"/>
  </w:num>
  <w:num w:numId="39" w16cid:durableId="1797410670">
    <w:abstractNumId w:val="54"/>
  </w:num>
  <w:num w:numId="40" w16cid:durableId="846679552">
    <w:abstractNumId w:val="5"/>
  </w:num>
  <w:num w:numId="41" w16cid:durableId="2022508211">
    <w:abstractNumId w:val="23"/>
  </w:num>
  <w:num w:numId="42" w16cid:durableId="929705360">
    <w:abstractNumId w:val="14"/>
  </w:num>
  <w:num w:numId="43" w16cid:durableId="16859121">
    <w:abstractNumId w:val="9"/>
    <w:lvlOverride w:ilvl="0">
      <w:startOverride w:val="1"/>
    </w:lvlOverride>
  </w:num>
  <w:num w:numId="44" w16cid:durableId="1392995915">
    <w:abstractNumId w:val="55"/>
    <w:lvlOverride w:ilvl="0">
      <w:startOverride w:val="1"/>
    </w:lvlOverride>
  </w:num>
  <w:num w:numId="45" w16cid:durableId="216598709">
    <w:abstractNumId w:val="10"/>
  </w:num>
  <w:num w:numId="46" w16cid:durableId="733624290">
    <w:abstractNumId w:val="50"/>
  </w:num>
  <w:num w:numId="47" w16cid:durableId="1140270047">
    <w:abstractNumId w:val="16"/>
  </w:num>
  <w:num w:numId="48" w16cid:durableId="1241790883">
    <w:abstractNumId w:val="39"/>
  </w:num>
  <w:num w:numId="49" w16cid:durableId="803541137">
    <w:abstractNumId w:val="38"/>
  </w:num>
  <w:num w:numId="50" w16cid:durableId="896167933">
    <w:abstractNumId w:val="11"/>
  </w:num>
  <w:num w:numId="51" w16cid:durableId="1664971881">
    <w:abstractNumId w:val="6"/>
  </w:num>
  <w:num w:numId="52" w16cid:durableId="1219365494">
    <w:abstractNumId w:val="56"/>
  </w:num>
  <w:num w:numId="53" w16cid:durableId="1062673237">
    <w:abstractNumId w:val="31"/>
  </w:num>
  <w:num w:numId="54" w16cid:durableId="1356270403">
    <w:abstractNumId w:val="41"/>
  </w:num>
  <w:num w:numId="55" w16cid:durableId="44138004">
    <w:abstractNumId w:val="33"/>
  </w:num>
  <w:num w:numId="56" w16cid:durableId="317878112">
    <w:abstractNumId w:val="13"/>
  </w:num>
  <w:num w:numId="57" w16cid:durableId="111752088">
    <w:abstractNumId w:val="29"/>
  </w:num>
  <w:num w:numId="58" w16cid:durableId="480999649">
    <w:abstractNumId w:val="24"/>
  </w:num>
  <w:num w:numId="59" w16cid:durableId="1347290096">
    <w:abstractNumId w:val="4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DE"/>
    <w:rsid w:val="0000095C"/>
    <w:rsid w:val="00000CBE"/>
    <w:rsid w:val="000103D3"/>
    <w:rsid w:val="00027C27"/>
    <w:rsid w:val="00050772"/>
    <w:rsid w:val="00070290"/>
    <w:rsid w:val="00087B57"/>
    <w:rsid w:val="0009163B"/>
    <w:rsid w:val="00092490"/>
    <w:rsid w:val="00094DBD"/>
    <w:rsid w:val="000A157C"/>
    <w:rsid w:val="000A48CB"/>
    <w:rsid w:val="000C7F37"/>
    <w:rsid w:val="000D51FA"/>
    <w:rsid w:val="00104DB2"/>
    <w:rsid w:val="00114FA7"/>
    <w:rsid w:val="001302F4"/>
    <w:rsid w:val="001576C6"/>
    <w:rsid w:val="00166ED7"/>
    <w:rsid w:val="00180292"/>
    <w:rsid w:val="001B61D7"/>
    <w:rsid w:val="001D330F"/>
    <w:rsid w:val="00204BDB"/>
    <w:rsid w:val="002066B3"/>
    <w:rsid w:val="00211056"/>
    <w:rsid w:val="00216E78"/>
    <w:rsid w:val="0022340C"/>
    <w:rsid w:val="002462C0"/>
    <w:rsid w:val="0025058A"/>
    <w:rsid w:val="00261673"/>
    <w:rsid w:val="002825F2"/>
    <w:rsid w:val="002836A3"/>
    <w:rsid w:val="0028470D"/>
    <w:rsid w:val="002A05D6"/>
    <w:rsid w:val="002B04D1"/>
    <w:rsid w:val="002E3EA5"/>
    <w:rsid w:val="002E57AA"/>
    <w:rsid w:val="002F7AE3"/>
    <w:rsid w:val="0030171B"/>
    <w:rsid w:val="0031682D"/>
    <w:rsid w:val="00316F57"/>
    <w:rsid w:val="0034705B"/>
    <w:rsid w:val="00353A6F"/>
    <w:rsid w:val="003622AC"/>
    <w:rsid w:val="003704AB"/>
    <w:rsid w:val="00387BBC"/>
    <w:rsid w:val="003A6D43"/>
    <w:rsid w:val="003C054E"/>
    <w:rsid w:val="003E2A7D"/>
    <w:rsid w:val="003E4D1E"/>
    <w:rsid w:val="003F71FF"/>
    <w:rsid w:val="003F7906"/>
    <w:rsid w:val="00407EFF"/>
    <w:rsid w:val="00424EA9"/>
    <w:rsid w:val="004327AA"/>
    <w:rsid w:val="00464980"/>
    <w:rsid w:val="004955D9"/>
    <w:rsid w:val="004C3582"/>
    <w:rsid w:val="004C5F76"/>
    <w:rsid w:val="004D172D"/>
    <w:rsid w:val="004E1E1E"/>
    <w:rsid w:val="004F6C92"/>
    <w:rsid w:val="00513E1A"/>
    <w:rsid w:val="00530D7C"/>
    <w:rsid w:val="00540F47"/>
    <w:rsid w:val="00540F90"/>
    <w:rsid w:val="0054119D"/>
    <w:rsid w:val="005551A8"/>
    <w:rsid w:val="005558C1"/>
    <w:rsid w:val="0058129C"/>
    <w:rsid w:val="00594CF7"/>
    <w:rsid w:val="005A4EFA"/>
    <w:rsid w:val="005D79CD"/>
    <w:rsid w:val="005E4877"/>
    <w:rsid w:val="006048BF"/>
    <w:rsid w:val="00636440"/>
    <w:rsid w:val="006576FA"/>
    <w:rsid w:val="00676A23"/>
    <w:rsid w:val="006776B9"/>
    <w:rsid w:val="00692200"/>
    <w:rsid w:val="006C525C"/>
    <w:rsid w:val="006C5A2F"/>
    <w:rsid w:val="006C6CC9"/>
    <w:rsid w:val="006C77F9"/>
    <w:rsid w:val="006D00F3"/>
    <w:rsid w:val="006D5DE7"/>
    <w:rsid w:val="00716B7E"/>
    <w:rsid w:val="00723162"/>
    <w:rsid w:val="00733EB1"/>
    <w:rsid w:val="007465DE"/>
    <w:rsid w:val="0077024E"/>
    <w:rsid w:val="00790822"/>
    <w:rsid w:val="0079255E"/>
    <w:rsid w:val="007A531B"/>
    <w:rsid w:val="007B3A4E"/>
    <w:rsid w:val="007D0B6A"/>
    <w:rsid w:val="007D1B10"/>
    <w:rsid w:val="007D6B38"/>
    <w:rsid w:val="007D6D40"/>
    <w:rsid w:val="007F20CC"/>
    <w:rsid w:val="00811973"/>
    <w:rsid w:val="00831864"/>
    <w:rsid w:val="008378AE"/>
    <w:rsid w:val="00886DC1"/>
    <w:rsid w:val="0089270C"/>
    <w:rsid w:val="008931D8"/>
    <w:rsid w:val="008E6A81"/>
    <w:rsid w:val="008F69D6"/>
    <w:rsid w:val="00915F9B"/>
    <w:rsid w:val="00924814"/>
    <w:rsid w:val="00931F81"/>
    <w:rsid w:val="0094586B"/>
    <w:rsid w:val="009807DA"/>
    <w:rsid w:val="00993370"/>
    <w:rsid w:val="009A30F7"/>
    <w:rsid w:val="009C3009"/>
    <w:rsid w:val="009C6D10"/>
    <w:rsid w:val="009F5EA9"/>
    <w:rsid w:val="00A03743"/>
    <w:rsid w:val="00A03F33"/>
    <w:rsid w:val="00A11C42"/>
    <w:rsid w:val="00A56A2C"/>
    <w:rsid w:val="00A56CCA"/>
    <w:rsid w:val="00A62028"/>
    <w:rsid w:val="00A655C3"/>
    <w:rsid w:val="00A9614C"/>
    <w:rsid w:val="00B11844"/>
    <w:rsid w:val="00B206FD"/>
    <w:rsid w:val="00B22762"/>
    <w:rsid w:val="00B526F3"/>
    <w:rsid w:val="00B55B7F"/>
    <w:rsid w:val="00B6267E"/>
    <w:rsid w:val="00B745DC"/>
    <w:rsid w:val="00B76CDC"/>
    <w:rsid w:val="00BD1308"/>
    <w:rsid w:val="00BD2E53"/>
    <w:rsid w:val="00BD66A9"/>
    <w:rsid w:val="00BE5C06"/>
    <w:rsid w:val="00BE7F61"/>
    <w:rsid w:val="00C158E9"/>
    <w:rsid w:val="00C21257"/>
    <w:rsid w:val="00C22384"/>
    <w:rsid w:val="00C2592E"/>
    <w:rsid w:val="00C57630"/>
    <w:rsid w:val="00C6201C"/>
    <w:rsid w:val="00C70E8D"/>
    <w:rsid w:val="00C745B9"/>
    <w:rsid w:val="00C74FE5"/>
    <w:rsid w:val="00C855FF"/>
    <w:rsid w:val="00CB26BD"/>
    <w:rsid w:val="00CB538E"/>
    <w:rsid w:val="00CD135D"/>
    <w:rsid w:val="00CE3C9F"/>
    <w:rsid w:val="00CF3C04"/>
    <w:rsid w:val="00CF6AFF"/>
    <w:rsid w:val="00D12908"/>
    <w:rsid w:val="00D26C93"/>
    <w:rsid w:val="00D322D9"/>
    <w:rsid w:val="00D43EAD"/>
    <w:rsid w:val="00D471DB"/>
    <w:rsid w:val="00D679FE"/>
    <w:rsid w:val="00D74A78"/>
    <w:rsid w:val="00D75045"/>
    <w:rsid w:val="00DA4397"/>
    <w:rsid w:val="00DA78FF"/>
    <w:rsid w:val="00DC27B6"/>
    <w:rsid w:val="00DC6A91"/>
    <w:rsid w:val="00DD4BC0"/>
    <w:rsid w:val="00DE50D0"/>
    <w:rsid w:val="00E14C6D"/>
    <w:rsid w:val="00E43043"/>
    <w:rsid w:val="00E50B4C"/>
    <w:rsid w:val="00E54C08"/>
    <w:rsid w:val="00E9402C"/>
    <w:rsid w:val="00EB1BC2"/>
    <w:rsid w:val="00EB5E80"/>
    <w:rsid w:val="00EC1E67"/>
    <w:rsid w:val="00EC5CC1"/>
    <w:rsid w:val="00EE7ABC"/>
    <w:rsid w:val="00EF4CA6"/>
    <w:rsid w:val="00F2279E"/>
    <w:rsid w:val="00F23FA3"/>
    <w:rsid w:val="00F276B2"/>
    <w:rsid w:val="00F45EE0"/>
    <w:rsid w:val="00F6470F"/>
    <w:rsid w:val="00F73931"/>
    <w:rsid w:val="00F963A9"/>
    <w:rsid w:val="00FA51D2"/>
    <w:rsid w:val="00FC06E3"/>
    <w:rsid w:val="00FC28CF"/>
    <w:rsid w:val="00FE1417"/>
    <w:rsid w:val="00FE27B3"/>
    <w:rsid w:val="00FE4ACA"/>
    <w:rsid w:val="00FF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5020"/>
  <w15:chartTrackingRefBased/>
  <w15:docId w15:val="{927AD209-5A86-4F7E-B82F-99A4A5D3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0772"/>
  </w:style>
  <w:style w:type="paragraph" w:styleId="Nagwek1">
    <w:name w:val="heading 1"/>
    <w:aliases w:val="KJU Nagłówek 1"/>
    <w:basedOn w:val="Normalny"/>
    <w:next w:val="Normalny"/>
    <w:link w:val="Nagwek1Znak"/>
    <w:qFormat/>
    <w:rsid w:val="007465DE"/>
    <w:pPr>
      <w:keepNext/>
      <w:keepLines/>
      <w:numPr>
        <w:numId w:val="1"/>
      </w:numPr>
      <w:spacing w:before="360" w:after="80"/>
      <w:outlineLvl w:val="0"/>
    </w:pPr>
    <w:rPr>
      <w:color w:val="0F4761" w:themeColor="accent1" w:themeShade="BF"/>
      <w:sz w:val="40"/>
      <w:szCs w:val="40"/>
    </w:rPr>
  </w:style>
  <w:style w:type="paragraph" w:styleId="Nagwek2">
    <w:name w:val="heading 2"/>
    <w:aliases w:val="N2"/>
    <w:basedOn w:val="Normalny"/>
    <w:next w:val="Normalny"/>
    <w:link w:val="Nagwek2Znak"/>
    <w:unhideWhenUsed/>
    <w:qFormat/>
    <w:rsid w:val="007465DE"/>
    <w:pPr>
      <w:keepNext/>
      <w:keepLines/>
      <w:numPr>
        <w:ilvl w:val="1"/>
        <w:numId w:val="1"/>
      </w:numPr>
      <w:spacing w:before="160" w:after="80"/>
      <w:outlineLvl w:val="1"/>
    </w:pPr>
    <w:rPr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65DE"/>
    <w:pPr>
      <w:keepNext/>
      <w:keepLines/>
      <w:numPr>
        <w:ilvl w:val="2"/>
        <w:numId w:val="1"/>
      </w:numPr>
      <w:spacing w:before="160" w:after="80"/>
      <w:outlineLvl w:val="2"/>
    </w:pPr>
    <w:rPr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465DE"/>
    <w:pPr>
      <w:keepNext/>
      <w:keepLines/>
      <w:numPr>
        <w:ilvl w:val="3"/>
        <w:numId w:val="1"/>
      </w:numPr>
      <w:spacing w:before="80" w:after="40"/>
      <w:outlineLvl w:val="3"/>
    </w:pPr>
    <w:rPr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465DE"/>
    <w:pPr>
      <w:keepNext/>
      <w:keepLines/>
      <w:numPr>
        <w:ilvl w:val="4"/>
        <w:numId w:val="1"/>
      </w:numPr>
      <w:spacing w:before="80" w:after="40"/>
      <w:outlineLvl w:val="4"/>
    </w:pPr>
    <w:rPr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465DE"/>
    <w:pPr>
      <w:keepNext/>
      <w:keepLines/>
      <w:numPr>
        <w:ilvl w:val="5"/>
        <w:numId w:val="1"/>
      </w:numPr>
      <w:spacing w:before="40" w:after="0"/>
      <w:outlineLvl w:val="5"/>
    </w:pPr>
    <w:rPr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7465DE"/>
    <w:pPr>
      <w:keepNext/>
      <w:keepLines/>
      <w:numPr>
        <w:ilvl w:val="6"/>
        <w:numId w:val="1"/>
      </w:numPr>
      <w:spacing w:before="40" w:after="0"/>
      <w:outlineLvl w:val="6"/>
    </w:pPr>
    <w:rPr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465DE"/>
    <w:pPr>
      <w:keepNext/>
      <w:keepLines/>
      <w:numPr>
        <w:ilvl w:val="7"/>
        <w:numId w:val="1"/>
      </w:numPr>
      <w:spacing w:after="0"/>
      <w:outlineLvl w:val="7"/>
    </w:pPr>
    <w:rPr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465DE"/>
    <w:pPr>
      <w:keepNext/>
      <w:keepLines/>
      <w:numPr>
        <w:ilvl w:val="8"/>
        <w:numId w:val="1"/>
      </w:numPr>
      <w:spacing w:after="0"/>
      <w:outlineLvl w:val="8"/>
    </w:pPr>
    <w:rPr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KJU Nagłówek 1 Znak"/>
    <w:basedOn w:val="Domylnaczcionkaakapitu"/>
    <w:link w:val="Nagwek1"/>
    <w:rsid w:val="007465DE"/>
    <w:rPr>
      <w:rFonts w:ascii="Calibri" w:eastAsia="Calibri" w:hAnsi="Calibri" w:cs="Calibri"/>
      <w:color w:val="0F4761" w:themeColor="accent1" w:themeShade="BF"/>
      <w:sz w:val="40"/>
      <w:szCs w:val="40"/>
    </w:rPr>
  </w:style>
  <w:style w:type="character" w:customStyle="1" w:styleId="Nagwek2Znak">
    <w:name w:val="Nagłówek 2 Znak"/>
    <w:aliases w:val="N2 Znak"/>
    <w:basedOn w:val="Domylnaczcionkaakapitu"/>
    <w:link w:val="Nagwek2"/>
    <w:rsid w:val="007465DE"/>
    <w:rPr>
      <w:rFonts w:ascii="Calibri" w:eastAsia="Calibri" w:hAnsi="Calibri" w:cs="Calibr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465DE"/>
    <w:rPr>
      <w:rFonts w:ascii="Calibri" w:eastAsia="Calibri" w:hAnsi="Calibri" w:cs="Calibr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7465DE"/>
    <w:rPr>
      <w:rFonts w:ascii="Calibri" w:eastAsia="Calibri" w:hAnsi="Calibri" w:cs="Calibri"/>
      <w:i/>
      <w:iCs/>
      <w:color w:val="0F4761" w:themeColor="accent1" w:themeShade="BF"/>
      <w:sz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7465DE"/>
    <w:rPr>
      <w:rFonts w:ascii="Calibri" w:eastAsia="Calibri" w:hAnsi="Calibri" w:cs="Calibri"/>
      <w:color w:val="0F4761" w:themeColor="accent1" w:themeShade="BF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rsid w:val="007465DE"/>
    <w:rPr>
      <w:rFonts w:ascii="Calibri" w:eastAsia="Calibri" w:hAnsi="Calibri" w:cs="Calibri"/>
      <w:i/>
      <w:iCs/>
      <w:color w:val="595959" w:themeColor="text1" w:themeTint="A6"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7465DE"/>
    <w:rPr>
      <w:rFonts w:ascii="Calibri" w:eastAsia="Calibri" w:hAnsi="Calibri" w:cs="Calibri"/>
      <w:color w:val="595959" w:themeColor="text1" w:themeTint="A6"/>
      <w:sz w:val="20"/>
    </w:rPr>
  </w:style>
  <w:style w:type="character" w:customStyle="1" w:styleId="Nagwek8Znak">
    <w:name w:val="Nagłówek 8 Znak"/>
    <w:basedOn w:val="Domylnaczcionkaakapitu"/>
    <w:link w:val="Nagwek8"/>
    <w:uiPriority w:val="9"/>
    <w:rsid w:val="007465DE"/>
    <w:rPr>
      <w:rFonts w:ascii="Calibri" w:eastAsia="Calibri" w:hAnsi="Calibri" w:cs="Calibri"/>
      <w:i/>
      <w:iCs/>
      <w:color w:val="272727" w:themeColor="text1" w:themeTint="D8"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7465DE"/>
    <w:rPr>
      <w:rFonts w:ascii="Calibri" w:eastAsia="Calibri" w:hAnsi="Calibri" w:cs="Calibri"/>
      <w:color w:val="272727" w:themeColor="text1" w:themeTint="D8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465DE"/>
    <w:pPr>
      <w:spacing w:after="8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65DE"/>
    <w:rPr>
      <w:rFonts w:ascii="Calibri" w:eastAsia="Calibri" w:hAnsi="Calibri" w:cs="Calibr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65D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65DE"/>
    <w:rPr>
      <w:rFonts w:ascii="Calibri" w:eastAsia="Calibri" w:hAnsi="Calibri" w:cs="Calibr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6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65DE"/>
    <w:rPr>
      <w:rFonts w:ascii="Calibri" w:eastAsia="Calibri" w:hAnsi="Calibri" w:cs="Calibri"/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Norm"/>
    <w:basedOn w:val="Normalny"/>
    <w:link w:val="AkapitzlistZnak"/>
    <w:uiPriority w:val="34"/>
    <w:qFormat/>
    <w:rsid w:val="007465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65DE"/>
    <w:rPr>
      <w:rFonts w:ascii="Calibri" w:eastAsia="Calibri" w:hAnsi="Calibri" w:cs="Calibri"/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65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65DE"/>
    <w:rPr>
      <w:rFonts w:ascii="Calibri" w:eastAsia="Calibri" w:hAnsi="Calibri" w:cs="Calibri"/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65DE"/>
    <w:rPr>
      <w:rFonts w:ascii="Calibri" w:eastAsia="Calibri" w:hAnsi="Calibri" w:cs="Calibri"/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C2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27B6"/>
  </w:style>
  <w:style w:type="paragraph" w:styleId="Stopka">
    <w:name w:val="footer"/>
    <w:basedOn w:val="Normalny"/>
    <w:link w:val="StopkaZnak"/>
    <w:uiPriority w:val="99"/>
    <w:unhideWhenUsed/>
    <w:rsid w:val="00DC2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7B6"/>
  </w:style>
  <w:style w:type="table" w:styleId="Tabela-Siatka">
    <w:name w:val="Table Grid"/>
    <w:basedOn w:val="Standardowy"/>
    <w:uiPriority w:val="39"/>
    <w:rsid w:val="00F73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094DBD"/>
  </w:style>
  <w:style w:type="paragraph" w:styleId="NormalnyWeb">
    <w:name w:val="Normal (Web)"/>
    <w:basedOn w:val="Normalny"/>
    <w:uiPriority w:val="99"/>
    <w:unhideWhenUsed/>
    <w:rsid w:val="00094DBD"/>
    <w:pPr>
      <w:spacing w:before="100" w:beforeAutospacing="1" w:after="100" w:afterAutospacing="1" w:line="240" w:lineRule="auto"/>
    </w:pPr>
    <w:rPr>
      <w:kern w:val="0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094DBD"/>
    <w:pPr>
      <w:spacing w:after="0" w:line="240" w:lineRule="auto"/>
    </w:pPr>
    <w:rPr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3">
    <w:name w:val="Akapit z listą3"/>
    <w:basedOn w:val="Normalny"/>
    <w:rsid w:val="00087B57"/>
    <w:pPr>
      <w:spacing w:after="0" w:line="240" w:lineRule="auto"/>
      <w:ind w:left="720"/>
      <w:contextualSpacing/>
    </w:pPr>
    <w:rPr>
      <w:kern w:val="0"/>
      <w:szCs w:val="20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C054E"/>
    <w:pPr>
      <w:numPr>
        <w:numId w:val="0"/>
      </w:numPr>
      <w:spacing w:before="480" w:after="0" w:line="276" w:lineRule="auto"/>
      <w:outlineLvl w:val="9"/>
    </w:pPr>
    <w:rPr>
      <w:b/>
      <w:bCs/>
      <w:kern w:val="0"/>
      <w:sz w:val="28"/>
      <w:szCs w:val="28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3C054E"/>
    <w:pPr>
      <w:spacing w:before="120" w:after="120"/>
    </w:pPr>
    <w:rPr>
      <w:b/>
      <w:bCs/>
      <w:caps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3C054E"/>
    <w:pPr>
      <w:spacing w:after="0"/>
      <w:ind w:left="200"/>
    </w:pPr>
    <w:rPr>
      <w:smallCaps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3C054E"/>
    <w:pPr>
      <w:spacing w:after="0"/>
      <w:ind w:left="400"/>
    </w:pPr>
    <w:rPr>
      <w:i/>
      <w:iCs/>
      <w:szCs w:val="20"/>
    </w:rPr>
  </w:style>
  <w:style w:type="character" w:styleId="Hipercze">
    <w:name w:val="Hyperlink"/>
    <w:basedOn w:val="Domylnaczcionkaakapitu"/>
    <w:uiPriority w:val="99"/>
    <w:unhideWhenUsed/>
    <w:rsid w:val="003C054E"/>
    <w:rPr>
      <w:rFonts w:ascii="Calibri" w:eastAsia="Calibri" w:hAnsi="Calibri" w:cs="Calibri"/>
      <w:color w:val="467886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3C054E"/>
    <w:pPr>
      <w:spacing w:after="0"/>
      <w:ind w:left="600"/>
    </w:pPr>
    <w:rPr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C054E"/>
    <w:pPr>
      <w:spacing w:after="0"/>
      <w:ind w:left="800"/>
    </w:pPr>
    <w:rPr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3C054E"/>
    <w:pPr>
      <w:spacing w:after="0"/>
      <w:ind w:left="1000"/>
    </w:pPr>
    <w:rPr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3C054E"/>
    <w:pPr>
      <w:spacing w:after="0"/>
      <w:ind w:left="1200"/>
    </w:pPr>
    <w:rPr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C054E"/>
    <w:pPr>
      <w:spacing w:after="0"/>
      <w:ind w:left="1400"/>
    </w:pPr>
    <w:rPr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3C054E"/>
    <w:pPr>
      <w:spacing w:after="0"/>
      <w:ind w:left="1600"/>
    </w:pPr>
    <w:rPr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66A9"/>
    <w:rPr>
      <w:rFonts w:ascii="Calibri" w:eastAsia="Calibri" w:hAnsi="Calibri" w:cs="Calibri"/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A03F33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847DF9-8F7B-4E66-9D81-F4D551748F5B}">
  <ds:schemaRefs>
    <ds:schemaRef ds:uri="http://schemas.microsoft.com/office/2006/metadata/properties"/>
    <ds:schemaRef ds:uri="http://schemas.microsoft.com/office/infopath/2007/PartnerControls"/>
    <ds:schemaRef ds:uri="79044058-ee49-4506-85cb-ff0a31a4b388"/>
    <ds:schemaRef ds:uri="b0a7f652-8be4-4f03-937f-6e5f9716f487"/>
  </ds:schemaRefs>
</ds:datastoreItem>
</file>

<file path=customXml/itemProps2.xml><?xml version="1.0" encoding="utf-8"?>
<ds:datastoreItem xmlns:ds="http://schemas.openxmlformats.org/officeDocument/2006/customXml" ds:itemID="{61747D8B-A484-456C-8295-0CF5F4145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20695-4B01-4438-94A2-20822CF6E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41E36C-9CBC-6C4C-A7E3-8BCB7A450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4537</Words>
  <Characters>27222</Characters>
  <Application>Microsoft Office Word</Application>
  <DocSecurity>0</DocSecurity>
  <Lines>226</Lines>
  <Paragraphs>63</Paragraphs>
  <ScaleCrop>false</ScaleCrop>
  <Company/>
  <LinksUpToDate>false</LinksUpToDate>
  <CharactersWithSpaces>31696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Janas | mjc sp. z o.o.</dc:creator>
  <cp:keywords/>
  <dc:description/>
  <cp:lastModifiedBy>Agnieszka Leśniowska</cp:lastModifiedBy>
  <cp:revision>3</cp:revision>
  <dcterms:created xsi:type="dcterms:W3CDTF">2026-09-29T09:24:00Z</dcterms:created>
  <dcterms:modified xsi:type="dcterms:W3CDTF">2026-10-14T07:50:00Z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