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02B36" w14:textId="77777777" w:rsidR="00A727AE" w:rsidRPr="007F30FB" w:rsidRDefault="00A727AE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42813C16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3ADC0396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152906E7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62355484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363801B6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13182297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6328DC67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51F8C809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49EB3CCD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6C154388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751B3E47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44EB9B8E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32D7999C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12813009" w14:textId="59B1F092" w:rsidR="007F30FB" w:rsidRPr="007F30FB" w:rsidRDefault="007F30FB" w:rsidP="007F30FB">
      <w:pPr>
        <w:spacing w:after="0" w:line="240" w:lineRule="auto"/>
        <w:contextualSpacing/>
        <w:jc w:val="center"/>
        <w:rPr>
          <w:rFonts w:ascii="Calibri" w:hAnsi="Calibri" w:cs="Calibri"/>
          <w:b/>
          <w:bCs/>
        </w:rPr>
      </w:pPr>
      <w:r w:rsidRPr="007F30FB">
        <w:rPr>
          <w:rFonts w:ascii="Calibri" w:hAnsi="Calibri" w:cs="Calibri"/>
          <w:b/>
          <w:bCs/>
        </w:rPr>
        <w:t>Opis przedmiotu zamówienia</w:t>
      </w:r>
    </w:p>
    <w:p w14:paraId="79F16409" w14:textId="0C755118" w:rsidR="007F30FB" w:rsidRPr="007F30FB" w:rsidRDefault="007F30FB" w:rsidP="007F30FB">
      <w:pPr>
        <w:spacing w:after="0" w:line="240" w:lineRule="auto"/>
        <w:contextualSpacing/>
        <w:jc w:val="center"/>
        <w:rPr>
          <w:rFonts w:ascii="Calibri" w:hAnsi="Calibri" w:cs="Calibri"/>
          <w:b/>
          <w:bCs/>
        </w:rPr>
      </w:pPr>
      <w:r w:rsidRPr="007F30FB">
        <w:rPr>
          <w:rFonts w:ascii="Calibri" w:hAnsi="Calibri" w:cs="Calibri"/>
          <w:b/>
          <w:bCs/>
        </w:rPr>
        <w:t xml:space="preserve">Remont komory fumigacyjnej </w:t>
      </w:r>
      <w:r>
        <w:rPr>
          <w:rFonts w:ascii="Calibri" w:hAnsi="Calibri" w:cs="Calibri"/>
          <w:b/>
          <w:bCs/>
        </w:rPr>
        <w:t xml:space="preserve">w siedzibie </w:t>
      </w:r>
      <w:r w:rsidRPr="007F30FB">
        <w:rPr>
          <w:rFonts w:ascii="Calibri" w:hAnsi="Calibri" w:cs="Calibri"/>
          <w:b/>
          <w:bCs/>
        </w:rPr>
        <w:t>Archiwum Państwowego w Bydgoszczy</w:t>
      </w:r>
    </w:p>
    <w:p w14:paraId="78668508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7C41D186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71EC11E3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5EADEAF8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3D137CDD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2983E4C1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3E02B3E5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3548A08E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5B18E992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623DD26A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2F4DDBC1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2BBA5C5F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07D28F9D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20D08C01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0A9A1791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3B2DF343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06C04C05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65EE0FE2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67B44A2A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08D7F78C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21919FDD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4BE610F4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326C9BED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13E94900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27D015CD" w14:textId="77777777" w:rsid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7C01F22F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547A90D6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66435067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560B7467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39C66CC4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33F17F44" w14:textId="77777777" w:rsidR="007F30FB" w:rsidRPr="007F30FB" w:rsidRDefault="007F30FB" w:rsidP="007F30FB">
      <w:pPr>
        <w:spacing w:after="0" w:line="240" w:lineRule="auto"/>
        <w:contextualSpacing/>
        <w:rPr>
          <w:rFonts w:ascii="Calibri" w:hAnsi="Calibri" w:cs="Calibri"/>
        </w:rPr>
      </w:pPr>
    </w:p>
    <w:p w14:paraId="7D27CECB" w14:textId="6A6E8C5A" w:rsidR="00E433AD" w:rsidRDefault="00E433AD" w:rsidP="007F30FB">
      <w:pPr>
        <w:spacing w:after="0" w:line="240" w:lineRule="auto"/>
        <w:contextualSpacing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>Przedmiotem zamówienia jest remont komory fumigacyjnej KONVAK KF-1 z pulpitem sterowniczym z roku 2005 r.</w:t>
      </w:r>
    </w:p>
    <w:p w14:paraId="448360C9" w14:textId="77777777" w:rsidR="00E433AD" w:rsidRDefault="00E433AD" w:rsidP="007F30FB">
      <w:pPr>
        <w:spacing w:after="0" w:line="240" w:lineRule="auto"/>
        <w:contextualSpacing/>
        <w:jc w:val="both"/>
        <w:rPr>
          <w:rFonts w:ascii="Calibri" w:hAnsi="Calibri" w:cs="Calibri"/>
          <w:b/>
          <w:bCs/>
        </w:rPr>
      </w:pPr>
    </w:p>
    <w:p w14:paraId="4596970D" w14:textId="7B353D73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  <w:b/>
          <w:bCs/>
        </w:rPr>
      </w:pPr>
      <w:r w:rsidRPr="007F30FB">
        <w:rPr>
          <w:rFonts w:ascii="Calibri" w:hAnsi="Calibri" w:cs="Calibri"/>
          <w:b/>
          <w:bCs/>
        </w:rPr>
        <w:t>1. Katalizator</w:t>
      </w:r>
    </w:p>
    <w:p w14:paraId="3D2D9ECC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Remont katalizatora firmy KONVAK polegający na:</w:t>
      </w:r>
    </w:p>
    <w:p w14:paraId="1A31C01E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 xml:space="preserve">- wymianie 18 grzałek (1500W/230V typ pętla 02.521) reaktora </w:t>
      </w:r>
    </w:p>
    <w:p w14:paraId="01A407BC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- wymianie złoży palladowych</w:t>
      </w:r>
    </w:p>
    <w:p w14:paraId="0CC959B1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- uszczelnieniu wymiennika ciepła</w:t>
      </w:r>
    </w:p>
    <w:p w14:paraId="23829D17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 xml:space="preserve">- wymianie okablowania sygnałowego oraz czujników temperatury i presostatu </w:t>
      </w:r>
    </w:p>
    <w:p w14:paraId="64D14CC3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  <w:b/>
          <w:bCs/>
        </w:rPr>
      </w:pPr>
      <w:r w:rsidRPr="007F30FB">
        <w:rPr>
          <w:rFonts w:ascii="Calibri" w:hAnsi="Calibri" w:cs="Calibri"/>
          <w:b/>
          <w:bCs/>
        </w:rPr>
        <w:t>2.  Układ wpuszczania gazu</w:t>
      </w:r>
    </w:p>
    <w:p w14:paraId="4C7ACF62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Remont układu wpuszczania gazu S-9 do zbiornika komory polegający na:</w:t>
      </w:r>
    </w:p>
    <w:p w14:paraId="1E72D266" w14:textId="6785EC0A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- demontażu i utylizacji bojlera z wężownicą do ogrzewania gazu S-9</w:t>
      </w:r>
    </w:p>
    <w:p w14:paraId="35FE46D5" w14:textId="091CA071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- montażu dwóch elektrycznych przepływowych ogrzewaczy gazu GVW (P1-200 bar)</w:t>
      </w:r>
    </w:p>
    <w:p w14:paraId="76F0208F" w14:textId="2A43CB85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- wymianie okablowania sygnałowego oraz montażu elektronicznego czujnika ciśnienia gazu (PT-100-SEG14-A-ZVG/US)</w:t>
      </w:r>
    </w:p>
    <w:p w14:paraId="751DFD37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- montażu filtra F2 (32-11RS)</w:t>
      </w:r>
    </w:p>
    <w:p w14:paraId="1A881D25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  <w:b/>
          <w:bCs/>
        </w:rPr>
      </w:pPr>
      <w:r w:rsidRPr="007F30FB">
        <w:rPr>
          <w:rFonts w:ascii="Calibri" w:hAnsi="Calibri" w:cs="Calibri"/>
          <w:b/>
          <w:bCs/>
        </w:rPr>
        <w:t>3. Automatyka i system sterowania</w:t>
      </w:r>
    </w:p>
    <w:p w14:paraId="72D2D926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Remont polegający na dostosowaniu istniejącej infrastruktury sprzętowej do poniższych standardów użytkowych niezbędnych do obsługi procesu fumigacji z poziomu komputera PC.</w:t>
      </w:r>
    </w:p>
    <w:p w14:paraId="1DE1764D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Architektura sprzętowa:</w:t>
      </w:r>
    </w:p>
    <w:p w14:paraId="6D84263C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Sterownik programowalny (PLC) klasy przemysłowej z dedykowanymi modułami wejść/wyjść cyfrowych oraz analogowych o wysokiej rozdzielczości (min. 16-bit) dla dokładnego odczytu temperatur, ciśnienia próżni oraz ciśnienia gazu z wbudowaną obsługa sieci Ethernet zgodny ze standardem bezpieczeństwa IEC/EN 61131-2.</w:t>
      </w:r>
    </w:p>
    <w:p w14:paraId="01BBC9D5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Aparatura zabezpieczająca i sterująca w wykonaniu przemysłowym (styczniki mocy, wyłączniki silnikowe oraz zabezpieczenia nadprądowe i różnicowoprądowe.</w:t>
      </w:r>
    </w:p>
    <w:p w14:paraId="1C3A9193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Stacja PC z obsługą receptur, rejestracją cykli  trendami czasowymi oraz zarządzaniem uprawnieniami użytkowników (zgodność z normami audytowalności procesów).</w:t>
      </w:r>
    </w:p>
    <w:p w14:paraId="0DEF79CB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Wymagania funkcjonalne układu automatyki</w:t>
      </w:r>
    </w:p>
    <w:p w14:paraId="37200C81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System sterowania (PLC + SCADA) musi zapewniać pełną, automatyczną realizację receptur procesowych oraz realizować następujące pętle regulacji i sekwencje sterowania:</w:t>
      </w:r>
    </w:p>
    <w:p w14:paraId="638C8DB3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Utrzymanie i regulacja temperatury komory:</w:t>
      </w:r>
    </w:p>
    <w:p w14:paraId="2224E7E4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◦</w:t>
      </w:r>
      <w:r w:rsidRPr="007F30FB">
        <w:rPr>
          <w:rFonts w:ascii="Calibri" w:hAnsi="Calibri" w:cs="Calibri"/>
        </w:rPr>
        <w:tab/>
        <w:t>Strefowa) regulacja temperatury wewnątrz komory na podstawie wybranego programu dezynfekcji oraz aktualnego kroku procesu.</w:t>
      </w:r>
    </w:p>
    <w:p w14:paraId="7CE0E3D3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◦</w:t>
      </w:r>
      <w:r w:rsidRPr="007F30FB">
        <w:rPr>
          <w:rFonts w:ascii="Calibri" w:hAnsi="Calibri" w:cs="Calibri"/>
        </w:rPr>
        <w:tab/>
        <w:t>Zabezpieczenie programowe i sprzętowe przed przekroczeniem dopuszczalnej temperatury maksymalnej.</w:t>
      </w:r>
    </w:p>
    <w:p w14:paraId="5A91193A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 xml:space="preserve">Utrzymanie i regulacja wilgotności względnej </w:t>
      </w:r>
    </w:p>
    <w:p w14:paraId="0B819E6A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◦</w:t>
      </w:r>
      <w:r w:rsidRPr="007F30FB">
        <w:rPr>
          <w:rFonts w:ascii="Calibri" w:hAnsi="Calibri" w:cs="Calibri"/>
        </w:rPr>
        <w:tab/>
        <w:t>Automatyczna kontrola i regulacja poziomu wilgotności wewnątrz komory zgodnie z wytycznymi aktywnego programu.</w:t>
      </w:r>
    </w:p>
    <w:p w14:paraId="06A701E8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◦</w:t>
      </w:r>
      <w:r w:rsidRPr="007F30FB">
        <w:rPr>
          <w:rFonts w:ascii="Calibri" w:hAnsi="Calibri" w:cs="Calibri"/>
        </w:rPr>
        <w:tab/>
        <w:t>Sterowanie układem dozowania pary z korekcją uwzględniającą aktualną temperaturę oraz ciśnienie wewnątrz komory.</w:t>
      </w:r>
    </w:p>
    <w:p w14:paraId="5000DA00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◦</w:t>
      </w:r>
      <w:r w:rsidRPr="007F30FB">
        <w:rPr>
          <w:rFonts w:ascii="Calibri" w:hAnsi="Calibri" w:cs="Calibri"/>
        </w:rPr>
        <w:tab/>
        <w:t>Precyzyjny odczyt z czujnika wilgotności przystosowanego do pracy w warunkach zmiennego ciśnienia (od próżni do ciśnienia atmosferycznego).</w:t>
      </w:r>
    </w:p>
    <w:p w14:paraId="4BB81F18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Sterowanie i regulacja podciśnienia w komorze:</w:t>
      </w:r>
    </w:p>
    <w:p w14:paraId="718DC78A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◦</w:t>
      </w:r>
      <w:r w:rsidRPr="007F30FB">
        <w:rPr>
          <w:rFonts w:ascii="Calibri" w:hAnsi="Calibri" w:cs="Calibri"/>
        </w:rPr>
        <w:tab/>
        <w:t>Dynamiczna regulacja i utrzymywanie zadanego poziomu podciśnienia w zależności od wybranego programu oraz bieżącego kroku cyklu .</w:t>
      </w:r>
    </w:p>
    <w:p w14:paraId="672CE195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lastRenderedPageBreak/>
        <w:t>◦</w:t>
      </w:r>
      <w:r w:rsidRPr="007F30FB">
        <w:rPr>
          <w:rFonts w:ascii="Calibri" w:hAnsi="Calibri" w:cs="Calibri"/>
        </w:rPr>
        <w:tab/>
        <w:t>Integracja ze sterowaniem układem pomp próżniowych, zaworów odcinających oraz zaworów dopowietrzających.</w:t>
      </w:r>
    </w:p>
    <w:p w14:paraId="3FD6F30F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◦</w:t>
      </w:r>
      <w:r w:rsidRPr="007F30FB">
        <w:rPr>
          <w:rFonts w:ascii="Calibri" w:hAnsi="Calibri" w:cs="Calibri"/>
        </w:rPr>
        <w:tab/>
        <w:t>Obsługa przetwornika ciśnienia/próżni o wysokiej rozdzielczości i stabilności pomiarowej.</w:t>
      </w:r>
    </w:p>
    <w:p w14:paraId="34376FCD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Automatyczne dozowanie i bilansowanie gazu procesowego:</w:t>
      </w:r>
    </w:p>
    <w:p w14:paraId="4DC8CDC9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◦</w:t>
      </w:r>
      <w:r w:rsidRPr="007F30FB">
        <w:rPr>
          <w:rFonts w:ascii="Calibri" w:hAnsi="Calibri" w:cs="Calibri"/>
        </w:rPr>
        <w:tab/>
        <w:t>Automatyczne wpuszczanie gazu dezynfekcyjnego do wnętrza komory po spełnieniu warunków początkowych (osiągnięcie wymaganej próżni, temperatury i wilgotności).</w:t>
      </w:r>
    </w:p>
    <w:p w14:paraId="2B8B6858" w14:textId="3CAF6432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◦</w:t>
      </w:r>
      <w:r w:rsidRPr="007F30FB">
        <w:rPr>
          <w:rFonts w:ascii="Calibri" w:hAnsi="Calibri" w:cs="Calibri"/>
        </w:rPr>
        <w:tab/>
        <w:t>Kontrola oraz pomiar ilości wpuszczonego gazu:</w:t>
      </w:r>
    </w:p>
    <w:p w14:paraId="1E2EC705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▪</w:t>
      </w:r>
      <w:r w:rsidRPr="007F30FB">
        <w:rPr>
          <w:rFonts w:ascii="Calibri" w:hAnsi="Calibri" w:cs="Calibri"/>
        </w:rPr>
        <w:tab/>
        <w:t>Pomiar oparty na bilansie ciśnieniowym.</w:t>
      </w:r>
    </w:p>
    <w:p w14:paraId="0395D67F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▪</w:t>
      </w:r>
      <w:r w:rsidRPr="007F30FB">
        <w:rPr>
          <w:rFonts w:ascii="Calibri" w:hAnsi="Calibri" w:cs="Calibri"/>
        </w:rPr>
        <w:tab/>
        <w:t>Pomiar bezpośredni za pomocą masowego przepływomierza gazowego.</w:t>
      </w:r>
    </w:p>
    <w:p w14:paraId="26528B26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◦</w:t>
      </w:r>
      <w:r w:rsidRPr="007F30FB">
        <w:rPr>
          <w:rFonts w:ascii="Calibri" w:hAnsi="Calibri" w:cs="Calibri"/>
        </w:rPr>
        <w:tab/>
        <w:t>Automatyczna weryfikacja i porównanie wartości zadanej z faktycznie podaną dawką gazu. W przypadku wykrycia odchyłki przekraczającej zdefiniowany próg tolerancji, system musi natychmiast przerwać proces, przejść do bezpiecznej procedury zrzutu/neutralizacji gazu i zgłosić błąd krytyczny.</w:t>
      </w:r>
    </w:p>
    <w:p w14:paraId="47B0EF72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Sterowanie i regulacja pracy abatora:</w:t>
      </w:r>
    </w:p>
    <w:p w14:paraId="69DEBC8E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◦</w:t>
      </w:r>
      <w:r w:rsidRPr="007F30FB">
        <w:rPr>
          <w:rFonts w:ascii="Calibri" w:hAnsi="Calibri" w:cs="Calibri"/>
        </w:rPr>
        <w:tab/>
        <w:t>Utrzymanie i regulacja temperatury poprzez układ grzałek i tyrystorowy sterownik mocy grzania</w:t>
      </w:r>
    </w:p>
    <w:p w14:paraId="20F4931E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◦</w:t>
      </w:r>
      <w:r w:rsidRPr="007F30FB">
        <w:rPr>
          <w:rFonts w:ascii="Calibri" w:hAnsi="Calibri" w:cs="Calibri"/>
        </w:rPr>
        <w:tab/>
        <w:t>Kontrola parametrów pracy oraz przepływu.</w:t>
      </w:r>
    </w:p>
    <w:p w14:paraId="61BC9F38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  <w:b/>
          <w:bCs/>
        </w:rPr>
      </w:pPr>
      <w:r w:rsidRPr="007F30FB">
        <w:rPr>
          <w:rFonts w:ascii="Calibri" w:hAnsi="Calibri" w:cs="Calibri"/>
          <w:b/>
          <w:bCs/>
        </w:rPr>
        <w:t>4. Systemy ogrzewania zbiornika komory i powietrza</w:t>
      </w:r>
    </w:p>
    <w:p w14:paraId="1C34FF76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Remont układu ogrzewania zbiornika komory oraz systemu ogrzewania powietrza polegający na:</w:t>
      </w:r>
    </w:p>
    <w:p w14:paraId="38391CB9" w14:textId="596287BC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- demontażu i utylizacji bojlera z wężownicą do ogrzewania zbiornika i powietrza</w:t>
      </w:r>
    </w:p>
    <w:p w14:paraId="020FAA4C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- montażu kotła elektryczno-wodnego o mocy 4/6kW wyposażonego w opcję C.W.U. odpowietrznik, manometr, pompę elektroniczną, zawór bezpieczeństwa, naczynie przeponowe i opcję sterowania przez Wi-Fi.</w:t>
      </w:r>
    </w:p>
    <w:p w14:paraId="2E04C4DB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- montaż elektrycznej nagrzewnicy powietrza z płynna regulacją mocy (100-500W) wyposażonej w filtr wstępny M5 i filtr HEPA.</w:t>
      </w:r>
    </w:p>
    <w:p w14:paraId="0800D597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  <w:b/>
          <w:bCs/>
        </w:rPr>
      </w:pPr>
      <w:r w:rsidRPr="007F30FB">
        <w:rPr>
          <w:rFonts w:ascii="Calibri" w:hAnsi="Calibri" w:cs="Calibri"/>
          <w:b/>
          <w:bCs/>
        </w:rPr>
        <w:t>5. Stanowisko do obsługi komory</w:t>
      </w:r>
    </w:p>
    <w:p w14:paraId="230EA5AC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Przebudowa systemu do obsługi komory fumigacyjnej polegająca na:</w:t>
      </w:r>
    </w:p>
    <w:p w14:paraId="03F68A95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- demontażu i utylizacji pulpitu sterowniczego</w:t>
      </w:r>
    </w:p>
    <w:p w14:paraId="242F3A77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- montażu okablowania sygnałowego z pomieszczenia komory do pomieszczenia sterowni</w:t>
      </w:r>
    </w:p>
    <w:p w14:paraId="42E2B3E2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 xml:space="preserve">- instalacji na komputerze PC oprogramowania do zarządzania procesem fumigacji </w:t>
      </w:r>
    </w:p>
    <w:p w14:paraId="0E1BB7FA" w14:textId="33FE2E22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Oprogramowanie realizowane na dedykowanym komputerze musi spełniać następujące wymagania funkcjonalne:</w:t>
      </w:r>
    </w:p>
    <w:p w14:paraId="586DA140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Graficzna Prezentacja Instalacji Procesowej (Synoptyka Systemu). Czytelny, dynamiczny schemat synoptyczny całej instalacji (komora, układ próżniowy, układ ogrzewania, układ nawilżania, dozowanie gazu, abator, zawory i aparatura pomiarowa).</w:t>
      </w:r>
    </w:p>
    <w:p w14:paraId="00CFED45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Wizualizacja stanu pracy poszczególnych elementów w czasie rzeczywistym (stan zaworów: otwarty/zamknięty/awaria; stan pomp i grzałek; poziomy parametrów pomiarowych).</w:t>
      </w:r>
    </w:p>
    <w:p w14:paraId="43CE1B73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Animacja i sygnalizacja kolorystyczna przepływu mediów, kroku cyklu oraz aktualnego poziomu podciśnienia, temperatury i wilgotności.</w:t>
      </w:r>
    </w:p>
    <w:p w14:paraId="54FFEB23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Wskaźnik postępu cyklu: wyświetlanie nazwy aktualnie realizowanego kroku, czasu trwania kroku oraz przewidywanego czasu do końca procesu.</w:t>
      </w:r>
    </w:p>
    <w:p w14:paraId="78EC7348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Receptury i Zarządzanie Bazą Programów Dezynfekcji. Zintegrowana baza danych programów procesowych (receptur) przechowywana w bazie SQL.</w:t>
      </w:r>
    </w:p>
    <w:p w14:paraId="220F7BA2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lastRenderedPageBreak/>
        <w:t>•</w:t>
      </w:r>
      <w:r w:rsidRPr="007F30FB">
        <w:rPr>
          <w:rFonts w:ascii="Calibri" w:hAnsi="Calibri" w:cs="Calibri"/>
        </w:rPr>
        <w:tab/>
        <w:t>Edytor programów umożliwiający uprawnionym użytkownikom tworzenie nowych oraz modyfikację istniejących programów dezynfekcji. Definiowanie parametrów dla poszczególnych kroków (m.in. docelowe podciśnienie, temperatura zadana, wilgotność, dawka/przyrost ciśnienia gazu, czas poszczególnych kroków, liczba i parametry cykli płukań).</w:t>
      </w:r>
    </w:p>
    <w:p w14:paraId="4706ADAC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System praw dostępu. Wielopoziomowy dostęp do systemu (np. Operator, Serwis, Technolog/Administrator) zabezpieczony indywidualnymi kontami i hasłami.</w:t>
      </w:r>
    </w:p>
    <w:p w14:paraId="664185AF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Brak możliwości edycji parametrów programu przez operatora w trakcie trwania procesu lub z poziomu konta o niskich uprawnieniach.</w:t>
      </w:r>
    </w:p>
    <w:p w14:paraId="7AB2817B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Archiwizacja Procesów i Raportowanie. Automatyczna i ciągła archiwizacja wszystkich parametrów procesowych (temperatura, wilgotność, podciśnienie/ciśnienie, statusy zaworów/agregatów).</w:t>
      </w:r>
    </w:p>
    <w:p w14:paraId="2D1E5601" w14:textId="4E841891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Tworzenie unikalnego rekordu/raportu z każdego przeprowadzonego cyklu, zawierającego: Nagłówek: data i godzina rozpoczęcia/zakończenia, nazwa i ID programu, identyfikator operatora, status końcowy (np. „Proces zakończony pomyślnie” / „Proces przerwany – Alarm”).</w:t>
      </w:r>
      <w:r w:rsidR="007F30FB">
        <w:rPr>
          <w:rFonts w:ascii="Calibri" w:hAnsi="Calibri" w:cs="Calibri"/>
        </w:rPr>
        <w:t xml:space="preserve"> </w:t>
      </w:r>
      <w:r w:rsidRPr="007F30FB">
        <w:rPr>
          <w:rFonts w:ascii="Calibri" w:hAnsi="Calibri" w:cs="Calibri"/>
        </w:rPr>
        <w:t>Zestawienie</w:t>
      </w:r>
      <w:r w:rsidR="007F30FB">
        <w:rPr>
          <w:rFonts w:ascii="Calibri" w:hAnsi="Calibri" w:cs="Calibri"/>
        </w:rPr>
        <w:t xml:space="preserve"> </w:t>
      </w:r>
      <w:r w:rsidRPr="007F30FB">
        <w:rPr>
          <w:rFonts w:ascii="Calibri" w:hAnsi="Calibri" w:cs="Calibri"/>
        </w:rPr>
        <w:t>wartości zadanych i osiągniętych (max/min/średnia) dla każdego kroku. Możliwość eksportu raportów procesowych do plików nieedytowalnych (np. PDF) oraz formatów do analizy danych (np. CSV / Excel).</w:t>
      </w:r>
    </w:p>
    <w:p w14:paraId="7FD623D3" w14:textId="77777777" w:rsidR="00A727AE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 xml:space="preserve">System Alarmów, Powiadomień i Diagnostyka Układu Moduł Alarmowy. Rejestracja i archiwizacja wszystkich alarmów i ostrzeżeń z dokładnością czasową (znacznik czasu z dokładnością do s). Wymóg zatwierdzenia (kwitowania) alarmu przez operatora z zapisem identyfikatora użytkownika w historii alarmów. </w:t>
      </w:r>
    </w:p>
    <w:p w14:paraId="0666078D" w14:textId="55295016" w:rsidR="000666D4" w:rsidRPr="007F30FB" w:rsidRDefault="00A727AE" w:rsidP="007F30FB">
      <w:pPr>
        <w:spacing w:after="0" w:line="240" w:lineRule="auto"/>
        <w:contextualSpacing/>
        <w:jc w:val="both"/>
        <w:rPr>
          <w:rFonts w:ascii="Calibri" w:hAnsi="Calibri" w:cs="Calibri"/>
        </w:rPr>
      </w:pPr>
      <w:r w:rsidRPr="007F30FB">
        <w:rPr>
          <w:rFonts w:ascii="Calibri" w:hAnsi="Calibri" w:cs="Calibri"/>
        </w:rPr>
        <w:t>•</w:t>
      </w:r>
      <w:r w:rsidRPr="007F30FB">
        <w:rPr>
          <w:rFonts w:ascii="Calibri" w:hAnsi="Calibri" w:cs="Calibri"/>
        </w:rPr>
        <w:tab/>
        <w:t>Diagnostyka Hardware / Software. Ekran diagnostyczny stanu elementów automatyki: kontrola stanu komunikacji ze sterownikiem PLC, modułami I/O, przetwornikami ciśnienia, czujnikami temperatury i wilgotności oraz z abatorem. Sygnalizacja uszkodzeń obwodów pomiarowych (np. przerwanie pętli prądowej 4–20 mA, uszkodzenie czujnika Pt100) oraz stanów awaryjnych napędów i zaworów. Przejrzysty podgląd stanu wejść/wyjść cyfrowych i analogowych PLC dla celów serwisowych.</w:t>
      </w:r>
    </w:p>
    <w:sectPr w:rsidR="000666D4" w:rsidRPr="007F30F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7AC58" w14:textId="77777777" w:rsidR="00EF084A" w:rsidRDefault="00EF084A" w:rsidP="007F30FB">
      <w:pPr>
        <w:spacing w:after="0" w:line="240" w:lineRule="auto"/>
      </w:pPr>
      <w:r>
        <w:separator/>
      </w:r>
    </w:p>
  </w:endnote>
  <w:endnote w:type="continuationSeparator" w:id="0">
    <w:p w14:paraId="428725CD" w14:textId="77777777" w:rsidR="00EF084A" w:rsidRDefault="00EF084A" w:rsidP="007F3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70659" w14:textId="43B758D4" w:rsidR="007F30FB" w:rsidRPr="007F30FB" w:rsidRDefault="007F30FB" w:rsidP="007F30FB">
    <w:pPr>
      <w:pBdr>
        <w:top w:val="single" w:sz="4" w:space="0" w:color="000000"/>
      </w:pBdr>
      <w:tabs>
        <w:tab w:val="center" w:pos="4536"/>
        <w:tab w:val="right" w:pos="9072"/>
      </w:tabs>
      <w:suppressAutoHyphens/>
      <w:spacing w:after="0" w:line="240" w:lineRule="auto"/>
      <w:jc w:val="right"/>
      <w:rPr>
        <w:rFonts w:ascii="Calibri" w:eastAsia="Times New Roman" w:hAnsi="Calibri" w:cs="Calibri"/>
        <w:kern w:val="0"/>
        <w:sz w:val="18"/>
        <w:szCs w:val="18"/>
        <w:lang w:eastAsia="ar-SA"/>
        <w14:ligatures w14:val="none"/>
      </w:rPr>
    </w:pPr>
    <w:r w:rsidRPr="007F30FB">
      <w:rPr>
        <w:rFonts w:ascii="Calibri" w:eastAsia="Times New Roman" w:hAnsi="Calibri" w:cs="Calibri"/>
        <w:b/>
        <w:kern w:val="0"/>
        <w:sz w:val="18"/>
        <w:szCs w:val="18"/>
        <w:lang w:eastAsia="ar-SA"/>
        <w14:ligatures w14:val="none"/>
      </w:rPr>
      <w:t xml:space="preserve">Strona </w:t>
    </w:r>
    <w:r w:rsidRPr="007F30FB">
      <w:rPr>
        <w:rFonts w:ascii="Calibri" w:eastAsia="Times New Roman" w:hAnsi="Calibri" w:cs="Calibri"/>
        <w:b/>
        <w:kern w:val="0"/>
        <w:sz w:val="18"/>
        <w:szCs w:val="18"/>
        <w:lang w:eastAsia="ar-SA"/>
        <w14:ligatures w14:val="none"/>
      </w:rPr>
      <w:fldChar w:fldCharType="begin"/>
    </w:r>
    <w:r w:rsidRPr="007F30FB">
      <w:rPr>
        <w:rFonts w:ascii="Calibri" w:eastAsia="Times New Roman" w:hAnsi="Calibri" w:cs="Calibri"/>
        <w:b/>
        <w:kern w:val="0"/>
        <w:sz w:val="18"/>
        <w:szCs w:val="18"/>
        <w:lang w:eastAsia="ar-SA"/>
        <w14:ligatures w14:val="none"/>
      </w:rPr>
      <w:instrText xml:space="preserve"> PAGE </w:instrText>
    </w:r>
    <w:r w:rsidRPr="007F30FB">
      <w:rPr>
        <w:rFonts w:ascii="Calibri" w:eastAsia="Times New Roman" w:hAnsi="Calibri" w:cs="Calibri"/>
        <w:b/>
        <w:kern w:val="0"/>
        <w:sz w:val="18"/>
        <w:szCs w:val="18"/>
        <w:lang w:eastAsia="ar-SA"/>
        <w14:ligatures w14:val="none"/>
      </w:rPr>
      <w:fldChar w:fldCharType="separate"/>
    </w:r>
    <w:r w:rsidRPr="007F30FB">
      <w:rPr>
        <w:rFonts w:ascii="Calibri" w:eastAsia="Times New Roman" w:hAnsi="Calibri" w:cs="Calibri"/>
        <w:b/>
        <w:kern w:val="0"/>
        <w:sz w:val="18"/>
        <w:szCs w:val="18"/>
        <w:lang w:eastAsia="ar-SA"/>
        <w14:ligatures w14:val="none"/>
      </w:rPr>
      <w:t>1</w:t>
    </w:r>
    <w:r w:rsidRPr="007F30FB">
      <w:rPr>
        <w:rFonts w:ascii="Calibri" w:eastAsia="Times New Roman" w:hAnsi="Calibri" w:cs="Calibri"/>
        <w:b/>
        <w:kern w:val="0"/>
        <w:sz w:val="18"/>
        <w:szCs w:val="18"/>
        <w:lang w:eastAsia="ar-SA"/>
        <w14:ligatures w14:val="none"/>
      </w:rPr>
      <w:fldChar w:fldCharType="end"/>
    </w:r>
    <w:r w:rsidRPr="007F30FB">
      <w:rPr>
        <w:rFonts w:ascii="Calibri" w:eastAsia="Times New Roman" w:hAnsi="Calibri" w:cs="Calibri"/>
        <w:b/>
        <w:kern w:val="0"/>
        <w:sz w:val="18"/>
        <w:szCs w:val="18"/>
        <w:lang w:eastAsia="ar-SA"/>
        <w14:ligatures w14:val="none"/>
      </w:rPr>
      <w:t xml:space="preserve"> z </w:t>
    </w:r>
    <w:r w:rsidRPr="007F30FB">
      <w:rPr>
        <w:rFonts w:ascii="Calibri" w:eastAsia="Times New Roman" w:hAnsi="Calibri" w:cs="Calibri"/>
        <w:b/>
        <w:kern w:val="0"/>
        <w:sz w:val="18"/>
        <w:szCs w:val="18"/>
        <w:lang w:eastAsia="ar-SA"/>
        <w14:ligatures w14:val="none"/>
      </w:rPr>
      <w:fldChar w:fldCharType="begin"/>
    </w:r>
    <w:r w:rsidRPr="007F30FB">
      <w:rPr>
        <w:rFonts w:ascii="Calibri" w:eastAsia="Times New Roman" w:hAnsi="Calibri" w:cs="Calibri"/>
        <w:b/>
        <w:kern w:val="0"/>
        <w:sz w:val="18"/>
        <w:szCs w:val="18"/>
        <w:lang w:eastAsia="ar-SA"/>
        <w14:ligatures w14:val="none"/>
      </w:rPr>
      <w:instrText xml:space="preserve"> NUMPAGES \*Arabic </w:instrText>
    </w:r>
    <w:r w:rsidRPr="007F30FB">
      <w:rPr>
        <w:rFonts w:ascii="Calibri" w:eastAsia="Times New Roman" w:hAnsi="Calibri" w:cs="Calibri"/>
        <w:b/>
        <w:kern w:val="0"/>
        <w:sz w:val="18"/>
        <w:szCs w:val="18"/>
        <w:lang w:eastAsia="ar-SA"/>
        <w14:ligatures w14:val="none"/>
      </w:rPr>
      <w:fldChar w:fldCharType="separate"/>
    </w:r>
    <w:r w:rsidRPr="007F30FB">
      <w:rPr>
        <w:rFonts w:ascii="Calibri" w:eastAsia="Times New Roman" w:hAnsi="Calibri" w:cs="Calibri"/>
        <w:b/>
        <w:kern w:val="0"/>
        <w:sz w:val="18"/>
        <w:szCs w:val="18"/>
        <w:lang w:eastAsia="ar-SA"/>
        <w14:ligatures w14:val="none"/>
      </w:rPr>
      <w:t>6</w:t>
    </w:r>
    <w:r w:rsidRPr="007F30FB">
      <w:rPr>
        <w:rFonts w:ascii="Calibri" w:eastAsia="Times New Roman" w:hAnsi="Calibri" w:cs="Calibri"/>
        <w:b/>
        <w:kern w:val="0"/>
        <w:sz w:val="18"/>
        <w:szCs w:val="18"/>
        <w:lang w:eastAsia="ar-SA"/>
        <w14:ligatures w14:val="non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2DB33" w14:textId="77777777" w:rsidR="00EF084A" w:rsidRDefault="00EF084A" w:rsidP="007F30FB">
      <w:pPr>
        <w:spacing w:after="0" w:line="240" w:lineRule="auto"/>
      </w:pPr>
      <w:r>
        <w:separator/>
      </w:r>
    </w:p>
  </w:footnote>
  <w:footnote w:type="continuationSeparator" w:id="0">
    <w:p w14:paraId="64DFEA4E" w14:textId="77777777" w:rsidR="00EF084A" w:rsidRDefault="00EF084A" w:rsidP="007F3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AB646" w14:textId="4C683DD8" w:rsidR="007F30FB" w:rsidRPr="007F30FB" w:rsidRDefault="007F30FB" w:rsidP="007F30FB">
    <w:pPr>
      <w:tabs>
        <w:tab w:val="center" w:pos="4536"/>
        <w:tab w:val="right" w:pos="9072"/>
      </w:tabs>
      <w:suppressAutoHyphens/>
      <w:spacing w:after="0" w:line="240" w:lineRule="auto"/>
      <w:rPr>
        <w:rFonts w:ascii="Calibri" w:eastAsia="SimSun" w:hAnsi="Calibri" w:cs="Calibri"/>
        <w:kern w:val="1"/>
        <w:u w:val="single"/>
        <w:lang w:eastAsia="hi-IN" w:bidi="hi-IN"/>
        <w14:ligatures w14:val="none"/>
      </w:rPr>
    </w:pPr>
    <w:bookmarkStart w:id="0" w:name="_Hlk237959255"/>
    <w:bookmarkStart w:id="1" w:name="_Hlk237959256"/>
    <w:r w:rsidRPr="007F30FB">
      <w:rPr>
        <w:rFonts w:ascii="Calibri" w:eastAsia="SimSun" w:hAnsi="Calibri" w:cs="Calibri"/>
        <w:kern w:val="1"/>
        <w:u w:val="single"/>
        <w:lang w:eastAsia="hi-IN" w:bidi="hi-IN"/>
        <w14:ligatures w14:val="none"/>
      </w:rPr>
      <w:t>Archiwum Państwowe w Bydgoszczy</w:t>
    </w:r>
    <w:r w:rsidRPr="007F30FB">
      <w:rPr>
        <w:rFonts w:ascii="Calibri" w:eastAsia="SimSun" w:hAnsi="Calibri" w:cs="Calibri"/>
        <w:kern w:val="1"/>
        <w:u w:val="single"/>
        <w:lang w:eastAsia="hi-IN" w:bidi="hi-IN"/>
        <w14:ligatures w14:val="none"/>
      </w:rPr>
      <w:tab/>
    </w:r>
    <w:r w:rsidRPr="007F30FB">
      <w:rPr>
        <w:rFonts w:ascii="Calibri" w:eastAsia="SimSun" w:hAnsi="Calibri" w:cs="Calibri"/>
        <w:kern w:val="1"/>
        <w:u w:val="single"/>
        <w:lang w:eastAsia="hi-IN" w:bidi="hi-IN"/>
        <w14:ligatures w14:val="none"/>
      </w:rPr>
      <w:tab/>
      <w:t>AG.261.</w:t>
    </w:r>
    <w:r w:rsidR="008F7641">
      <w:rPr>
        <w:rFonts w:ascii="Calibri" w:eastAsia="SimSun" w:hAnsi="Calibri" w:cs="Calibri"/>
        <w:kern w:val="1"/>
        <w:u w:val="single"/>
        <w:lang w:eastAsia="hi-IN" w:bidi="hi-IN"/>
        <w14:ligatures w14:val="none"/>
      </w:rPr>
      <w:t>3</w:t>
    </w:r>
    <w:r w:rsidRPr="007F30FB">
      <w:rPr>
        <w:rFonts w:ascii="Calibri" w:eastAsia="SimSun" w:hAnsi="Calibri" w:cs="Calibri"/>
        <w:kern w:val="1"/>
        <w:u w:val="single"/>
        <w:lang w:eastAsia="hi-IN" w:bidi="hi-IN"/>
        <w14:ligatures w14:val="none"/>
      </w:rPr>
      <w:t>.2026</w:t>
    </w:r>
    <w:bookmarkEnd w:id="0"/>
    <w:bookmarkEnd w:id="1"/>
  </w:p>
  <w:p w14:paraId="099277BA" w14:textId="0E5606AC" w:rsidR="007F30FB" w:rsidRDefault="007F30F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A1"/>
    <w:rsid w:val="000666D4"/>
    <w:rsid w:val="00297D42"/>
    <w:rsid w:val="00574786"/>
    <w:rsid w:val="007415A1"/>
    <w:rsid w:val="007F30FB"/>
    <w:rsid w:val="00837151"/>
    <w:rsid w:val="00850136"/>
    <w:rsid w:val="008F7641"/>
    <w:rsid w:val="00992A5C"/>
    <w:rsid w:val="00A727AE"/>
    <w:rsid w:val="00AE61CF"/>
    <w:rsid w:val="00BC433F"/>
    <w:rsid w:val="00E433AD"/>
    <w:rsid w:val="00EF084A"/>
    <w:rsid w:val="00FB4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2638C5"/>
  <w15:chartTrackingRefBased/>
  <w15:docId w15:val="{0E3E30AA-0633-4DA2-8CEF-DED63FBDB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415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415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415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415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415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415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415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415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415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415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415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415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415A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415A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415A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415A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415A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415A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415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415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415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415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415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415A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415A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415A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415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415A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415A1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F3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30FB"/>
  </w:style>
  <w:style w:type="paragraph" w:styleId="Stopka">
    <w:name w:val="footer"/>
    <w:basedOn w:val="Normalny"/>
    <w:link w:val="StopkaZnak"/>
    <w:uiPriority w:val="99"/>
    <w:unhideWhenUsed/>
    <w:rsid w:val="007F30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30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1100</Words>
  <Characters>6606</Characters>
  <Application>Microsoft Office Word</Application>
  <DocSecurity>0</DocSecurity>
  <Lines>55</Lines>
  <Paragraphs>15</Paragraphs>
  <ScaleCrop>false</ScaleCrop>
  <Company/>
  <LinksUpToDate>false</LinksUpToDate>
  <CharactersWithSpaces>7691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Kawczyńska</dc:creator>
  <cp:keywords/>
  <dc:description/>
  <cp:lastModifiedBy>J. S.</cp:lastModifiedBy>
  <cp:revision>6</cp:revision>
  <dcterms:created xsi:type="dcterms:W3CDTF">2026-10-08T11:49:00Z</dcterms:created>
  <dcterms:modified xsi:type="dcterms:W3CDTF">2026-10-12T09:41:00Z</dcterms:modified>
</cp:coreProperties>
</file>