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38617" w14:textId="1584173F" w:rsidR="00B145EC" w:rsidRPr="00810F66" w:rsidRDefault="00B145EC" w:rsidP="00B145EC">
      <w:pPr>
        <w:spacing w:after="80" w:line="240" w:lineRule="auto"/>
        <w:jc w:val="right"/>
        <w:rPr>
          <w:rFonts w:ascii="Times New Roman" w:eastAsia="Microsoft YaHei" w:hAnsi="Times New Roman" w:cs="Times New Roman"/>
          <w:kern w:val="0"/>
          <w:sz w:val="20"/>
          <w:szCs w:val="20"/>
          <w14:ligatures w14:val="none"/>
        </w:rPr>
      </w:pPr>
      <w:r w:rsidRPr="00810F66">
        <w:rPr>
          <w:rFonts w:ascii="Times New Roman" w:eastAsia="Microsoft YaHei" w:hAnsi="Times New Roman" w:cs="Times New Roman"/>
          <w:kern w:val="0"/>
          <w:sz w:val="20"/>
          <w:szCs w:val="20"/>
          <w14:ligatures w14:val="none"/>
        </w:rPr>
        <w:t xml:space="preserve">Załącznik Nr </w:t>
      </w:r>
      <w:r>
        <w:rPr>
          <w:rFonts w:ascii="Times New Roman" w:eastAsia="Microsoft YaHei" w:hAnsi="Times New Roman" w:cs="Times New Roman"/>
          <w:kern w:val="0"/>
          <w:sz w:val="20"/>
          <w:szCs w:val="20"/>
          <w14:ligatures w14:val="none"/>
        </w:rPr>
        <w:t>2</w:t>
      </w:r>
      <w:r w:rsidRPr="00810F66">
        <w:rPr>
          <w:rFonts w:ascii="Times New Roman" w:eastAsia="Microsoft YaHei" w:hAnsi="Times New Roman" w:cs="Times New Roman"/>
          <w:kern w:val="0"/>
          <w:sz w:val="20"/>
          <w:szCs w:val="20"/>
          <w14:ligatures w14:val="none"/>
        </w:rPr>
        <w:t xml:space="preserve"> do SWZ</w:t>
      </w:r>
    </w:p>
    <w:p w14:paraId="1EEBEF08" w14:textId="77777777" w:rsidR="00B145EC" w:rsidRPr="00810F66" w:rsidRDefault="00B145EC" w:rsidP="00B145EC">
      <w:pPr>
        <w:spacing w:after="120" w:line="240" w:lineRule="auto"/>
        <w:jc w:val="center"/>
        <w:rPr>
          <w:rFonts w:ascii="Times New Roman" w:eastAsia="Microsoft YaHei" w:hAnsi="Times New Roman" w:cs="Times New Roman"/>
          <w:b/>
          <w:bCs/>
          <w:spacing w:val="20"/>
          <w:kern w:val="0"/>
          <w14:ligatures w14:val="none"/>
        </w:rPr>
      </w:pPr>
    </w:p>
    <w:p w14:paraId="5C3DD51B" w14:textId="79425166" w:rsidR="00B145EC" w:rsidRPr="00842EF2" w:rsidRDefault="00B145EC" w:rsidP="00B145EC">
      <w:pPr>
        <w:spacing w:after="120" w:line="240" w:lineRule="auto"/>
        <w:jc w:val="center"/>
        <w:rPr>
          <w:rFonts w:ascii="Times New Roman" w:eastAsia="Microsoft YaHei" w:hAnsi="Times New Roman" w:cs="Times New Roman"/>
          <w:b/>
          <w:bCs/>
          <w:spacing w:val="20"/>
          <w:kern w:val="0"/>
          <w:u w:val="single"/>
          <w14:ligatures w14:val="none"/>
        </w:rPr>
      </w:pPr>
      <w:r w:rsidRPr="00842EF2">
        <w:rPr>
          <w:rFonts w:ascii="Times New Roman" w:eastAsia="Microsoft YaHei" w:hAnsi="Times New Roman" w:cs="Times New Roman"/>
          <w:b/>
          <w:bCs/>
          <w:spacing w:val="20"/>
          <w:kern w:val="0"/>
          <w:u w:val="single"/>
          <w14:ligatures w14:val="none"/>
        </w:rPr>
        <w:t>SZCZEGÓŁOWY OPIS PRZEDMIOTU ZAMÓWIENIA</w:t>
      </w:r>
    </w:p>
    <w:p w14:paraId="2870EB35" w14:textId="77777777" w:rsidR="00842EF2" w:rsidRPr="00842EF2" w:rsidRDefault="00842EF2" w:rsidP="00B145EC">
      <w:pPr>
        <w:spacing w:after="120" w:line="240" w:lineRule="auto"/>
        <w:jc w:val="center"/>
        <w:rPr>
          <w:rFonts w:ascii="Times New Roman" w:eastAsia="Microsoft YaHei" w:hAnsi="Times New Roman" w:cs="Times New Roman"/>
          <w:b/>
          <w:bCs/>
          <w:spacing w:val="20"/>
          <w:kern w:val="0"/>
          <w:sz w:val="28"/>
          <w:szCs w:val="28"/>
          <w14:ligatures w14:val="none"/>
        </w:rPr>
      </w:pPr>
    </w:p>
    <w:p w14:paraId="77E82EEB" w14:textId="64D55470" w:rsidR="00842EF2" w:rsidRPr="006B1FBB" w:rsidRDefault="006B1FBB" w:rsidP="00B145EC">
      <w:pPr>
        <w:spacing w:after="120" w:line="240" w:lineRule="auto"/>
        <w:jc w:val="center"/>
        <w:rPr>
          <w:rFonts w:ascii="Times New Roman" w:eastAsia="Microsoft YaHei" w:hAnsi="Times New Roman" w:cs="Times New Roman"/>
          <w:b/>
          <w:bCs/>
          <w:spacing w:val="20"/>
          <w:kern w:val="0"/>
          <w14:ligatures w14:val="none"/>
        </w:rPr>
      </w:pPr>
      <w:r w:rsidRPr="006B1FBB">
        <w:rPr>
          <w:rFonts w:ascii="Times New Roman" w:eastAsia="Microsoft YaHei" w:hAnsi="Times New Roman" w:cs="Times New Roman"/>
          <w:spacing w:val="20"/>
          <w:kern w:val="0"/>
          <w14:ligatures w14:val="none"/>
        </w:rPr>
        <w:t xml:space="preserve">Postępowanie na udzielenie zamówienia publicznego na: </w:t>
      </w:r>
      <w:r w:rsidR="00842EF2" w:rsidRPr="006B1FBB">
        <w:rPr>
          <w:rFonts w:ascii="Times New Roman" w:eastAsia="Microsoft YaHei" w:hAnsi="Times New Roman" w:cs="Times New Roman"/>
          <w:b/>
          <w:bCs/>
          <w:spacing w:val="20"/>
          <w:kern w:val="0"/>
          <w14:ligatures w14:val="none"/>
        </w:rPr>
        <w:t>„Dostaw</w:t>
      </w:r>
      <w:r w:rsidRPr="006B1FBB">
        <w:rPr>
          <w:rFonts w:ascii="Times New Roman" w:eastAsia="Microsoft YaHei" w:hAnsi="Times New Roman" w:cs="Times New Roman"/>
          <w:b/>
          <w:bCs/>
          <w:spacing w:val="20"/>
          <w:kern w:val="0"/>
          <w14:ligatures w14:val="none"/>
        </w:rPr>
        <w:t>ę</w:t>
      </w:r>
      <w:r w:rsidR="00842EF2" w:rsidRPr="006B1FBB">
        <w:rPr>
          <w:rFonts w:ascii="Times New Roman" w:eastAsia="Microsoft YaHei" w:hAnsi="Times New Roman" w:cs="Times New Roman"/>
          <w:b/>
          <w:bCs/>
          <w:spacing w:val="20"/>
          <w:kern w:val="0"/>
          <w14:ligatures w14:val="none"/>
        </w:rPr>
        <w:t xml:space="preserve"> sprzętu komputerowego wraz z oprogramowaniem na potrzeby Centrum Usług Społecznych w Skarżysku – Kamiennej”</w:t>
      </w:r>
      <w:r w:rsidRPr="006B1FBB">
        <w:rPr>
          <w:rFonts w:ascii="Times New Roman" w:eastAsia="Microsoft YaHei" w:hAnsi="Times New Roman" w:cs="Times New Roman"/>
          <w:b/>
          <w:bCs/>
          <w:spacing w:val="20"/>
          <w:kern w:val="0"/>
          <w14:ligatures w14:val="none"/>
        </w:rPr>
        <w:t>.</w:t>
      </w:r>
    </w:p>
    <w:p w14:paraId="52597DAB" w14:textId="77777777" w:rsidR="000943D1" w:rsidRDefault="000943D1" w:rsidP="000943D1">
      <w:pPr>
        <w:spacing w:after="120" w:line="240" w:lineRule="auto"/>
        <w:jc w:val="right"/>
        <w:rPr>
          <w:rFonts w:ascii="Times New Roman" w:eastAsia="Microsoft YaHei" w:hAnsi="Times New Roman" w:cs="Times New Roman"/>
          <w:b/>
          <w:bCs/>
          <w:spacing w:val="20"/>
          <w:kern w:val="0"/>
          <w14:ligatures w14:val="none"/>
        </w:rPr>
      </w:pPr>
    </w:p>
    <w:p w14:paraId="29294E46" w14:textId="1AC856FF" w:rsidR="000943D1" w:rsidRPr="000943D1" w:rsidRDefault="000943D1" w:rsidP="000943D1">
      <w:pPr>
        <w:spacing w:line="259" w:lineRule="auto"/>
        <w:ind w:left="5664"/>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w:t>
      </w:r>
      <w:r w:rsidRPr="000943D1">
        <w:rPr>
          <w:rFonts w:ascii="Times New Roman" w:eastAsia="Calibri" w:hAnsi="Times New Roman" w:cs="Times New Roman"/>
          <w:kern w:val="0"/>
          <w14:ligatures w14:val="none"/>
        </w:rPr>
        <w:t>Zamawiający:</w:t>
      </w:r>
    </w:p>
    <w:p w14:paraId="30ACAA46" w14:textId="4B75B2B9" w:rsidR="000943D1" w:rsidRPr="000943D1" w:rsidRDefault="000943D1" w:rsidP="000943D1">
      <w:pPr>
        <w:adjustRightInd w:val="0"/>
        <w:spacing w:after="0" w:line="240" w:lineRule="auto"/>
        <w:ind w:left="4111"/>
        <w:rPr>
          <w:rFonts w:ascii="Times New Roman" w:eastAsia="Calibri" w:hAnsi="Times New Roman" w:cs="Times New Roman"/>
          <w:b/>
          <w:bCs/>
          <w:kern w:val="0"/>
          <w:sz w:val="20"/>
          <w:szCs w:val="22"/>
          <w14:ligatures w14:val="none"/>
        </w:rPr>
      </w:pPr>
      <w:r>
        <w:rPr>
          <w:rFonts w:ascii="Times New Roman" w:eastAsia="Calibri" w:hAnsi="Times New Roman" w:cs="Times New Roman"/>
          <w:b/>
          <w:bCs/>
          <w:kern w:val="0"/>
          <w:sz w:val="20"/>
          <w:szCs w:val="22"/>
          <w14:ligatures w14:val="none"/>
        </w:rPr>
        <w:t xml:space="preserve">                    </w:t>
      </w:r>
      <w:r w:rsidRPr="000943D1">
        <w:rPr>
          <w:rFonts w:ascii="Times New Roman" w:eastAsia="Calibri" w:hAnsi="Times New Roman" w:cs="Times New Roman"/>
          <w:b/>
          <w:bCs/>
          <w:kern w:val="0"/>
          <w:sz w:val="20"/>
          <w:szCs w:val="22"/>
          <w14:ligatures w14:val="none"/>
        </w:rPr>
        <w:t xml:space="preserve">GMINA SKARŻYSKO-KAMIENNA </w:t>
      </w:r>
    </w:p>
    <w:p w14:paraId="6B0D06E9" w14:textId="7672E4F6" w:rsidR="000943D1" w:rsidRPr="000943D1" w:rsidRDefault="000943D1" w:rsidP="000943D1">
      <w:pPr>
        <w:adjustRightInd w:val="0"/>
        <w:spacing w:after="0" w:line="240" w:lineRule="auto"/>
        <w:ind w:left="4111"/>
        <w:rPr>
          <w:rFonts w:ascii="Times New Roman" w:eastAsia="Calibri" w:hAnsi="Times New Roman" w:cs="Times New Roman"/>
          <w:kern w:val="0"/>
          <w:sz w:val="20"/>
          <w:szCs w:val="22"/>
          <w14:ligatures w14:val="none"/>
        </w:rPr>
      </w:pPr>
      <w:r>
        <w:rPr>
          <w:rFonts w:ascii="Times New Roman" w:eastAsia="Calibri" w:hAnsi="Times New Roman" w:cs="Times New Roman"/>
          <w:kern w:val="0"/>
          <w:sz w:val="20"/>
          <w:szCs w:val="22"/>
          <w14:ligatures w14:val="none"/>
        </w:rPr>
        <w:t xml:space="preserve">                    </w:t>
      </w:r>
      <w:r w:rsidRPr="000943D1">
        <w:rPr>
          <w:rFonts w:ascii="Times New Roman" w:eastAsia="Calibri" w:hAnsi="Times New Roman" w:cs="Times New Roman"/>
          <w:kern w:val="0"/>
          <w:sz w:val="20"/>
          <w:szCs w:val="22"/>
          <w14:ligatures w14:val="none"/>
        </w:rPr>
        <w:t>ul. Sikorskiego 18, 26-110 Skarżysko-Kamienna,</w:t>
      </w:r>
    </w:p>
    <w:p w14:paraId="6DCEFD6C" w14:textId="44CBAB11" w:rsidR="000943D1" w:rsidRPr="000943D1" w:rsidRDefault="000943D1" w:rsidP="000943D1">
      <w:pPr>
        <w:adjustRightInd w:val="0"/>
        <w:spacing w:after="0" w:line="240" w:lineRule="auto"/>
        <w:ind w:left="4111"/>
        <w:rPr>
          <w:rFonts w:ascii="Times New Roman" w:eastAsia="Calibri" w:hAnsi="Times New Roman" w:cs="Times New Roman"/>
          <w:b/>
          <w:bCs/>
          <w:kern w:val="0"/>
          <w:sz w:val="20"/>
          <w:szCs w:val="22"/>
          <w14:ligatures w14:val="none"/>
        </w:rPr>
      </w:pPr>
      <w:r>
        <w:rPr>
          <w:rFonts w:ascii="Times New Roman" w:eastAsia="Calibri" w:hAnsi="Times New Roman" w:cs="Times New Roman"/>
          <w:kern w:val="0"/>
          <w:sz w:val="20"/>
          <w:szCs w:val="22"/>
          <w14:ligatures w14:val="none"/>
        </w:rPr>
        <w:t xml:space="preserve">                    </w:t>
      </w:r>
      <w:r w:rsidRPr="000943D1">
        <w:rPr>
          <w:rFonts w:ascii="Times New Roman" w:eastAsia="Calibri" w:hAnsi="Times New Roman" w:cs="Times New Roman"/>
          <w:kern w:val="0"/>
          <w:sz w:val="20"/>
          <w:szCs w:val="22"/>
          <w14:ligatures w14:val="none"/>
        </w:rPr>
        <w:t>NIP 663-00-08207, Regon 291009870</w:t>
      </w:r>
      <w:r w:rsidRPr="000943D1">
        <w:rPr>
          <w:rFonts w:ascii="Times New Roman" w:eastAsia="Calibri" w:hAnsi="Times New Roman" w:cs="Times New Roman"/>
          <w:b/>
          <w:bCs/>
          <w:kern w:val="0"/>
          <w:sz w:val="20"/>
          <w:szCs w:val="22"/>
          <w14:ligatures w14:val="none"/>
        </w:rPr>
        <w:t xml:space="preserve"> </w:t>
      </w:r>
    </w:p>
    <w:p w14:paraId="38DCFDEA" w14:textId="791C2C4F" w:rsidR="000943D1" w:rsidRPr="000943D1" w:rsidRDefault="000943D1" w:rsidP="000943D1">
      <w:pPr>
        <w:adjustRightInd w:val="0"/>
        <w:spacing w:after="0" w:line="240" w:lineRule="auto"/>
        <w:ind w:left="4111"/>
        <w:rPr>
          <w:rFonts w:ascii="Times New Roman" w:eastAsia="Calibri" w:hAnsi="Times New Roman" w:cs="Times New Roman"/>
          <w:b/>
          <w:bCs/>
          <w:kern w:val="0"/>
          <w:sz w:val="20"/>
          <w:szCs w:val="22"/>
          <w14:ligatures w14:val="none"/>
        </w:rPr>
      </w:pPr>
      <w:r>
        <w:rPr>
          <w:rFonts w:ascii="Times New Roman" w:eastAsia="Calibri" w:hAnsi="Times New Roman" w:cs="Times New Roman"/>
          <w:b/>
          <w:bCs/>
          <w:kern w:val="0"/>
          <w:sz w:val="20"/>
          <w:szCs w:val="22"/>
          <w14:ligatures w14:val="none"/>
        </w:rPr>
        <w:t xml:space="preserve">                    </w:t>
      </w:r>
      <w:r w:rsidRPr="000943D1">
        <w:rPr>
          <w:rFonts w:ascii="Times New Roman" w:eastAsia="Calibri" w:hAnsi="Times New Roman" w:cs="Times New Roman"/>
          <w:b/>
          <w:bCs/>
          <w:kern w:val="0"/>
          <w:sz w:val="20"/>
          <w:szCs w:val="22"/>
          <w14:ligatures w14:val="none"/>
        </w:rPr>
        <w:t xml:space="preserve">reprezentowana przez: </w:t>
      </w:r>
    </w:p>
    <w:p w14:paraId="1105C038" w14:textId="5F59EF90" w:rsidR="000943D1" w:rsidRPr="000943D1" w:rsidRDefault="000943D1" w:rsidP="000943D1">
      <w:pPr>
        <w:adjustRightInd w:val="0"/>
        <w:spacing w:after="0" w:line="240" w:lineRule="auto"/>
        <w:ind w:left="4111"/>
        <w:rPr>
          <w:rFonts w:ascii="Times New Roman" w:eastAsia="Calibri" w:hAnsi="Times New Roman" w:cs="Times New Roman"/>
          <w:b/>
          <w:bCs/>
          <w:kern w:val="0"/>
          <w:sz w:val="20"/>
          <w:szCs w:val="22"/>
          <w14:ligatures w14:val="none"/>
        </w:rPr>
      </w:pPr>
      <w:r>
        <w:rPr>
          <w:rFonts w:ascii="Times New Roman" w:eastAsia="Calibri" w:hAnsi="Times New Roman" w:cs="Times New Roman"/>
          <w:b/>
          <w:bCs/>
          <w:kern w:val="0"/>
          <w:sz w:val="20"/>
          <w:szCs w:val="22"/>
          <w14:ligatures w14:val="none"/>
        </w:rPr>
        <w:t xml:space="preserve">                    </w:t>
      </w:r>
      <w:r w:rsidRPr="000943D1">
        <w:rPr>
          <w:rFonts w:ascii="Times New Roman" w:eastAsia="Calibri" w:hAnsi="Times New Roman" w:cs="Times New Roman"/>
          <w:b/>
          <w:bCs/>
          <w:kern w:val="0"/>
          <w:sz w:val="20"/>
          <w:szCs w:val="22"/>
          <w14:ligatures w14:val="none"/>
        </w:rPr>
        <w:t>CENTRUM USŁUG SPOŁECZNYCH</w:t>
      </w:r>
    </w:p>
    <w:p w14:paraId="24ABDF64" w14:textId="2511F582" w:rsidR="000943D1" w:rsidRPr="000943D1" w:rsidRDefault="000943D1" w:rsidP="000943D1">
      <w:pPr>
        <w:adjustRightInd w:val="0"/>
        <w:spacing w:after="0" w:line="240" w:lineRule="auto"/>
        <w:ind w:left="4111"/>
        <w:rPr>
          <w:rFonts w:ascii="Times New Roman" w:eastAsia="Calibri" w:hAnsi="Times New Roman" w:cs="Times New Roman"/>
          <w:b/>
          <w:bCs/>
          <w:kern w:val="0"/>
          <w:sz w:val="20"/>
          <w:szCs w:val="22"/>
          <w14:ligatures w14:val="none"/>
        </w:rPr>
      </w:pPr>
      <w:r>
        <w:rPr>
          <w:rFonts w:ascii="Times New Roman" w:eastAsia="Calibri" w:hAnsi="Times New Roman" w:cs="Times New Roman"/>
          <w:b/>
          <w:bCs/>
          <w:kern w:val="0"/>
          <w:sz w:val="20"/>
          <w:szCs w:val="22"/>
          <w14:ligatures w14:val="none"/>
        </w:rPr>
        <w:t xml:space="preserve">                    </w:t>
      </w:r>
      <w:r w:rsidRPr="000943D1">
        <w:rPr>
          <w:rFonts w:ascii="Times New Roman" w:eastAsia="Calibri" w:hAnsi="Times New Roman" w:cs="Times New Roman"/>
          <w:b/>
          <w:bCs/>
          <w:kern w:val="0"/>
          <w:sz w:val="20"/>
          <w:szCs w:val="22"/>
          <w14:ligatures w14:val="none"/>
        </w:rPr>
        <w:t xml:space="preserve">W SKARŻYSKU – KAMIENNEJ </w:t>
      </w:r>
    </w:p>
    <w:p w14:paraId="70A5B7E5" w14:textId="2E0A643C" w:rsidR="000943D1" w:rsidRDefault="000943D1" w:rsidP="000943D1">
      <w:pPr>
        <w:adjustRightInd w:val="0"/>
        <w:spacing w:after="0" w:line="240" w:lineRule="auto"/>
        <w:ind w:left="4111"/>
        <w:rPr>
          <w:rFonts w:ascii="Times New Roman" w:eastAsia="Calibri" w:hAnsi="Times New Roman" w:cs="Times New Roman"/>
          <w:kern w:val="0"/>
          <w:sz w:val="20"/>
          <w:szCs w:val="22"/>
          <w14:ligatures w14:val="none"/>
        </w:rPr>
      </w:pPr>
      <w:r>
        <w:rPr>
          <w:rFonts w:ascii="Times New Roman" w:eastAsia="Calibri" w:hAnsi="Times New Roman" w:cs="Times New Roman"/>
          <w:kern w:val="0"/>
          <w:sz w:val="20"/>
          <w:szCs w:val="22"/>
          <w14:ligatures w14:val="none"/>
        </w:rPr>
        <w:t xml:space="preserve">                    </w:t>
      </w:r>
      <w:r w:rsidRPr="000943D1">
        <w:rPr>
          <w:rFonts w:ascii="Times New Roman" w:eastAsia="Calibri" w:hAnsi="Times New Roman" w:cs="Times New Roman"/>
          <w:kern w:val="0"/>
          <w:sz w:val="20"/>
          <w:szCs w:val="22"/>
          <w14:ligatures w14:val="none"/>
        </w:rPr>
        <w:t>ul. Sikorskiego 19, 26-110 Skarżysko-Kamienna</w:t>
      </w:r>
    </w:p>
    <w:p w14:paraId="606C6936" w14:textId="77777777" w:rsidR="000943D1" w:rsidRDefault="000943D1" w:rsidP="000943D1">
      <w:pPr>
        <w:adjustRightInd w:val="0"/>
        <w:spacing w:after="0" w:line="240" w:lineRule="auto"/>
        <w:ind w:left="4111"/>
        <w:rPr>
          <w:rFonts w:ascii="Times New Roman" w:eastAsia="Calibri" w:hAnsi="Times New Roman" w:cs="Times New Roman"/>
          <w:kern w:val="0"/>
          <w:sz w:val="20"/>
          <w:szCs w:val="22"/>
          <w14:ligatures w14:val="none"/>
        </w:rPr>
      </w:pPr>
    </w:p>
    <w:p w14:paraId="24B00655" w14:textId="77777777" w:rsidR="000943D1" w:rsidRPr="000943D1" w:rsidRDefault="000943D1" w:rsidP="000943D1">
      <w:pPr>
        <w:adjustRightInd w:val="0"/>
        <w:spacing w:after="0" w:line="240" w:lineRule="auto"/>
        <w:ind w:left="4111"/>
        <w:rPr>
          <w:rFonts w:ascii="Times New Roman" w:eastAsia="Calibri" w:hAnsi="Times New Roman" w:cs="Times New Roman"/>
          <w:kern w:val="0"/>
          <w14:ligatures w14:val="none"/>
        </w:rPr>
      </w:pPr>
    </w:p>
    <w:p w14:paraId="4015B224" w14:textId="223B0BB9" w:rsidR="000943D1" w:rsidRPr="000943D1" w:rsidRDefault="000943D1" w:rsidP="000943D1">
      <w:pPr>
        <w:spacing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OPIS PRZEDMIOTU ZAMÓWIENIA (OPZ)</w:t>
      </w:r>
      <w:r>
        <w:rPr>
          <w:rFonts w:ascii="Times New Roman" w:eastAsia="MS Mincho" w:hAnsi="Times New Roman" w:cs="Times New Roman"/>
          <w:b/>
          <w:color w:val="003366"/>
          <w:kern w:val="0"/>
          <w14:ligatures w14:val="none"/>
        </w:rPr>
        <w:t>.</w:t>
      </w:r>
    </w:p>
    <w:p w14:paraId="1B5FDBCF" w14:textId="1BF37BBD" w:rsidR="000943D1" w:rsidRPr="000943D1" w:rsidRDefault="000943D1" w:rsidP="000943D1">
      <w:pPr>
        <w:spacing w:after="36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i/>
          <w:color w:val="555555"/>
          <w:kern w:val="0"/>
          <w14:ligatures w14:val="none"/>
        </w:rPr>
        <w:t xml:space="preserve">Przedmiot zamówienia: Dostawa komputerów stacjonarnych typu SFF wraz </w:t>
      </w:r>
      <w:r>
        <w:rPr>
          <w:rFonts w:ascii="Times New Roman" w:eastAsia="MS Mincho" w:hAnsi="Times New Roman" w:cs="Times New Roman"/>
          <w:i/>
          <w:color w:val="555555"/>
          <w:kern w:val="0"/>
          <w14:ligatures w14:val="none"/>
        </w:rPr>
        <w:br/>
      </w:r>
      <w:r w:rsidRPr="000943D1">
        <w:rPr>
          <w:rFonts w:ascii="Times New Roman" w:eastAsia="MS Mincho" w:hAnsi="Times New Roman" w:cs="Times New Roman"/>
          <w:i/>
          <w:color w:val="555555"/>
          <w:kern w:val="0"/>
          <w14:ligatures w14:val="none"/>
        </w:rPr>
        <w:t>z oprogramowaniem i wyposażeniem. – 50 sztuk</w:t>
      </w:r>
    </w:p>
    <w:p w14:paraId="478047AD" w14:textId="77777777" w:rsidR="000943D1" w:rsidRPr="000943D1" w:rsidRDefault="000943D1" w:rsidP="000943D1">
      <w:pPr>
        <w:keepNext/>
        <w:spacing w:before="320" w:after="12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I. SZCZEGÓŁOWA SPECYFIKACJA TECHNICZNA SPRZĘTU I OPROGRAMOWANIA</w:t>
      </w:r>
    </w:p>
    <w:p w14:paraId="1F4A8986" w14:textId="66DEB968" w:rsidR="000943D1" w:rsidRPr="000943D1" w:rsidRDefault="000943D1" w:rsidP="000943D1">
      <w:pPr>
        <w:spacing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Przedmiotem zamówienia jest dostawa fabrycznie nowych zestawów komputerowych </w:t>
      </w:r>
      <w:r>
        <w:rPr>
          <w:rFonts w:ascii="Times New Roman" w:eastAsia="MS Mincho" w:hAnsi="Times New Roman" w:cs="Times New Roman"/>
          <w:color w:val="333333"/>
          <w:kern w:val="0"/>
          <w14:ligatures w14:val="none"/>
        </w:rPr>
        <w:br/>
      </w:r>
      <w:r w:rsidRPr="000943D1">
        <w:rPr>
          <w:rFonts w:ascii="Times New Roman" w:eastAsia="MS Mincho" w:hAnsi="Times New Roman" w:cs="Times New Roman"/>
          <w:color w:val="333333"/>
          <w:kern w:val="0"/>
          <w14:ligatures w14:val="none"/>
        </w:rPr>
        <w:t>o parametrach i funkcjonalnościach nie gorszych niż opisane poniżej:</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3033"/>
        <w:gridCol w:w="6039"/>
      </w:tblGrid>
      <w:tr w:rsidR="000943D1" w:rsidRPr="000943D1" w14:paraId="21056DF0" w14:textId="77777777" w:rsidTr="00FB3BDC">
        <w:trPr>
          <w:cantSplit/>
          <w:tblHeader/>
          <w:jc w:val="center"/>
        </w:trPr>
        <w:tc>
          <w:tcPr>
            <w:tcW w:w="3168" w:type="dxa"/>
            <w:shd w:val="clear" w:color="auto" w:fill="003366"/>
            <w:tcMar>
              <w:top w:w="120" w:type="dxa"/>
              <w:left w:w="150" w:type="dxa"/>
              <w:bottom w:w="120" w:type="dxa"/>
              <w:right w:w="150" w:type="dxa"/>
            </w:tcMar>
            <w:vAlign w:val="center"/>
          </w:tcPr>
          <w:p w14:paraId="098A8CB6"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FFFFFF"/>
                <w:kern w:val="0"/>
                <w14:ligatures w14:val="none"/>
              </w:rPr>
              <w:t>Parametr / Subsystem</w:t>
            </w:r>
          </w:p>
        </w:tc>
        <w:tc>
          <w:tcPr>
            <w:tcW w:w="6192" w:type="dxa"/>
            <w:shd w:val="clear" w:color="auto" w:fill="003366"/>
            <w:tcMar>
              <w:top w:w="120" w:type="dxa"/>
              <w:left w:w="150" w:type="dxa"/>
              <w:bottom w:w="120" w:type="dxa"/>
              <w:right w:w="150" w:type="dxa"/>
            </w:tcMar>
            <w:vAlign w:val="center"/>
          </w:tcPr>
          <w:p w14:paraId="2344C9FB"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FFFFFF"/>
                <w:kern w:val="0"/>
                <w14:ligatures w14:val="none"/>
              </w:rPr>
              <w:t>Wymagane minimalne parametry techniczne i funkcjonalne</w:t>
            </w:r>
          </w:p>
        </w:tc>
      </w:tr>
      <w:tr w:rsidR="000943D1" w:rsidRPr="000943D1" w14:paraId="59147199" w14:textId="77777777" w:rsidTr="00FB3BDC">
        <w:trPr>
          <w:cantSplit/>
          <w:jc w:val="center"/>
        </w:trPr>
        <w:tc>
          <w:tcPr>
            <w:tcW w:w="3168" w:type="dxa"/>
            <w:shd w:val="clear" w:color="auto" w:fill="F9FBFD"/>
            <w:tcMar>
              <w:top w:w="120" w:type="dxa"/>
              <w:left w:w="150" w:type="dxa"/>
              <w:bottom w:w="120" w:type="dxa"/>
              <w:right w:w="150" w:type="dxa"/>
            </w:tcMar>
            <w:vAlign w:val="center"/>
          </w:tcPr>
          <w:p w14:paraId="68575C2A"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Rodzaj urządzenia</w:t>
            </w:r>
          </w:p>
        </w:tc>
        <w:tc>
          <w:tcPr>
            <w:tcW w:w="6192" w:type="dxa"/>
            <w:shd w:val="clear" w:color="auto" w:fill="F9FBFD"/>
            <w:tcMar>
              <w:top w:w="120" w:type="dxa"/>
              <w:left w:w="150" w:type="dxa"/>
              <w:bottom w:w="120" w:type="dxa"/>
              <w:right w:w="150" w:type="dxa"/>
            </w:tcMar>
            <w:vAlign w:val="center"/>
          </w:tcPr>
          <w:p w14:paraId="7A779823"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Komputer stacjonarny w obudowie SFF (Small Form </w:t>
            </w:r>
            <w:proofErr w:type="spellStart"/>
            <w:r w:rsidRPr="000943D1">
              <w:rPr>
                <w:rFonts w:ascii="Times New Roman" w:eastAsia="MS Mincho" w:hAnsi="Times New Roman" w:cs="Times New Roman"/>
                <w:color w:val="333333"/>
                <w:kern w:val="0"/>
                <w14:ligatures w14:val="none"/>
              </w:rPr>
              <w:t>Factor</w:t>
            </w:r>
            <w:proofErr w:type="spellEnd"/>
            <w:r w:rsidRPr="000943D1">
              <w:rPr>
                <w:rFonts w:ascii="Times New Roman" w:eastAsia="MS Mincho" w:hAnsi="Times New Roman" w:cs="Times New Roman"/>
                <w:color w:val="333333"/>
                <w:kern w:val="0"/>
                <w14:ligatures w14:val="none"/>
              </w:rPr>
              <w:t>) wraz z dedykowanym oprogramowaniem oraz akcesoriami.</w:t>
            </w:r>
          </w:p>
        </w:tc>
      </w:tr>
      <w:tr w:rsidR="000943D1" w:rsidRPr="000943D1" w14:paraId="2E01E7CC" w14:textId="77777777" w:rsidTr="00FB3BDC">
        <w:trPr>
          <w:cantSplit/>
          <w:jc w:val="center"/>
        </w:trPr>
        <w:tc>
          <w:tcPr>
            <w:tcW w:w="3168" w:type="dxa"/>
            <w:shd w:val="clear" w:color="auto" w:fill="FFFFFF"/>
            <w:tcMar>
              <w:top w:w="120" w:type="dxa"/>
              <w:left w:w="150" w:type="dxa"/>
              <w:bottom w:w="120" w:type="dxa"/>
              <w:right w:w="150" w:type="dxa"/>
            </w:tcMar>
            <w:vAlign w:val="center"/>
          </w:tcPr>
          <w:p w14:paraId="0056D03B"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Procesor</w:t>
            </w:r>
          </w:p>
        </w:tc>
        <w:tc>
          <w:tcPr>
            <w:tcW w:w="6192" w:type="dxa"/>
            <w:shd w:val="clear" w:color="auto" w:fill="FFFFFF"/>
            <w:tcMar>
              <w:top w:w="120" w:type="dxa"/>
              <w:left w:w="150" w:type="dxa"/>
              <w:bottom w:w="120" w:type="dxa"/>
              <w:right w:w="150" w:type="dxa"/>
            </w:tcMar>
            <w:vAlign w:val="center"/>
          </w:tcPr>
          <w:p w14:paraId="1D7F0C27"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Architektura x86-64, osiągający wynik nie mniejszy niż 20 000 punktów w teście wydajnościowym </w:t>
            </w:r>
            <w:proofErr w:type="spellStart"/>
            <w:r w:rsidRPr="000943D1">
              <w:rPr>
                <w:rFonts w:ascii="Times New Roman" w:eastAsia="MS Mincho" w:hAnsi="Times New Roman" w:cs="Times New Roman"/>
                <w:color w:val="333333"/>
                <w:kern w:val="0"/>
                <w14:ligatures w14:val="none"/>
              </w:rPr>
              <w:t>PassMark</w:t>
            </w:r>
            <w:proofErr w:type="spellEnd"/>
            <w:r w:rsidRPr="000943D1">
              <w:rPr>
                <w:rFonts w:ascii="Times New Roman" w:eastAsia="MS Mincho" w:hAnsi="Times New Roman" w:cs="Times New Roman"/>
                <w:color w:val="333333"/>
                <w:kern w:val="0"/>
                <w14:ligatures w14:val="none"/>
              </w:rPr>
              <w:t xml:space="preserve"> CPU Mark według wyników opublikowanych na stronie http://www.cpubenchmark.net/cpu_list.php (na dzień publikacji ogłoszenia o zamówieniu) lub w teście równoważnym.</w:t>
            </w:r>
          </w:p>
        </w:tc>
      </w:tr>
      <w:tr w:rsidR="000943D1" w:rsidRPr="000943D1" w14:paraId="1D96B53D" w14:textId="77777777" w:rsidTr="00FB3BDC">
        <w:trPr>
          <w:cantSplit/>
          <w:jc w:val="center"/>
        </w:trPr>
        <w:tc>
          <w:tcPr>
            <w:tcW w:w="3168" w:type="dxa"/>
            <w:shd w:val="clear" w:color="auto" w:fill="F9FBFD"/>
            <w:tcMar>
              <w:top w:w="120" w:type="dxa"/>
              <w:left w:w="150" w:type="dxa"/>
              <w:bottom w:w="120" w:type="dxa"/>
              <w:right w:w="150" w:type="dxa"/>
            </w:tcMar>
            <w:vAlign w:val="center"/>
          </w:tcPr>
          <w:p w14:paraId="1A2644BE"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lastRenderedPageBreak/>
              <w:t>Płyta główna</w:t>
            </w:r>
          </w:p>
        </w:tc>
        <w:tc>
          <w:tcPr>
            <w:tcW w:w="6192" w:type="dxa"/>
            <w:shd w:val="clear" w:color="auto" w:fill="F9FBFD"/>
            <w:tcMar>
              <w:top w:w="120" w:type="dxa"/>
              <w:left w:w="150" w:type="dxa"/>
              <w:bottom w:w="120" w:type="dxa"/>
              <w:right w:w="150" w:type="dxa"/>
            </w:tcMar>
            <w:vAlign w:val="center"/>
          </w:tcPr>
          <w:p w14:paraId="4927F960" w14:textId="321BF4FD"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Kompatybilna z oferowanym procesorem, zapewniająca stabilną pracę wszystkich podzespołów, wyposażona </w:t>
            </w:r>
            <w:r w:rsidR="00707A35">
              <w:rPr>
                <w:rFonts w:ascii="Times New Roman" w:eastAsia="MS Mincho" w:hAnsi="Times New Roman" w:cs="Times New Roman"/>
                <w:color w:val="333333"/>
                <w:kern w:val="0"/>
                <w14:ligatures w14:val="none"/>
              </w:rPr>
              <w:br/>
            </w:r>
            <w:r w:rsidRPr="000943D1">
              <w:rPr>
                <w:rFonts w:ascii="Times New Roman" w:eastAsia="MS Mincho" w:hAnsi="Times New Roman" w:cs="Times New Roman"/>
                <w:color w:val="333333"/>
                <w:kern w:val="0"/>
                <w14:ligatures w14:val="none"/>
              </w:rPr>
              <w:t>w niezbędne porty i złącza (w tym USB, SATA oraz minimum 1 x wyjście cyfrowe HDMI).</w:t>
            </w:r>
          </w:p>
        </w:tc>
      </w:tr>
      <w:tr w:rsidR="000943D1" w:rsidRPr="000943D1" w14:paraId="4DCD65B4" w14:textId="77777777" w:rsidTr="00FB3BDC">
        <w:trPr>
          <w:cantSplit/>
          <w:jc w:val="center"/>
        </w:trPr>
        <w:tc>
          <w:tcPr>
            <w:tcW w:w="3168" w:type="dxa"/>
            <w:shd w:val="clear" w:color="auto" w:fill="FFFFFF"/>
            <w:tcMar>
              <w:top w:w="120" w:type="dxa"/>
              <w:left w:w="150" w:type="dxa"/>
              <w:bottom w:w="120" w:type="dxa"/>
              <w:right w:w="150" w:type="dxa"/>
            </w:tcMar>
            <w:vAlign w:val="center"/>
          </w:tcPr>
          <w:p w14:paraId="39B3A513"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Pamięć RAM</w:t>
            </w:r>
          </w:p>
        </w:tc>
        <w:tc>
          <w:tcPr>
            <w:tcW w:w="6192" w:type="dxa"/>
            <w:shd w:val="clear" w:color="auto" w:fill="FFFFFF"/>
            <w:tcMar>
              <w:top w:w="120" w:type="dxa"/>
              <w:left w:w="150" w:type="dxa"/>
              <w:bottom w:w="120" w:type="dxa"/>
              <w:right w:w="150" w:type="dxa"/>
            </w:tcMar>
            <w:vAlign w:val="center"/>
          </w:tcPr>
          <w:p w14:paraId="3BD0A16B" w14:textId="75926B91"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Minimum 16 GB DDR4 o taktowaniu kompatybilnym </w:t>
            </w:r>
            <w:r w:rsidR="00707A35">
              <w:rPr>
                <w:rFonts w:ascii="Times New Roman" w:eastAsia="MS Mincho" w:hAnsi="Times New Roman" w:cs="Times New Roman"/>
                <w:color w:val="333333"/>
                <w:kern w:val="0"/>
                <w14:ligatures w14:val="none"/>
              </w:rPr>
              <w:br/>
            </w:r>
            <w:r w:rsidRPr="000943D1">
              <w:rPr>
                <w:rFonts w:ascii="Times New Roman" w:eastAsia="MS Mincho" w:hAnsi="Times New Roman" w:cs="Times New Roman"/>
                <w:color w:val="333333"/>
                <w:kern w:val="0"/>
                <w14:ligatures w14:val="none"/>
              </w:rPr>
              <w:t>z płytą główną (minimum 3200 MHz), z możliwością dalszej rozbudowy.</w:t>
            </w:r>
          </w:p>
        </w:tc>
      </w:tr>
      <w:tr w:rsidR="000943D1" w:rsidRPr="000943D1" w14:paraId="40D15A60" w14:textId="77777777" w:rsidTr="00FB3BDC">
        <w:trPr>
          <w:cantSplit/>
          <w:jc w:val="center"/>
        </w:trPr>
        <w:tc>
          <w:tcPr>
            <w:tcW w:w="3168" w:type="dxa"/>
            <w:shd w:val="clear" w:color="auto" w:fill="F9FBFD"/>
            <w:tcMar>
              <w:top w:w="120" w:type="dxa"/>
              <w:left w:w="150" w:type="dxa"/>
              <w:bottom w:w="120" w:type="dxa"/>
              <w:right w:w="150" w:type="dxa"/>
            </w:tcMar>
            <w:vAlign w:val="center"/>
          </w:tcPr>
          <w:p w14:paraId="5BC39071"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Karta graficzna</w:t>
            </w:r>
          </w:p>
        </w:tc>
        <w:tc>
          <w:tcPr>
            <w:tcW w:w="6192" w:type="dxa"/>
            <w:shd w:val="clear" w:color="auto" w:fill="F9FBFD"/>
            <w:tcMar>
              <w:top w:w="120" w:type="dxa"/>
              <w:left w:w="150" w:type="dxa"/>
              <w:bottom w:w="120" w:type="dxa"/>
              <w:right w:w="150" w:type="dxa"/>
            </w:tcMar>
            <w:vAlign w:val="center"/>
          </w:tcPr>
          <w:p w14:paraId="78892806"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Zintegrowana z procesorem lub płytą główną.</w:t>
            </w:r>
          </w:p>
        </w:tc>
      </w:tr>
      <w:tr w:rsidR="000943D1" w:rsidRPr="000943D1" w14:paraId="5AAF4D60" w14:textId="77777777" w:rsidTr="00FB3BDC">
        <w:trPr>
          <w:cantSplit/>
          <w:jc w:val="center"/>
        </w:trPr>
        <w:tc>
          <w:tcPr>
            <w:tcW w:w="3168" w:type="dxa"/>
            <w:shd w:val="clear" w:color="auto" w:fill="FFFFFF"/>
            <w:tcMar>
              <w:top w:w="120" w:type="dxa"/>
              <w:left w:w="150" w:type="dxa"/>
              <w:bottom w:w="120" w:type="dxa"/>
              <w:right w:w="150" w:type="dxa"/>
            </w:tcMar>
            <w:vAlign w:val="center"/>
          </w:tcPr>
          <w:p w14:paraId="3A84F9CE"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Dysk SSD</w:t>
            </w:r>
          </w:p>
        </w:tc>
        <w:tc>
          <w:tcPr>
            <w:tcW w:w="6192" w:type="dxa"/>
            <w:shd w:val="clear" w:color="auto" w:fill="FFFFFF"/>
            <w:tcMar>
              <w:top w:w="120" w:type="dxa"/>
              <w:left w:w="150" w:type="dxa"/>
              <w:bottom w:w="120" w:type="dxa"/>
              <w:right w:w="150" w:type="dxa"/>
            </w:tcMar>
            <w:vAlign w:val="center"/>
          </w:tcPr>
          <w:p w14:paraId="1A702104"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Dysk SSD o pojemności minimum 512 GB, zapewniający szybki dostęp do danych i systemu operacyjnego. Wymagany interfejs M.2 </w:t>
            </w:r>
            <w:proofErr w:type="spellStart"/>
            <w:r w:rsidRPr="000943D1">
              <w:rPr>
                <w:rFonts w:ascii="Times New Roman" w:eastAsia="MS Mincho" w:hAnsi="Times New Roman" w:cs="Times New Roman"/>
                <w:color w:val="333333"/>
                <w:kern w:val="0"/>
                <w14:ligatures w14:val="none"/>
              </w:rPr>
              <w:t>PCIe</w:t>
            </w:r>
            <w:proofErr w:type="spellEnd"/>
            <w:r w:rsidRPr="000943D1">
              <w:rPr>
                <w:rFonts w:ascii="Times New Roman" w:eastAsia="MS Mincho" w:hAnsi="Times New Roman" w:cs="Times New Roman"/>
                <w:color w:val="333333"/>
                <w:kern w:val="0"/>
                <w14:ligatures w14:val="none"/>
              </w:rPr>
              <w:t xml:space="preserve"> </w:t>
            </w:r>
            <w:proofErr w:type="spellStart"/>
            <w:r w:rsidRPr="000943D1">
              <w:rPr>
                <w:rFonts w:ascii="Times New Roman" w:eastAsia="MS Mincho" w:hAnsi="Times New Roman" w:cs="Times New Roman"/>
                <w:color w:val="333333"/>
                <w:kern w:val="0"/>
                <w14:ligatures w14:val="none"/>
              </w:rPr>
              <w:t>NVMe</w:t>
            </w:r>
            <w:proofErr w:type="spellEnd"/>
            <w:r w:rsidRPr="000943D1">
              <w:rPr>
                <w:rFonts w:ascii="Times New Roman" w:eastAsia="MS Mincho" w:hAnsi="Times New Roman" w:cs="Times New Roman"/>
                <w:color w:val="333333"/>
                <w:kern w:val="0"/>
                <w14:ligatures w14:val="none"/>
              </w:rPr>
              <w:t>.</w:t>
            </w:r>
          </w:p>
        </w:tc>
      </w:tr>
      <w:tr w:rsidR="000943D1" w:rsidRPr="000943D1" w14:paraId="3C3C0694" w14:textId="77777777" w:rsidTr="00FB3BDC">
        <w:trPr>
          <w:cantSplit/>
          <w:jc w:val="center"/>
        </w:trPr>
        <w:tc>
          <w:tcPr>
            <w:tcW w:w="3168" w:type="dxa"/>
            <w:shd w:val="clear" w:color="auto" w:fill="F9FBFD"/>
            <w:tcMar>
              <w:top w:w="120" w:type="dxa"/>
              <w:left w:w="150" w:type="dxa"/>
              <w:bottom w:w="120" w:type="dxa"/>
              <w:right w:w="150" w:type="dxa"/>
            </w:tcMar>
            <w:vAlign w:val="center"/>
          </w:tcPr>
          <w:p w14:paraId="12383B30"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Obudowa</w:t>
            </w:r>
          </w:p>
        </w:tc>
        <w:tc>
          <w:tcPr>
            <w:tcW w:w="6192" w:type="dxa"/>
            <w:shd w:val="clear" w:color="auto" w:fill="F9FBFD"/>
            <w:tcMar>
              <w:top w:w="120" w:type="dxa"/>
              <w:left w:w="150" w:type="dxa"/>
              <w:bottom w:w="120" w:type="dxa"/>
              <w:right w:w="150" w:type="dxa"/>
            </w:tcMar>
            <w:vAlign w:val="center"/>
          </w:tcPr>
          <w:p w14:paraId="124355B7"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Obudowa typu SFF (Small Form </w:t>
            </w:r>
            <w:proofErr w:type="spellStart"/>
            <w:r w:rsidRPr="000943D1">
              <w:rPr>
                <w:rFonts w:ascii="Times New Roman" w:eastAsia="MS Mincho" w:hAnsi="Times New Roman" w:cs="Times New Roman"/>
                <w:color w:val="333333"/>
                <w:kern w:val="0"/>
                <w14:ligatures w14:val="none"/>
              </w:rPr>
              <w:t>Factor</w:t>
            </w:r>
            <w:proofErr w:type="spellEnd"/>
            <w:r w:rsidRPr="000943D1">
              <w:rPr>
                <w:rFonts w:ascii="Times New Roman" w:eastAsia="MS Mincho" w:hAnsi="Times New Roman" w:cs="Times New Roman"/>
                <w:color w:val="333333"/>
                <w:kern w:val="0"/>
                <w14:ligatures w14:val="none"/>
              </w:rPr>
              <w:t>) o kompaktowych wymiarach, której łączna pojemność (objętość zewnętrzna) nie przekracza 10 litrów. Konstrukcja zapewniająca odpowiednią cyrkulację powietrza.</w:t>
            </w:r>
          </w:p>
        </w:tc>
      </w:tr>
      <w:tr w:rsidR="000943D1" w:rsidRPr="000943D1" w14:paraId="21632798" w14:textId="77777777" w:rsidTr="00FB3BDC">
        <w:trPr>
          <w:cantSplit/>
          <w:jc w:val="center"/>
        </w:trPr>
        <w:tc>
          <w:tcPr>
            <w:tcW w:w="3168" w:type="dxa"/>
            <w:shd w:val="clear" w:color="auto" w:fill="FFFFFF"/>
            <w:tcMar>
              <w:top w:w="120" w:type="dxa"/>
              <w:left w:w="150" w:type="dxa"/>
              <w:bottom w:w="120" w:type="dxa"/>
              <w:right w:w="150" w:type="dxa"/>
            </w:tcMar>
            <w:vAlign w:val="center"/>
          </w:tcPr>
          <w:p w14:paraId="65D51EF9"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Zasilacz</w:t>
            </w:r>
          </w:p>
        </w:tc>
        <w:tc>
          <w:tcPr>
            <w:tcW w:w="6192" w:type="dxa"/>
            <w:shd w:val="clear" w:color="auto" w:fill="FFFFFF"/>
            <w:tcMar>
              <w:top w:w="120" w:type="dxa"/>
              <w:left w:w="150" w:type="dxa"/>
              <w:bottom w:w="120" w:type="dxa"/>
              <w:right w:w="150" w:type="dxa"/>
            </w:tcMar>
            <w:vAlign w:val="center"/>
          </w:tcPr>
          <w:p w14:paraId="3C12340A"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Zasilacz o mocy odpowiednio dobranej do konfiguracji sprzętowej, charakteryzujący się wysoką sprawnością energetyczną (minimum certyfikat 80 Plus </w:t>
            </w:r>
            <w:proofErr w:type="spellStart"/>
            <w:r w:rsidRPr="000943D1">
              <w:rPr>
                <w:rFonts w:ascii="Times New Roman" w:eastAsia="MS Mincho" w:hAnsi="Times New Roman" w:cs="Times New Roman"/>
                <w:color w:val="333333"/>
                <w:kern w:val="0"/>
                <w14:ligatures w14:val="none"/>
              </w:rPr>
              <w:t>Bronze</w:t>
            </w:r>
            <w:proofErr w:type="spellEnd"/>
            <w:r w:rsidRPr="000943D1">
              <w:rPr>
                <w:rFonts w:ascii="Times New Roman" w:eastAsia="MS Mincho" w:hAnsi="Times New Roman" w:cs="Times New Roman"/>
                <w:color w:val="333333"/>
                <w:kern w:val="0"/>
                <w14:ligatures w14:val="none"/>
              </w:rPr>
              <w:t xml:space="preserve"> lub równoważny).</w:t>
            </w:r>
          </w:p>
        </w:tc>
      </w:tr>
      <w:tr w:rsidR="000943D1" w:rsidRPr="000943D1" w14:paraId="18D37BD5" w14:textId="77777777" w:rsidTr="00FB3BDC">
        <w:trPr>
          <w:cantSplit/>
          <w:jc w:val="center"/>
        </w:trPr>
        <w:tc>
          <w:tcPr>
            <w:tcW w:w="3168" w:type="dxa"/>
            <w:shd w:val="clear" w:color="auto" w:fill="F9FBFD"/>
            <w:tcMar>
              <w:top w:w="120" w:type="dxa"/>
              <w:left w:w="150" w:type="dxa"/>
              <w:bottom w:w="120" w:type="dxa"/>
              <w:right w:w="150" w:type="dxa"/>
            </w:tcMar>
            <w:vAlign w:val="center"/>
          </w:tcPr>
          <w:p w14:paraId="73F2C264"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Karta dźwiękowa</w:t>
            </w:r>
          </w:p>
        </w:tc>
        <w:tc>
          <w:tcPr>
            <w:tcW w:w="6192" w:type="dxa"/>
            <w:shd w:val="clear" w:color="auto" w:fill="F9FBFD"/>
            <w:tcMar>
              <w:top w:w="120" w:type="dxa"/>
              <w:left w:w="150" w:type="dxa"/>
              <w:bottom w:w="120" w:type="dxa"/>
              <w:right w:w="150" w:type="dxa"/>
            </w:tcMar>
            <w:vAlign w:val="center"/>
          </w:tcPr>
          <w:p w14:paraId="43185DCE"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Zintegrowana z płytą główną.</w:t>
            </w:r>
          </w:p>
        </w:tc>
      </w:tr>
      <w:tr w:rsidR="000943D1" w:rsidRPr="000943D1" w14:paraId="0BF47C2B" w14:textId="77777777" w:rsidTr="00FB3BDC">
        <w:trPr>
          <w:cantSplit/>
          <w:jc w:val="center"/>
        </w:trPr>
        <w:tc>
          <w:tcPr>
            <w:tcW w:w="3168" w:type="dxa"/>
            <w:shd w:val="clear" w:color="auto" w:fill="FFFFFF"/>
            <w:tcMar>
              <w:top w:w="120" w:type="dxa"/>
              <w:left w:w="150" w:type="dxa"/>
              <w:bottom w:w="120" w:type="dxa"/>
              <w:right w:w="150" w:type="dxa"/>
            </w:tcMar>
            <w:vAlign w:val="center"/>
          </w:tcPr>
          <w:p w14:paraId="0442659C"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Karta sieciowa</w:t>
            </w:r>
          </w:p>
        </w:tc>
        <w:tc>
          <w:tcPr>
            <w:tcW w:w="6192" w:type="dxa"/>
            <w:shd w:val="clear" w:color="auto" w:fill="FFFFFF"/>
            <w:tcMar>
              <w:top w:w="120" w:type="dxa"/>
              <w:left w:w="150" w:type="dxa"/>
              <w:bottom w:w="120" w:type="dxa"/>
              <w:right w:w="150" w:type="dxa"/>
            </w:tcMar>
            <w:vAlign w:val="center"/>
          </w:tcPr>
          <w:p w14:paraId="0240D33D"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Zintegrowana, przewodowa karta sieciowa Ethernet 1 </w:t>
            </w:r>
            <w:proofErr w:type="spellStart"/>
            <w:r w:rsidRPr="000943D1">
              <w:rPr>
                <w:rFonts w:ascii="Times New Roman" w:eastAsia="MS Mincho" w:hAnsi="Times New Roman" w:cs="Times New Roman"/>
                <w:color w:val="333333"/>
                <w:kern w:val="0"/>
                <w14:ligatures w14:val="none"/>
              </w:rPr>
              <w:t>Gb</w:t>
            </w:r>
            <w:proofErr w:type="spellEnd"/>
            <w:r w:rsidRPr="000943D1">
              <w:rPr>
                <w:rFonts w:ascii="Times New Roman" w:eastAsia="MS Mincho" w:hAnsi="Times New Roman" w:cs="Times New Roman"/>
                <w:color w:val="333333"/>
                <w:kern w:val="0"/>
                <w14:ligatures w14:val="none"/>
              </w:rPr>
              <w:t xml:space="preserve">/s (10/100/1000 </w:t>
            </w:r>
            <w:proofErr w:type="spellStart"/>
            <w:r w:rsidRPr="000943D1">
              <w:rPr>
                <w:rFonts w:ascii="Times New Roman" w:eastAsia="MS Mincho" w:hAnsi="Times New Roman" w:cs="Times New Roman"/>
                <w:color w:val="333333"/>
                <w:kern w:val="0"/>
                <w14:ligatures w14:val="none"/>
              </w:rPr>
              <w:t>Mbps</w:t>
            </w:r>
            <w:proofErr w:type="spellEnd"/>
            <w:r w:rsidRPr="000943D1">
              <w:rPr>
                <w:rFonts w:ascii="Times New Roman" w:eastAsia="MS Mincho" w:hAnsi="Times New Roman" w:cs="Times New Roman"/>
                <w:color w:val="333333"/>
                <w:kern w:val="0"/>
                <w14:ligatures w14:val="none"/>
              </w:rPr>
              <w:t>) ze złączem RJ-45.</w:t>
            </w:r>
          </w:p>
        </w:tc>
      </w:tr>
      <w:tr w:rsidR="000943D1" w:rsidRPr="000943D1" w14:paraId="2FD7D261" w14:textId="77777777" w:rsidTr="00FB3BDC">
        <w:trPr>
          <w:cantSplit/>
          <w:jc w:val="center"/>
        </w:trPr>
        <w:tc>
          <w:tcPr>
            <w:tcW w:w="3168" w:type="dxa"/>
            <w:shd w:val="clear" w:color="auto" w:fill="F9FBFD"/>
            <w:tcMar>
              <w:top w:w="120" w:type="dxa"/>
              <w:left w:w="150" w:type="dxa"/>
              <w:bottom w:w="120" w:type="dxa"/>
              <w:right w:w="150" w:type="dxa"/>
            </w:tcMar>
            <w:vAlign w:val="center"/>
          </w:tcPr>
          <w:p w14:paraId="3D4C2928"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Porty zewnętrzne</w:t>
            </w:r>
          </w:p>
        </w:tc>
        <w:tc>
          <w:tcPr>
            <w:tcW w:w="6192" w:type="dxa"/>
            <w:shd w:val="clear" w:color="auto" w:fill="F9FBFD"/>
            <w:tcMar>
              <w:top w:w="120" w:type="dxa"/>
              <w:left w:w="150" w:type="dxa"/>
              <w:bottom w:w="120" w:type="dxa"/>
              <w:right w:w="150" w:type="dxa"/>
            </w:tcMar>
            <w:vAlign w:val="center"/>
          </w:tcPr>
          <w:p w14:paraId="2DD3C275"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Minimum 4 porty USB (w tym co najmniej 2 porty USB 3.0 / USB 3.2 Gen 1 lub nowsze), wyjścia/wejścia audio (audio-</w:t>
            </w:r>
            <w:proofErr w:type="spellStart"/>
            <w:r w:rsidRPr="000943D1">
              <w:rPr>
                <w:rFonts w:ascii="Times New Roman" w:eastAsia="MS Mincho" w:hAnsi="Times New Roman" w:cs="Times New Roman"/>
                <w:color w:val="333333"/>
                <w:kern w:val="0"/>
                <w14:ligatures w14:val="none"/>
              </w:rPr>
              <w:t>combo</w:t>
            </w:r>
            <w:proofErr w:type="spellEnd"/>
            <w:r w:rsidRPr="000943D1">
              <w:rPr>
                <w:rFonts w:ascii="Times New Roman" w:eastAsia="MS Mincho" w:hAnsi="Times New Roman" w:cs="Times New Roman"/>
                <w:color w:val="333333"/>
                <w:kern w:val="0"/>
                <w14:ligatures w14:val="none"/>
              </w:rPr>
              <w:t xml:space="preserve"> lub osobnym mikrofon/słuchawki).</w:t>
            </w:r>
          </w:p>
        </w:tc>
      </w:tr>
      <w:tr w:rsidR="000943D1" w:rsidRPr="000943D1" w14:paraId="6F6B9E59" w14:textId="77777777" w:rsidTr="00FB3BDC">
        <w:trPr>
          <w:cantSplit/>
          <w:jc w:val="center"/>
        </w:trPr>
        <w:tc>
          <w:tcPr>
            <w:tcW w:w="3168" w:type="dxa"/>
            <w:shd w:val="clear" w:color="auto" w:fill="FFFFFF"/>
            <w:tcMar>
              <w:top w:w="120" w:type="dxa"/>
              <w:left w:w="150" w:type="dxa"/>
              <w:bottom w:w="120" w:type="dxa"/>
              <w:right w:w="150" w:type="dxa"/>
            </w:tcMar>
            <w:vAlign w:val="center"/>
          </w:tcPr>
          <w:p w14:paraId="05AE9ED8"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System operacyjny</w:t>
            </w:r>
          </w:p>
        </w:tc>
        <w:tc>
          <w:tcPr>
            <w:tcW w:w="6192" w:type="dxa"/>
            <w:shd w:val="clear" w:color="auto" w:fill="FFFFFF"/>
            <w:tcMar>
              <w:top w:w="120" w:type="dxa"/>
              <w:left w:w="150" w:type="dxa"/>
              <w:bottom w:w="120" w:type="dxa"/>
              <w:right w:w="150" w:type="dxa"/>
            </w:tcMar>
            <w:vAlign w:val="center"/>
          </w:tcPr>
          <w:p w14:paraId="17108283" w14:textId="0D359BD4"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Windows 11 Professional PLN (polska wersja językowa) lub system równoważny. Zainstalowany, aktywowany </w:t>
            </w:r>
            <w:r w:rsidR="00707A35">
              <w:rPr>
                <w:rFonts w:ascii="Times New Roman" w:eastAsia="MS Mincho" w:hAnsi="Times New Roman" w:cs="Times New Roman"/>
                <w:color w:val="333333"/>
                <w:kern w:val="0"/>
                <w14:ligatures w14:val="none"/>
              </w:rPr>
              <w:br/>
            </w:r>
            <w:r w:rsidRPr="000943D1">
              <w:rPr>
                <w:rFonts w:ascii="Times New Roman" w:eastAsia="MS Mincho" w:hAnsi="Times New Roman" w:cs="Times New Roman"/>
                <w:color w:val="333333"/>
                <w:kern w:val="0"/>
                <w14:ligatures w14:val="none"/>
              </w:rPr>
              <w:t>i w pełni skonfigurowany na dysku komputera. Wykonawca dostarczy oryginalną licencję lub klucz produktu.</w:t>
            </w:r>
          </w:p>
        </w:tc>
      </w:tr>
      <w:tr w:rsidR="000943D1" w:rsidRPr="000943D1" w14:paraId="73319F26" w14:textId="77777777" w:rsidTr="00FB3BDC">
        <w:trPr>
          <w:cantSplit/>
          <w:jc w:val="center"/>
        </w:trPr>
        <w:tc>
          <w:tcPr>
            <w:tcW w:w="3168" w:type="dxa"/>
            <w:shd w:val="clear" w:color="auto" w:fill="F9FBFD"/>
            <w:tcMar>
              <w:top w:w="120" w:type="dxa"/>
              <w:left w:w="150" w:type="dxa"/>
              <w:bottom w:w="120" w:type="dxa"/>
              <w:right w:w="150" w:type="dxa"/>
            </w:tcMar>
            <w:vAlign w:val="center"/>
          </w:tcPr>
          <w:p w14:paraId="0EA6B678"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lastRenderedPageBreak/>
              <w:t>Wyposażenie dodatkowe</w:t>
            </w:r>
          </w:p>
        </w:tc>
        <w:tc>
          <w:tcPr>
            <w:tcW w:w="6192" w:type="dxa"/>
            <w:shd w:val="clear" w:color="auto" w:fill="F9FBFD"/>
            <w:tcMar>
              <w:top w:w="120" w:type="dxa"/>
              <w:left w:w="150" w:type="dxa"/>
              <w:bottom w:w="120" w:type="dxa"/>
              <w:right w:w="150" w:type="dxa"/>
            </w:tcMar>
            <w:vAlign w:val="center"/>
          </w:tcPr>
          <w:p w14:paraId="2CB2D011"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Wykonawca dołączy do każdego zestawu:</w:t>
            </w:r>
          </w:p>
          <w:p w14:paraId="62E4F809"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Przewodową mysz optyczną (USB) w kolorze czarnym.</w:t>
            </w:r>
          </w:p>
          <w:p w14:paraId="050C65A3"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Przewodową klawiaturę w układzie programisty (QWERTY, USB) w kolorze czarnym.</w:t>
            </w:r>
          </w:p>
          <w:p w14:paraId="47A3D510"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Pełne okablowanie zasilające oraz kabel sygnałowy HDMI.</w:t>
            </w:r>
          </w:p>
        </w:tc>
      </w:tr>
    </w:tbl>
    <w:p w14:paraId="51B37AED" w14:textId="77777777" w:rsidR="000943D1" w:rsidRPr="000943D1" w:rsidRDefault="000943D1" w:rsidP="000943D1">
      <w:pPr>
        <w:spacing w:line="276" w:lineRule="auto"/>
        <w:jc w:val="both"/>
        <w:rPr>
          <w:rFonts w:ascii="Times New Roman" w:eastAsia="MS Mincho" w:hAnsi="Times New Roman" w:cs="Times New Roman"/>
          <w:color w:val="333333"/>
          <w:kern w:val="0"/>
          <w14:ligatures w14:val="none"/>
        </w:rPr>
      </w:pPr>
    </w:p>
    <w:p w14:paraId="6D7FB554" w14:textId="4E3D7B91" w:rsidR="000943D1" w:rsidRPr="000943D1" w:rsidRDefault="000943D1" w:rsidP="000943D1">
      <w:pPr>
        <w:keepNext/>
        <w:spacing w:before="320" w:after="12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II. WYMAGANIA OGÓLNE, WARUNKI DOSTAWY I MONTAŻU</w:t>
      </w:r>
      <w:r>
        <w:rPr>
          <w:rFonts w:ascii="Times New Roman" w:eastAsia="MS Mincho" w:hAnsi="Times New Roman" w:cs="Times New Roman"/>
          <w:b/>
          <w:color w:val="003366"/>
          <w:kern w:val="0"/>
          <w14:ligatures w14:val="none"/>
        </w:rPr>
        <w:t>.</w:t>
      </w:r>
    </w:p>
    <w:p w14:paraId="575C528C"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1. Stan sprzętu:</w:t>
      </w:r>
    </w:p>
    <w:p w14:paraId="0BD7A898" w14:textId="0E30AB40"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Wszystkie dostarczo</w:t>
      </w:r>
      <w:r w:rsidR="00E636CA">
        <w:rPr>
          <w:rFonts w:ascii="Times New Roman" w:eastAsia="MS Mincho" w:hAnsi="Times New Roman" w:cs="Times New Roman"/>
          <w:color w:val="333333"/>
          <w:kern w:val="0"/>
          <w14:ligatures w14:val="none"/>
        </w:rPr>
        <w:t>n</w:t>
      </w:r>
      <w:r w:rsidRPr="000943D1">
        <w:rPr>
          <w:rFonts w:ascii="Times New Roman" w:eastAsia="MS Mincho" w:hAnsi="Times New Roman" w:cs="Times New Roman"/>
          <w:color w:val="333333"/>
          <w:kern w:val="0"/>
          <w14:ligatures w14:val="none"/>
        </w:rPr>
        <w:t>e komputery, podzespoły oraz akcesoria muszą być fabrycznie nowe, nieużywane, wolne od wad fizycznych i prawnych oraz pochodzić z oficjalnego kanału dystrybucyjnego producenta przeznaczonego na rynek Unii Europejskiej.</w:t>
      </w:r>
    </w:p>
    <w:p w14:paraId="6B6B79A0"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Data produkcji sprzętu nie może być wcześniejsza niż 12 miesięcy od daty realizacji dostawy.</w:t>
      </w:r>
    </w:p>
    <w:p w14:paraId="1525E7FD"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2. Instalacja i oprogramowanie:</w:t>
      </w:r>
    </w:p>
    <w:p w14:paraId="6A4187EF"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Sprzęt musi zostać dostarczony z zainstalowanym, aktywowanym systemem operacyjnym oraz kompletem najnowszych sterowników dostarczanych przez producenta sprzętu.</w:t>
      </w:r>
    </w:p>
    <w:p w14:paraId="6F08D069"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Zainstalowany system operacyjny nie może zawierać zbędnego oprogramowania reklamowego, wersji próbnych (</w:t>
      </w:r>
      <w:proofErr w:type="spellStart"/>
      <w:r w:rsidRPr="000943D1">
        <w:rPr>
          <w:rFonts w:ascii="Times New Roman" w:eastAsia="MS Mincho" w:hAnsi="Times New Roman" w:cs="Times New Roman"/>
          <w:color w:val="333333"/>
          <w:kern w:val="0"/>
          <w14:ligatures w14:val="none"/>
        </w:rPr>
        <w:t>bloatware</w:t>
      </w:r>
      <w:proofErr w:type="spellEnd"/>
      <w:r w:rsidRPr="000943D1">
        <w:rPr>
          <w:rFonts w:ascii="Times New Roman" w:eastAsia="MS Mincho" w:hAnsi="Times New Roman" w:cs="Times New Roman"/>
          <w:color w:val="333333"/>
          <w:kern w:val="0"/>
          <w14:ligatures w14:val="none"/>
        </w:rPr>
        <w:t xml:space="preserve"> / </w:t>
      </w:r>
      <w:proofErr w:type="spellStart"/>
      <w:r w:rsidRPr="000943D1">
        <w:rPr>
          <w:rFonts w:ascii="Times New Roman" w:eastAsia="MS Mincho" w:hAnsi="Times New Roman" w:cs="Times New Roman"/>
          <w:color w:val="333333"/>
          <w:kern w:val="0"/>
          <w14:ligatures w14:val="none"/>
        </w:rPr>
        <w:t>trialware</w:t>
      </w:r>
      <w:proofErr w:type="spellEnd"/>
      <w:r w:rsidRPr="000943D1">
        <w:rPr>
          <w:rFonts w:ascii="Times New Roman" w:eastAsia="MS Mincho" w:hAnsi="Times New Roman" w:cs="Times New Roman"/>
          <w:color w:val="333333"/>
          <w:kern w:val="0"/>
          <w14:ligatures w14:val="none"/>
        </w:rPr>
        <w:t>).</w:t>
      </w:r>
    </w:p>
    <w:p w14:paraId="40303E43"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3. Miejsca i termin dostawy:</w:t>
      </w:r>
    </w:p>
    <w:p w14:paraId="15D15C65"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Dostawa odbędzie się na koszt i ryzyko Wykonawcy do siedziby Zamawiającego Centrum Usług Społecznych, 26-110 Skarżysko-Kamienna ul. Sikorskiego 19.</w:t>
      </w:r>
    </w:p>
    <w:p w14:paraId="1BD2502E"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Termin realizacji zamówienia wynosi 14 dni kalendarzowych od dnia zawarcia umowy.</w:t>
      </w:r>
    </w:p>
    <w:p w14:paraId="6E5AC51B" w14:textId="27BA4ED5" w:rsidR="000943D1" w:rsidRPr="000943D1" w:rsidRDefault="000943D1" w:rsidP="000943D1">
      <w:pPr>
        <w:keepNext/>
        <w:spacing w:before="320" w:after="12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III. GWARANCJA, SERWIS I WSPARCIE TECHNICZNE</w:t>
      </w:r>
      <w:r>
        <w:rPr>
          <w:rFonts w:ascii="Times New Roman" w:eastAsia="MS Mincho" w:hAnsi="Times New Roman" w:cs="Times New Roman"/>
          <w:b/>
          <w:color w:val="003366"/>
          <w:kern w:val="0"/>
          <w14:ligatures w14:val="none"/>
        </w:rPr>
        <w:t>.</w:t>
      </w:r>
    </w:p>
    <w:p w14:paraId="2B489931"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1. Okres gwarancji:</w:t>
      </w:r>
    </w:p>
    <w:p w14:paraId="1B29B45C"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Wykonawca udziela pełnej gwarancji jakości na cały zestaw komputerowy (wraz z zasilaczem, dyskiem i akcesoriami) na okres minimum 36 miesięcy, liczony od dnia podpisania </w:t>
      </w:r>
      <w:proofErr w:type="spellStart"/>
      <w:r w:rsidRPr="000943D1">
        <w:rPr>
          <w:rFonts w:ascii="Times New Roman" w:eastAsia="MS Mincho" w:hAnsi="Times New Roman" w:cs="Times New Roman"/>
          <w:color w:val="333333"/>
          <w:kern w:val="0"/>
          <w14:ligatures w14:val="none"/>
        </w:rPr>
        <w:t>bezzastrzeżeniowego</w:t>
      </w:r>
      <w:proofErr w:type="spellEnd"/>
      <w:r w:rsidRPr="000943D1">
        <w:rPr>
          <w:rFonts w:ascii="Times New Roman" w:eastAsia="MS Mincho" w:hAnsi="Times New Roman" w:cs="Times New Roman"/>
          <w:color w:val="333333"/>
          <w:kern w:val="0"/>
          <w14:ligatures w14:val="none"/>
        </w:rPr>
        <w:t xml:space="preserve"> protokołu odbioru końcowego.</w:t>
      </w:r>
    </w:p>
    <w:p w14:paraId="29F8F2CF"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2. Warunki i poziom świadczenia usług (SLA):</w:t>
      </w:r>
    </w:p>
    <w:p w14:paraId="4E87AA51"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Typ gwarancji: Serwis gwarancyjny świadczony w miejscu instalacji sprzętu (On-Site) przez autoryzowany serwis producenta lub Wykonawcę.</w:t>
      </w:r>
    </w:p>
    <w:p w14:paraId="459DCB54"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Czas reakcji: Czas reakcji serwisu (podjęcie diagnozy i kontakt z Zamawiającym) wynosi maksymalnie 24 godziny od momentu zgłoszenia usterki (w dni robocze).</w:t>
      </w:r>
    </w:p>
    <w:p w14:paraId="518E308E"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lastRenderedPageBreak/>
        <w:t>Czas naprawy: Usunięcie awarii lub dostarczenie sprzętu zastępczego o parametrach nie gorszych niż sprzęt uszkodzony nastąpi w terminie do 5 dni roboczych od daty zgłoszenia.</w:t>
      </w:r>
    </w:p>
    <w:p w14:paraId="56E985A9"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3. Prawa do obudowy i modyfikacji:</w:t>
      </w:r>
    </w:p>
    <w:p w14:paraId="57B98893"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kern w:val="0"/>
          <w14:ligatures w14:val="none"/>
        </w:rPr>
      </w:pPr>
      <w:r w:rsidRPr="000943D1">
        <w:rPr>
          <w:rFonts w:ascii="Times New Roman" w:eastAsia="MS Mincho" w:hAnsi="Times New Roman" w:cs="Times New Roman"/>
          <w:kern w:val="0"/>
          <w14:ligatures w14:val="none"/>
        </w:rPr>
        <w:t>Zamawiający zastrzega sobie prawo do otwierania obudowy komputera w celu montażu dodatkowych kart rozszerzeń, pamięci RAM lub dysków bez utraty praw gwarancyjnych.</w:t>
      </w:r>
    </w:p>
    <w:p w14:paraId="03B943A0"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kern w:val="0"/>
          <w14:ligatures w14:val="none"/>
        </w:rPr>
      </w:pPr>
      <w:r w:rsidRPr="000943D1">
        <w:rPr>
          <w:rFonts w:ascii="Times New Roman" w:eastAsia="MS Mincho" w:hAnsi="Times New Roman" w:cs="Times New Roman"/>
          <w:kern w:val="0"/>
          <w14:ligatures w14:val="none"/>
        </w:rPr>
        <w:t>Uszkodzenie lub brak plomb na obudowie nie może stanowić podstawy do odrzucenia roszczeń gwarancyjnych.</w:t>
      </w:r>
    </w:p>
    <w:p w14:paraId="75640AE4"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4. Ochrona danych i procedura awarii dysku (RODO):</w:t>
      </w:r>
    </w:p>
    <w:p w14:paraId="1A02CEC2" w14:textId="09280E01"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kern w:val="0"/>
          <w14:ligatures w14:val="none"/>
        </w:rPr>
      </w:pPr>
      <w:r w:rsidRPr="000943D1">
        <w:rPr>
          <w:rFonts w:ascii="Times New Roman" w:eastAsia="MS Mincho" w:hAnsi="Times New Roman" w:cs="Times New Roman"/>
          <w:kern w:val="0"/>
          <w14:ligatures w14:val="none"/>
        </w:rPr>
        <w:t xml:space="preserve">W przypadku awarii dysku SSD w okresie gwarancyjnym, uszkodzony dysk pozostaje </w:t>
      </w:r>
      <w:r w:rsidRPr="000943D1">
        <w:rPr>
          <w:rFonts w:ascii="Times New Roman" w:eastAsia="MS Mincho" w:hAnsi="Times New Roman" w:cs="Times New Roman"/>
          <w:kern w:val="0"/>
          <w14:ligatures w14:val="none"/>
        </w:rPr>
        <w:br/>
        <w:t>w posiadaniu Zamawiającego (ze względu na ochronę danych osobowych i tajemnicę służbową), a Wykonawca dostarczy fabrycznie nowy dysk wolny od wad bez pobierania dodatkowych opłat.</w:t>
      </w:r>
    </w:p>
    <w:p w14:paraId="78C29AC0" w14:textId="316EFD19" w:rsidR="000943D1" w:rsidRPr="000943D1" w:rsidRDefault="000943D1" w:rsidP="000943D1">
      <w:pPr>
        <w:keepNext/>
        <w:spacing w:before="320" w:after="12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IV. KLAUZULA RÓWNOWAŻNOŚCI (ZGODNIE Z ART. 99 USTAWY PZP)</w:t>
      </w:r>
      <w:r>
        <w:rPr>
          <w:rFonts w:ascii="Times New Roman" w:eastAsia="MS Mincho" w:hAnsi="Times New Roman" w:cs="Times New Roman"/>
          <w:b/>
          <w:color w:val="003366"/>
          <w:kern w:val="0"/>
          <w14:ligatures w14:val="none"/>
        </w:rPr>
        <w:t>.</w:t>
      </w:r>
    </w:p>
    <w:p w14:paraId="5CB7B361"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1. Stosowanie nazw własnych i norm:</w:t>
      </w:r>
    </w:p>
    <w:p w14:paraId="0E69855B" w14:textId="43C5981E"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Pr>
          <w:rFonts w:ascii="Times New Roman" w:eastAsia="MS Mincho" w:hAnsi="Times New Roman" w:cs="Times New Roman"/>
          <w:color w:val="333333"/>
          <w:kern w:val="0"/>
          <w14:ligatures w14:val="none"/>
        </w:rPr>
        <w:t xml:space="preserve">      </w:t>
      </w:r>
      <w:r w:rsidRPr="000943D1">
        <w:rPr>
          <w:rFonts w:ascii="Times New Roman" w:eastAsia="MS Mincho" w:hAnsi="Times New Roman" w:cs="Times New Roman"/>
          <w:color w:val="333333"/>
          <w:kern w:val="0"/>
          <w14:ligatures w14:val="none"/>
        </w:rPr>
        <w:t>Wszędzie tam, gdzie w OPZ oraz dokumentacji postępowania wskazano nazwy własne, znaki</w:t>
      </w:r>
      <w:r>
        <w:rPr>
          <w:rFonts w:ascii="Times New Roman" w:eastAsia="MS Mincho" w:hAnsi="Times New Roman" w:cs="Times New Roman"/>
          <w:color w:val="333333"/>
          <w:kern w:val="0"/>
          <w14:ligatures w14:val="none"/>
        </w:rPr>
        <w:t xml:space="preserve"> </w:t>
      </w:r>
      <w:r w:rsidRPr="000943D1">
        <w:rPr>
          <w:rFonts w:ascii="Times New Roman" w:eastAsia="MS Mincho" w:hAnsi="Times New Roman" w:cs="Times New Roman"/>
          <w:color w:val="333333"/>
          <w:kern w:val="0"/>
          <w14:ligatures w14:val="none"/>
        </w:rPr>
        <w:t xml:space="preserve">towarowe, patenty, typy produktów, normy lub testy wydajnościowe (np. </w:t>
      </w:r>
      <w:proofErr w:type="spellStart"/>
      <w:r w:rsidRPr="000943D1">
        <w:rPr>
          <w:rFonts w:ascii="Times New Roman" w:eastAsia="MS Mincho" w:hAnsi="Times New Roman" w:cs="Times New Roman"/>
          <w:color w:val="333333"/>
          <w:kern w:val="0"/>
          <w14:ligatures w14:val="none"/>
        </w:rPr>
        <w:t>PassMark</w:t>
      </w:r>
      <w:proofErr w:type="spellEnd"/>
      <w:r w:rsidRPr="000943D1">
        <w:rPr>
          <w:rFonts w:ascii="Times New Roman" w:eastAsia="MS Mincho" w:hAnsi="Times New Roman" w:cs="Times New Roman"/>
          <w:color w:val="333333"/>
          <w:kern w:val="0"/>
          <w14:ligatures w14:val="none"/>
        </w:rPr>
        <w:t xml:space="preserve"> CPU Mark, Windows 11 Professional), odniesienia te należy traktować wyłącznie jako sprecyzowanie oczekiwanych standardów jakościowych, funkcjonalnych oraz użytkowych. Zamawiający dopuszcza składanie ofert zawierających rozwiązania równoważne.</w:t>
      </w:r>
    </w:p>
    <w:p w14:paraId="012DA3DE"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2. Kryteria oceny równoważności:</w:t>
      </w:r>
    </w:p>
    <w:p w14:paraId="4EF42AC7" w14:textId="765673D3"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Pr>
          <w:rFonts w:ascii="Times New Roman" w:eastAsia="MS Mincho" w:hAnsi="Times New Roman" w:cs="Times New Roman"/>
          <w:color w:val="333333"/>
          <w:kern w:val="0"/>
          <w14:ligatures w14:val="none"/>
        </w:rPr>
        <w:t xml:space="preserve">      </w:t>
      </w:r>
      <w:r w:rsidRPr="000943D1">
        <w:rPr>
          <w:rFonts w:ascii="Times New Roman" w:eastAsia="MS Mincho" w:hAnsi="Times New Roman" w:cs="Times New Roman"/>
          <w:color w:val="333333"/>
          <w:kern w:val="0"/>
          <w14:ligatures w14:val="none"/>
        </w:rPr>
        <w:t xml:space="preserve">W zakresie procesora: Wykonawca oferujący procesor testowany innym narzędziem wydajnościowym zobowiązany jest wykazać w ofercie, że oferowany procesor w teście równoważnym osiąga wydajność obliczeniową odpowiadającą co najmniej 24 000 punktom w teście </w:t>
      </w:r>
      <w:proofErr w:type="spellStart"/>
      <w:r w:rsidRPr="000943D1">
        <w:rPr>
          <w:rFonts w:ascii="Times New Roman" w:eastAsia="MS Mincho" w:hAnsi="Times New Roman" w:cs="Times New Roman"/>
          <w:color w:val="333333"/>
          <w:kern w:val="0"/>
          <w14:ligatures w14:val="none"/>
        </w:rPr>
        <w:t>PassMark</w:t>
      </w:r>
      <w:proofErr w:type="spellEnd"/>
      <w:r w:rsidRPr="000943D1">
        <w:rPr>
          <w:rFonts w:ascii="Times New Roman" w:eastAsia="MS Mincho" w:hAnsi="Times New Roman" w:cs="Times New Roman"/>
          <w:color w:val="333333"/>
          <w:kern w:val="0"/>
          <w14:ligatures w14:val="none"/>
        </w:rPr>
        <w:t xml:space="preserve"> CPU Mark.</w:t>
      </w:r>
    </w:p>
    <w:p w14:paraId="0819F7CD" w14:textId="2CAE3CCA"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Pr>
          <w:rFonts w:ascii="Times New Roman" w:eastAsia="MS Mincho" w:hAnsi="Times New Roman" w:cs="Times New Roman"/>
          <w:color w:val="333333"/>
          <w:kern w:val="0"/>
          <w14:ligatures w14:val="none"/>
        </w:rPr>
        <w:t xml:space="preserve">      </w:t>
      </w:r>
      <w:r w:rsidRPr="000943D1">
        <w:rPr>
          <w:rFonts w:ascii="Times New Roman" w:eastAsia="MS Mincho" w:hAnsi="Times New Roman" w:cs="Times New Roman"/>
          <w:color w:val="333333"/>
          <w:kern w:val="0"/>
          <w14:ligatures w14:val="none"/>
        </w:rPr>
        <w:t>W zakresie systemu operacyjnego: Za system równoważny Zamawiający uzna system operacyjny w pełnej polskiej wersji językowej, zapewniający pełną, natywną kompatybilność z domeną Active Directory Zamawiającego, obsługę Zasad Grupy (GPO), szyfrowanie partycji (np. BitLocker lub odpowiednik) oraz bezawaryjne uruchamianie aplikacji dziedzinowych użytkowanych przez Zamawiającego.</w:t>
      </w:r>
    </w:p>
    <w:p w14:paraId="67443ACD"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3. Ciężar dowodu:</w:t>
      </w:r>
    </w:p>
    <w:p w14:paraId="3F90C7AE" w14:textId="19C3D751"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Pr>
          <w:rFonts w:ascii="Times New Roman" w:eastAsia="MS Mincho" w:hAnsi="Times New Roman" w:cs="Times New Roman"/>
          <w:color w:val="333333"/>
          <w:kern w:val="0"/>
          <w14:ligatures w14:val="none"/>
        </w:rPr>
        <w:t xml:space="preserve">      </w:t>
      </w:r>
      <w:r w:rsidRPr="000943D1">
        <w:rPr>
          <w:rFonts w:ascii="Times New Roman" w:eastAsia="MS Mincho" w:hAnsi="Times New Roman" w:cs="Times New Roman"/>
          <w:color w:val="333333"/>
          <w:kern w:val="0"/>
          <w14:ligatures w14:val="none"/>
        </w:rPr>
        <w:t xml:space="preserve">Zgodnie z art. 99 ust. 6 ustawy Prawo zamówień publicznych, Wykonawca, który powołuje się na rozwiązania równoważne opisanym przez Zamawiającego, jest zobowiązany wykazać w ofercie (dołączając odpowiednią dokumentację techniczną, specyfikacje </w:t>
      </w:r>
      <w:r>
        <w:rPr>
          <w:rFonts w:ascii="Times New Roman" w:eastAsia="MS Mincho" w:hAnsi="Times New Roman" w:cs="Times New Roman"/>
          <w:color w:val="333333"/>
          <w:kern w:val="0"/>
          <w14:ligatures w14:val="none"/>
        </w:rPr>
        <w:br/>
      </w:r>
      <w:r w:rsidRPr="000943D1">
        <w:rPr>
          <w:rFonts w:ascii="Times New Roman" w:eastAsia="MS Mincho" w:hAnsi="Times New Roman" w:cs="Times New Roman"/>
          <w:color w:val="333333"/>
          <w:kern w:val="0"/>
          <w14:ligatures w14:val="none"/>
        </w:rPr>
        <w:t>i zestawienia porównawcze), że oferowane dostawy spełniają wymogi określone przez Zamawiającego.</w:t>
      </w:r>
    </w:p>
    <w:p w14:paraId="304925B2" w14:textId="77777777" w:rsidR="000943D1" w:rsidRPr="000943D1" w:rsidRDefault="000943D1" w:rsidP="000943D1">
      <w:pPr>
        <w:spacing w:after="60" w:line="276" w:lineRule="auto"/>
        <w:ind w:left="360" w:hanging="360"/>
        <w:contextualSpacing/>
        <w:jc w:val="both"/>
        <w:rPr>
          <w:rFonts w:ascii="Times New Roman" w:eastAsia="MS Mincho" w:hAnsi="Times New Roman" w:cs="Times New Roman"/>
          <w:color w:val="333333"/>
          <w:kern w:val="0"/>
          <w14:ligatures w14:val="none"/>
        </w:rPr>
      </w:pPr>
    </w:p>
    <w:p w14:paraId="0137DC15" w14:textId="77777777" w:rsidR="000943D1" w:rsidRPr="000943D1" w:rsidRDefault="000943D1" w:rsidP="000943D1">
      <w:pPr>
        <w:spacing w:after="60" w:line="276" w:lineRule="auto"/>
        <w:ind w:left="360" w:hanging="360"/>
        <w:contextualSpacing/>
        <w:jc w:val="both"/>
        <w:rPr>
          <w:rFonts w:ascii="Times New Roman" w:eastAsia="MS Mincho" w:hAnsi="Times New Roman" w:cs="Times New Roman"/>
          <w:color w:val="333333"/>
          <w:kern w:val="0"/>
          <w14:ligatures w14:val="none"/>
        </w:rPr>
      </w:pPr>
    </w:p>
    <w:p w14:paraId="5702D0DE" w14:textId="77777777" w:rsidR="000943D1" w:rsidRPr="000943D1" w:rsidRDefault="000943D1" w:rsidP="000943D1">
      <w:pPr>
        <w:spacing w:after="60" w:line="276" w:lineRule="auto"/>
        <w:ind w:left="360" w:hanging="360"/>
        <w:contextualSpacing/>
        <w:jc w:val="both"/>
        <w:rPr>
          <w:rFonts w:ascii="Times New Roman" w:eastAsia="MS Mincho" w:hAnsi="Times New Roman" w:cs="Times New Roman"/>
          <w:color w:val="333333"/>
          <w:kern w:val="0"/>
          <w14:ligatures w14:val="none"/>
        </w:rPr>
      </w:pPr>
    </w:p>
    <w:p w14:paraId="2213BA2E" w14:textId="77777777" w:rsidR="000943D1" w:rsidRPr="000943D1" w:rsidRDefault="000943D1" w:rsidP="000943D1">
      <w:pPr>
        <w:spacing w:after="20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br w:type="page"/>
      </w:r>
    </w:p>
    <w:p w14:paraId="69DA3A5E" w14:textId="77777777" w:rsidR="000943D1" w:rsidRPr="000943D1" w:rsidRDefault="000943D1" w:rsidP="000943D1">
      <w:pPr>
        <w:spacing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lastRenderedPageBreak/>
        <w:t>OPIS PRZEDMIOTU ZAMÓWIENIA (OPZ)</w:t>
      </w:r>
    </w:p>
    <w:p w14:paraId="73FE292C" w14:textId="77777777" w:rsidR="000943D1" w:rsidRPr="000943D1" w:rsidRDefault="000943D1" w:rsidP="000943D1">
      <w:pPr>
        <w:spacing w:after="36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i/>
          <w:color w:val="555555"/>
          <w:kern w:val="0"/>
          <w14:ligatures w14:val="none"/>
        </w:rPr>
        <w:t xml:space="preserve">Przedmiot zamówienia: Dostawa licencji oprogramowania Windows Server 2025 Standard (16 </w:t>
      </w:r>
      <w:proofErr w:type="spellStart"/>
      <w:r w:rsidRPr="000943D1">
        <w:rPr>
          <w:rFonts w:ascii="Times New Roman" w:eastAsia="MS Mincho" w:hAnsi="Times New Roman" w:cs="Times New Roman"/>
          <w:i/>
          <w:color w:val="555555"/>
          <w:kern w:val="0"/>
          <w14:ligatures w14:val="none"/>
        </w:rPr>
        <w:t>core</w:t>
      </w:r>
      <w:proofErr w:type="spellEnd"/>
      <w:r w:rsidRPr="000943D1">
        <w:rPr>
          <w:rFonts w:ascii="Times New Roman" w:eastAsia="MS Mincho" w:hAnsi="Times New Roman" w:cs="Times New Roman"/>
          <w:i/>
          <w:color w:val="555555"/>
          <w:kern w:val="0"/>
          <w14:ligatures w14:val="none"/>
        </w:rPr>
        <w:t>), Windows Server 2025 Device CAL, Windows 11 Pro PLN oraz Microsoft Office 2024 Home &amp; Business.</w:t>
      </w:r>
    </w:p>
    <w:p w14:paraId="787E74F1" w14:textId="35204960" w:rsidR="000943D1" w:rsidRPr="000943D1" w:rsidRDefault="000943D1" w:rsidP="000943D1">
      <w:pPr>
        <w:keepNext/>
        <w:spacing w:before="320" w:after="12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I. CEL ZAMÓWIENIA I WYKAZ OPROGRAMOWANIA</w:t>
      </w:r>
      <w:r w:rsidR="00E636CA">
        <w:rPr>
          <w:rFonts w:ascii="Times New Roman" w:eastAsia="MS Mincho" w:hAnsi="Times New Roman" w:cs="Times New Roman"/>
          <w:b/>
          <w:color w:val="003366"/>
          <w:kern w:val="0"/>
          <w14:ligatures w14:val="none"/>
        </w:rPr>
        <w:t>.</w:t>
      </w:r>
    </w:p>
    <w:p w14:paraId="26593A69" w14:textId="77777777" w:rsidR="000943D1" w:rsidRPr="000943D1" w:rsidRDefault="000943D1" w:rsidP="000943D1">
      <w:pPr>
        <w:spacing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Celem zamówienia jest pozyskanie fabrycznie nowych, legalnych licencji na oprogramowanie serwerowe, stanowiskowe, pakiet biurowy oraz licencje dostępowe, w celu zapewnienia stabilnego, bezpiecznego i wspieranego przez producenta środowiska IT dla Zamawiającego.</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711"/>
        <w:gridCol w:w="3057"/>
        <w:gridCol w:w="1542"/>
        <w:gridCol w:w="3762"/>
      </w:tblGrid>
      <w:tr w:rsidR="000943D1" w:rsidRPr="000943D1" w14:paraId="6BF3AB16" w14:textId="77777777" w:rsidTr="00FB3BDC">
        <w:trPr>
          <w:cantSplit/>
          <w:tblHeader/>
          <w:jc w:val="center"/>
        </w:trPr>
        <w:tc>
          <w:tcPr>
            <w:tcW w:w="720" w:type="dxa"/>
            <w:shd w:val="clear" w:color="auto" w:fill="003366"/>
            <w:tcMar>
              <w:top w:w="100" w:type="dxa"/>
              <w:left w:w="120" w:type="dxa"/>
              <w:bottom w:w="100" w:type="dxa"/>
              <w:right w:w="120" w:type="dxa"/>
            </w:tcMar>
            <w:vAlign w:val="center"/>
          </w:tcPr>
          <w:p w14:paraId="4822A789"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FFFFFF"/>
                <w:kern w:val="0"/>
                <w14:ligatures w14:val="none"/>
              </w:rPr>
              <w:t>Lp.</w:t>
            </w:r>
          </w:p>
        </w:tc>
        <w:tc>
          <w:tcPr>
            <w:tcW w:w="3168" w:type="dxa"/>
            <w:shd w:val="clear" w:color="auto" w:fill="003366"/>
            <w:tcMar>
              <w:top w:w="100" w:type="dxa"/>
              <w:left w:w="120" w:type="dxa"/>
              <w:bottom w:w="100" w:type="dxa"/>
              <w:right w:w="120" w:type="dxa"/>
            </w:tcMar>
            <w:vAlign w:val="center"/>
          </w:tcPr>
          <w:p w14:paraId="748200FE"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FFFFFF"/>
                <w:kern w:val="0"/>
                <w14:ligatures w14:val="none"/>
              </w:rPr>
              <w:t>Przedmiot zamówienia</w:t>
            </w:r>
          </w:p>
        </w:tc>
        <w:tc>
          <w:tcPr>
            <w:tcW w:w="1584" w:type="dxa"/>
            <w:shd w:val="clear" w:color="auto" w:fill="003366"/>
            <w:tcMar>
              <w:top w:w="100" w:type="dxa"/>
              <w:left w:w="120" w:type="dxa"/>
              <w:bottom w:w="100" w:type="dxa"/>
              <w:right w:w="120" w:type="dxa"/>
            </w:tcMar>
            <w:vAlign w:val="center"/>
          </w:tcPr>
          <w:p w14:paraId="3A6D0264"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FFFFFF"/>
                <w:kern w:val="0"/>
                <w14:ligatures w14:val="none"/>
              </w:rPr>
              <w:t>Liczba sztuk</w:t>
            </w:r>
          </w:p>
        </w:tc>
        <w:tc>
          <w:tcPr>
            <w:tcW w:w="3888" w:type="dxa"/>
            <w:shd w:val="clear" w:color="auto" w:fill="003366"/>
            <w:tcMar>
              <w:top w:w="100" w:type="dxa"/>
              <w:left w:w="120" w:type="dxa"/>
              <w:bottom w:w="100" w:type="dxa"/>
              <w:right w:w="120" w:type="dxa"/>
            </w:tcMar>
            <w:vAlign w:val="center"/>
          </w:tcPr>
          <w:p w14:paraId="03018262"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FFFFFF"/>
                <w:kern w:val="0"/>
                <w14:ligatures w14:val="none"/>
              </w:rPr>
              <w:t>Wymagane parametry i standardy licencjonowania</w:t>
            </w:r>
          </w:p>
        </w:tc>
      </w:tr>
      <w:tr w:rsidR="000943D1" w:rsidRPr="000943D1" w14:paraId="14E1FC86" w14:textId="77777777" w:rsidTr="00FB3BDC">
        <w:trPr>
          <w:cantSplit/>
          <w:jc w:val="center"/>
        </w:trPr>
        <w:tc>
          <w:tcPr>
            <w:tcW w:w="720" w:type="dxa"/>
            <w:shd w:val="clear" w:color="auto" w:fill="F9FBFD"/>
            <w:tcMar>
              <w:top w:w="100" w:type="dxa"/>
              <w:left w:w="120" w:type="dxa"/>
              <w:bottom w:w="100" w:type="dxa"/>
              <w:right w:w="120" w:type="dxa"/>
            </w:tcMar>
            <w:vAlign w:val="center"/>
          </w:tcPr>
          <w:p w14:paraId="7DF761C1"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1</w:t>
            </w:r>
          </w:p>
        </w:tc>
        <w:tc>
          <w:tcPr>
            <w:tcW w:w="3168" w:type="dxa"/>
            <w:shd w:val="clear" w:color="auto" w:fill="F9FBFD"/>
            <w:tcMar>
              <w:top w:w="100" w:type="dxa"/>
              <w:left w:w="120" w:type="dxa"/>
              <w:bottom w:w="100" w:type="dxa"/>
              <w:right w:w="120" w:type="dxa"/>
            </w:tcMar>
            <w:vAlign w:val="center"/>
          </w:tcPr>
          <w:p w14:paraId="166E1623"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 xml:space="preserve">Windows Server 2025 Standard (16 </w:t>
            </w:r>
            <w:proofErr w:type="spellStart"/>
            <w:r w:rsidRPr="000943D1">
              <w:rPr>
                <w:rFonts w:ascii="Times New Roman" w:eastAsia="MS Mincho" w:hAnsi="Times New Roman" w:cs="Times New Roman"/>
                <w:b/>
                <w:color w:val="333333"/>
                <w:kern w:val="0"/>
                <w14:ligatures w14:val="none"/>
              </w:rPr>
              <w:t>core</w:t>
            </w:r>
            <w:proofErr w:type="spellEnd"/>
            <w:r w:rsidRPr="000943D1">
              <w:rPr>
                <w:rFonts w:ascii="Times New Roman" w:eastAsia="MS Mincho" w:hAnsi="Times New Roman" w:cs="Times New Roman"/>
                <w:b/>
                <w:color w:val="333333"/>
                <w:kern w:val="0"/>
                <w14:ligatures w14:val="none"/>
              </w:rPr>
              <w:t>)</w:t>
            </w:r>
          </w:p>
        </w:tc>
        <w:tc>
          <w:tcPr>
            <w:tcW w:w="1584" w:type="dxa"/>
            <w:shd w:val="clear" w:color="auto" w:fill="F9FBFD"/>
            <w:tcMar>
              <w:top w:w="100" w:type="dxa"/>
              <w:left w:w="120" w:type="dxa"/>
              <w:bottom w:w="100" w:type="dxa"/>
              <w:right w:w="120" w:type="dxa"/>
            </w:tcMar>
            <w:vAlign w:val="center"/>
          </w:tcPr>
          <w:p w14:paraId="1853FB48"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1 szt.</w:t>
            </w:r>
          </w:p>
        </w:tc>
        <w:tc>
          <w:tcPr>
            <w:tcW w:w="3888" w:type="dxa"/>
            <w:shd w:val="clear" w:color="auto" w:fill="F9FBFD"/>
            <w:tcMar>
              <w:top w:w="100" w:type="dxa"/>
              <w:left w:w="120" w:type="dxa"/>
              <w:bottom w:w="100" w:type="dxa"/>
              <w:right w:w="120" w:type="dxa"/>
            </w:tcMar>
            <w:vAlign w:val="center"/>
          </w:tcPr>
          <w:p w14:paraId="68DBC655"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Wersja najnowsza (2025) lub równoważna, licencjonowana na rdzenie fizyczne serwera (min. 16 rdzeni w pakiecie bazowym).</w:t>
            </w:r>
          </w:p>
          <w:p w14:paraId="5254882A"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Prawo do uruchomienia do 2 środowisk wirtualnych (VM) lub kontenerów Hyper-V na licencjonowanym serwerze.</w:t>
            </w:r>
          </w:p>
          <w:p w14:paraId="0FF89292"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Pełna wielojęzyczna wersja językowa (w tym język polski).</w:t>
            </w:r>
          </w:p>
          <w:p w14:paraId="4E1BA050"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Bezterminowy charakter licencji komercyjnej (VL / ESD / LTSC).</w:t>
            </w:r>
          </w:p>
        </w:tc>
      </w:tr>
      <w:tr w:rsidR="000943D1" w:rsidRPr="000943D1" w14:paraId="3BC26C0D" w14:textId="77777777" w:rsidTr="00FB3BDC">
        <w:trPr>
          <w:cantSplit/>
          <w:jc w:val="center"/>
        </w:trPr>
        <w:tc>
          <w:tcPr>
            <w:tcW w:w="720" w:type="dxa"/>
            <w:shd w:val="clear" w:color="auto" w:fill="FFFFFF"/>
            <w:tcMar>
              <w:top w:w="100" w:type="dxa"/>
              <w:left w:w="120" w:type="dxa"/>
              <w:bottom w:w="100" w:type="dxa"/>
              <w:right w:w="120" w:type="dxa"/>
            </w:tcMar>
            <w:vAlign w:val="center"/>
          </w:tcPr>
          <w:p w14:paraId="3CA163E4"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2</w:t>
            </w:r>
          </w:p>
        </w:tc>
        <w:tc>
          <w:tcPr>
            <w:tcW w:w="3168" w:type="dxa"/>
            <w:shd w:val="clear" w:color="auto" w:fill="FFFFFF"/>
            <w:tcMar>
              <w:top w:w="100" w:type="dxa"/>
              <w:left w:w="120" w:type="dxa"/>
              <w:bottom w:w="100" w:type="dxa"/>
              <w:right w:w="120" w:type="dxa"/>
            </w:tcMar>
            <w:vAlign w:val="center"/>
          </w:tcPr>
          <w:p w14:paraId="1681F90C"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Windows Server 2025 Device CAL</w:t>
            </w:r>
          </w:p>
        </w:tc>
        <w:tc>
          <w:tcPr>
            <w:tcW w:w="1584" w:type="dxa"/>
            <w:shd w:val="clear" w:color="auto" w:fill="FFFFFF"/>
            <w:tcMar>
              <w:top w:w="100" w:type="dxa"/>
              <w:left w:w="120" w:type="dxa"/>
              <w:bottom w:w="100" w:type="dxa"/>
              <w:right w:w="120" w:type="dxa"/>
            </w:tcMar>
            <w:vAlign w:val="center"/>
          </w:tcPr>
          <w:p w14:paraId="133C0553"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100 szt.</w:t>
            </w:r>
          </w:p>
        </w:tc>
        <w:tc>
          <w:tcPr>
            <w:tcW w:w="3888" w:type="dxa"/>
            <w:shd w:val="clear" w:color="auto" w:fill="FFFFFF"/>
            <w:tcMar>
              <w:top w:w="100" w:type="dxa"/>
              <w:left w:w="120" w:type="dxa"/>
              <w:bottom w:w="100" w:type="dxa"/>
              <w:right w:w="120" w:type="dxa"/>
            </w:tcMar>
            <w:vAlign w:val="center"/>
          </w:tcPr>
          <w:p w14:paraId="00A4EAF7"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Licencje dostępowe (Client Access License) przypisane do konkretnego urządzenia uzyskującego dostęp do serwera (Device CAL).</w:t>
            </w:r>
          </w:p>
          <w:p w14:paraId="51D6C6D8" w14:textId="299FBE74"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 Pełna kompatybilność </w:t>
            </w:r>
            <w:r w:rsidR="00E636CA">
              <w:rPr>
                <w:rFonts w:ascii="Times New Roman" w:eastAsia="MS Mincho" w:hAnsi="Times New Roman" w:cs="Times New Roman"/>
                <w:color w:val="333333"/>
                <w:kern w:val="0"/>
                <w14:ligatures w14:val="none"/>
              </w:rPr>
              <w:br/>
            </w:r>
            <w:r w:rsidRPr="000943D1">
              <w:rPr>
                <w:rFonts w:ascii="Times New Roman" w:eastAsia="MS Mincho" w:hAnsi="Times New Roman" w:cs="Times New Roman"/>
                <w:color w:val="333333"/>
                <w:kern w:val="0"/>
                <w14:ligatures w14:val="none"/>
              </w:rPr>
              <w:t>z dostarczanym systemem Windows Server 2025 Standard.</w:t>
            </w:r>
          </w:p>
          <w:p w14:paraId="37972064"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Bezterminowy charakter licencji.</w:t>
            </w:r>
          </w:p>
        </w:tc>
      </w:tr>
      <w:tr w:rsidR="000943D1" w:rsidRPr="000943D1" w14:paraId="3004A3A5" w14:textId="77777777" w:rsidTr="00FB3BDC">
        <w:trPr>
          <w:cantSplit/>
          <w:jc w:val="center"/>
        </w:trPr>
        <w:tc>
          <w:tcPr>
            <w:tcW w:w="720" w:type="dxa"/>
            <w:shd w:val="clear" w:color="auto" w:fill="F9FBFD"/>
            <w:tcMar>
              <w:top w:w="100" w:type="dxa"/>
              <w:left w:w="120" w:type="dxa"/>
              <w:bottom w:w="100" w:type="dxa"/>
              <w:right w:w="120" w:type="dxa"/>
            </w:tcMar>
            <w:vAlign w:val="center"/>
          </w:tcPr>
          <w:p w14:paraId="2CB812C1"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lastRenderedPageBreak/>
              <w:t>3</w:t>
            </w:r>
          </w:p>
        </w:tc>
        <w:tc>
          <w:tcPr>
            <w:tcW w:w="3168" w:type="dxa"/>
            <w:shd w:val="clear" w:color="auto" w:fill="F9FBFD"/>
            <w:tcMar>
              <w:top w:w="100" w:type="dxa"/>
              <w:left w:w="120" w:type="dxa"/>
              <w:bottom w:w="100" w:type="dxa"/>
              <w:right w:w="120" w:type="dxa"/>
            </w:tcMar>
            <w:vAlign w:val="center"/>
          </w:tcPr>
          <w:p w14:paraId="2CB43C66"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Windows 11 Pro PLN</w:t>
            </w:r>
          </w:p>
        </w:tc>
        <w:tc>
          <w:tcPr>
            <w:tcW w:w="1584" w:type="dxa"/>
            <w:shd w:val="clear" w:color="auto" w:fill="F9FBFD"/>
            <w:tcMar>
              <w:top w:w="100" w:type="dxa"/>
              <w:left w:w="120" w:type="dxa"/>
              <w:bottom w:w="100" w:type="dxa"/>
              <w:right w:w="120" w:type="dxa"/>
            </w:tcMar>
            <w:vAlign w:val="center"/>
          </w:tcPr>
          <w:p w14:paraId="197DD712"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20 szt.</w:t>
            </w:r>
          </w:p>
        </w:tc>
        <w:tc>
          <w:tcPr>
            <w:tcW w:w="3888" w:type="dxa"/>
            <w:shd w:val="clear" w:color="auto" w:fill="F9FBFD"/>
            <w:tcMar>
              <w:top w:w="100" w:type="dxa"/>
              <w:left w:w="120" w:type="dxa"/>
              <w:bottom w:w="100" w:type="dxa"/>
              <w:right w:w="120" w:type="dxa"/>
            </w:tcMar>
            <w:vAlign w:val="center"/>
          </w:tcPr>
          <w:p w14:paraId="0BB081FE"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 Stanowiskowy system operacyjny w pełnej polskiej wersji językowej (PLN / </w:t>
            </w:r>
            <w:proofErr w:type="spellStart"/>
            <w:r w:rsidRPr="000943D1">
              <w:rPr>
                <w:rFonts w:ascii="Times New Roman" w:eastAsia="MS Mincho" w:hAnsi="Times New Roman" w:cs="Times New Roman"/>
                <w:color w:val="333333"/>
                <w:kern w:val="0"/>
                <w14:ligatures w14:val="none"/>
              </w:rPr>
              <w:t>Polish</w:t>
            </w:r>
            <w:proofErr w:type="spellEnd"/>
            <w:r w:rsidRPr="000943D1">
              <w:rPr>
                <w:rFonts w:ascii="Times New Roman" w:eastAsia="MS Mincho" w:hAnsi="Times New Roman" w:cs="Times New Roman"/>
                <w:color w:val="333333"/>
                <w:kern w:val="0"/>
                <w14:ligatures w14:val="none"/>
              </w:rPr>
              <w:t>).</w:t>
            </w:r>
          </w:p>
          <w:p w14:paraId="0D77A672" w14:textId="705A2F52"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 </w:t>
            </w:r>
            <w:proofErr w:type="spellStart"/>
            <w:r w:rsidRPr="000943D1">
              <w:rPr>
                <w:rFonts w:ascii="Times New Roman" w:eastAsia="MS Mincho" w:hAnsi="Times New Roman" w:cs="Times New Roman"/>
                <w:color w:val="333333"/>
                <w:kern w:val="0"/>
                <w:lang w:val="en-US"/>
                <w14:ligatures w14:val="none"/>
              </w:rPr>
              <w:t>Bezterminowa</w:t>
            </w:r>
            <w:proofErr w:type="spellEnd"/>
            <w:r w:rsidRPr="000943D1">
              <w:rPr>
                <w:rFonts w:ascii="Times New Roman" w:eastAsia="MS Mincho" w:hAnsi="Times New Roman" w:cs="Times New Roman"/>
                <w:color w:val="333333"/>
                <w:kern w:val="0"/>
                <w:lang w:val="en-US"/>
                <w14:ligatures w14:val="none"/>
              </w:rPr>
              <w:t xml:space="preserve">, </w:t>
            </w:r>
            <w:proofErr w:type="spellStart"/>
            <w:r w:rsidRPr="000943D1">
              <w:rPr>
                <w:rFonts w:ascii="Times New Roman" w:eastAsia="MS Mincho" w:hAnsi="Times New Roman" w:cs="Times New Roman"/>
                <w:color w:val="333333"/>
                <w:kern w:val="0"/>
                <w:lang w:val="en-US"/>
                <w14:ligatures w14:val="none"/>
              </w:rPr>
              <w:t>samodzielna</w:t>
            </w:r>
            <w:proofErr w:type="spellEnd"/>
            <w:r w:rsidRPr="000943D1">
              <w:rPr>
                <w:rFonts w:ascii="Times New Roman" w:eastAsia="MS Mincho" w:hAnsi="Times New Roman" w:cs="Times New Roman"/>
                <w:color w:val="333333"/>
                <w:kern w:val="0"/>
                <w:lang w:val="en-US"/>
                <w14:ligatures w14:val="none"/>
              </w:rPr>
              <w:t xml:space="preserve"> </w:t>
            </w:r>
            <w:proofErr w:type="spellStart"/>
            <w:r w:rsidRPr="000943D1">
              <w:rPr>
                <w:rFonts w:ascii="Times New Roman" w:eastAsia="MS Mincho" w:hAnsi="Times New Roman" w:cs="Times New Roman"/>
                <w:color w:val="333333"/>
                <w:kern w:val="0"/>
                <w:lang w:val="en-US"/>
                <w14:ligatures w14:val="none"/>
              </w:rPr>
              <w:t>licencja</w:t>
            </w:r>
            <w:proofErr w:type="spellEnd"/>
            <w:r w:rsidRPr="000943D1">
              <w:rPr>
                <w:rFonts w:ascii="Times New Roman" w:eastAsia="MS Mincho" w:hAnsi="Times New Roman" w:cs="Times New Roman"/>
                <w:color w:val="333333"/>
                <w:kern w:val="0"/>
                <w:lang w:val="en-US"/>
                <w14:ligatures w14:val="none"/>
              </w:rPr>
              <w:t xml:space="preserve"> </w:t>
            </w:r>
            <w:proofErr w:type="spellStart"/>
            <w:r w:rsidRPr="000943D1">
              <w:rPr>
                <w:rFonts w:ascii="Times New Roman" w:eastAsia="MS Mincho" w:hAnsi="Times New Roman" w:cs="Times New Roman"/>
                <w:color w:val="333333"/>
                <w:kern w:val="0"/>
                <w:lang w:val="en-US"/>
                <w14:ligatures w14:val="none"/>
              </w:rPr>
              <w:t>komercyjna</w:t>
            </w:r>
            <w:proofErr w:type="spellEnd"/>
            <w:r w:rsidRPr="000943D1">
              <w:rPr>
                <w:rFonts w:ascii="Times New Roman" w:eastAsia="MS Mincho" w:hAnsi="Times New Roman" w:cs="Times New Roman"/>
                <w:color w:val="333333"/>
                <w:kern w:val="0"/>
                <w:lang w:val="en-US"/>
                <w14:ligatures w14:val="none"/>
              </w:rPr>
              <w:t xml:space="preserve"> </w:t>
            </w:r>
            <w:proofErr w:type="spellStart"/>
            <w:r w:rsidRPr="000943D1">
              <w:rPr>
                <w:rFonts w:ascii="Times New Roman" w:eastAsia="MS Mincho" w:hAnsi="Times New Roman" w:cs="Times New Roman"/>
                <w:color w:val="333333"/>
                <w:kern w:val="0"/>
                <w:lang w:val="en-US"/>
                <w14:ligatures w14:val="none"/>
              </w:rPr>
              <w:t>nieprzypisana</w:t>
            </w:r>
            <w:proofErr w:type="spellEnd"/>
            <w:r w:rsidRPr="000943D1">
              <w:rPr>
                <w:rFonts w:ascii="Times New Roman" w:eastAsia="MS Mincho" w:hAnsi="Times New Roman" w:cs="Times New Roman"/>
                <w:color w:val="333333"/>
                <w:kern w:val="0"/>
                <w:lang w:val="en-US"/>
                <w14:ligatures w14:val="none"/>
              </w:rPr>
              <w:t xml:space="preserve"> </w:t>
            </w:r>
            <w:proofErr w:type="spellStart"/>
            <w:r w:rsidRPr="000943D1">
              <w:rPr>
                <w:rFonts w:ascii="Times New Roman" w:eastAsia="MS Mincho" w:hAnsi="Times New Roman" w:cs="Times New Roman"/>
                <w:color w:val="333333"/>
                <w:kern w:val="0"/>
                <w:lang w:val="en-US"/>
                <w14:ligatures w14:val="none"/>
              </w:rPr>
              <w:t>fabrycznie</w:t>
            </w:r>
            <w:proofErr w:type="spellEnd"/>
            <w:r w:rsidRPr="000943D1">
              <w:rPr>
                <w:rFonts w:ascii="Times New Roman" w:eastAsia="MS Mincho" w:hAnsi="Times New Roman" w:cs="Times New Roman"/>
                <w:color w:val="333333"/>
                <w:kern w:val="0"/>
                <w:lang w:val="en-US"/>
                <w14:ligatures w14:val="none"/>
              </w:rPr>
              <w:t xml:space="preserve"> do </w:t>
            </w:r>
            <w:proofErr w:type="spellStart"/>
            <w:r w:rsidRPr="000943D1">
              <w:rPr>
                <w:rFonts w:ascii="Times New Roman" w:eastAsia="MS Mincho" w:hAnsi="Times New Roman" w:cs="Times New Roman"/>
                <w:color w:val="333333"/>
                <w:kern w:val="0"/>
                <w:lang w:val="en-US"/>
                <w14:ligatures w14:val="none"/>
              </w:rPr>
              <w:t>sprzętu</w:t>
            </w:r>
            <w:proofErr w:type="spellEnd"/>
            <w:r w:rsidRPr="000943D1">
              <w:rPr>
                <w:rFonts w:ascii="Times New Roman" w:eastAsia="MS Mincho" w:hAnsi="Times New Roman" w:cs="Times New Roman"/>
                <w:color w:val="333333"/>
                <w:kern w:val="0"/>
                <w:lang w:val="en-US"/>
                <w14:ligatures w14:val="none"/>
              </w:rPr>
              <w:t xml:space="preserve"> (np. Retail, ESD, Volume Licensing / CSP) </w:t>
            </w:r>
            <w:r w:rsidR="00E636CA">
              <w:rPr>
                <w:rFonts w:ascii="Times New Roman" w:eastAsia="MS Mincho" w:hAnsi="Times New Roman" w:cs="Times New Roman"/>
                <w:color w:val="333333"/>
                <w:kern w:val="0"/>
                <w:lang w:val="en-US"/>
                <w14:ligatures w14:val="none"/>
              </w:rPr>
              <w:br/>
            </w:r>
            <w:r w:rsidRPr="000943D1">
              <w:rPr>
                <w:rFonts w:ascii="Times New Roman" w:eastAsia="MS Mincho" w:hAnsi="Times New Roman" w:cs="Times New Roman"/>
                <w:color w:val="333333"/>
                <w:kern w:val="0"/>
                <w:lang w:val="en-US"/>
                <w14:ligatures w14:val="none"/>
              </w:rPr>
              <w:t xml:space="preserve">z </w:t>
            </w:r>
            <w:proofErr w:type="spellStart"/>
            <w:r w:rsidRPr="000943D1">
              <w:rPr>
                <w:rFonts w:ascii="Times New Roman" w:eastAsia="MS Mincho" w:hAnsi="Times New Roman" w:cs="Times New Roman"/>
                <w:color w:val="333333"/>
                <w:kern w:val="0"/>
                <w:lang w:val="en-US"/>
                <w14:ligatures w14:val="none"/>
              </w:rPr>
              <w:t>prawem</w:t>
            </w:r>
            <w:proofErr w:type="spellEnd"/>
            <w:r w:rsidRPr="000943D1">
              <w:rPr>
                <w:rFonts w:ascii="Times New Roman" w:eastAsia="MS Mincho" w:hAnsi="Times New Roman" w:cs="Times New Roman"/>
                <w:color w:val="333333"/>
                <w:kern w:val="0"/>
                <w:lang w:val="en-US"/>
                <w14:ligatures w14:val="none"/>
              </w:rPr>
              <w:t xml:space="preserve"> do </w:t>
            </w:r>
            <w:proofErr w:type="spellStart"/>
            <w:r w:rsidRPr="000943D1">
              <w:rPr>
                <w:rFonts w:ascii="Times New Roman" w:eastAsia="MS Mincho" w:hAnsi="Times New Roman" w:cs="Times New Roman"/>
                <w:color w:val="333333"/>
                <w:kern w:val="0"/>
                <w:lang w:val="en-US"/>
                <w14:ligatures w14:val="none"/>
              </w:rPr>
              <w:t>instalacji</w:t>
            </w:r>
            <w:proofErr w:type="spellEnd"/>
            <w:r w:rsidRPr="000943D1">
              <w:rPr>
                <w:rFonts w:ascii="Times New Roman" w:eastAsia="MS Mincho" w:hAnsi="Times New Roman" w:cs="Times New Roman"/>
                <w:color w:val="333333"/>
                <w:kern w:val="0"/>
                <w:lang w:val="en-US"/>
                <w14:ligatures w14:val="none"/>
              </w:rPr>
              <w:t xml:space="preserve"> </w:t>
            </w:r>
            <w:proofErr w:type="spellStart"/>
            <w:r w:rsidRPr="000943D1">
              <w:rPr>
                <w:rFonts w:ascii="Times New Roman" w:eastAsia="MS Mincho" w:hAnsi="Times New Roman" w:cs="Times New Roman"/>
                <w:color w:val="333333"/>
                <w:kern w:val="0"/>
                <w:lang w:val="en-US"/>
                <w14:ligatures w14:val="none"/>
              </w:rPr>
              <w:t>na</w:t>
            </w:r>
            <w:proofErr w:type="spellEnd"/>
            <w:r w:rsidRPr="000943D1">
              <w:rPr>
                <w:rFonts w:ascii="Times New Roman" w:eastAsia="MS Mincho" w:hAnsi="Times New Roman" w:cs="Times New Roman"/>
                <w:color w:val="333333"/>
                <w:kern w:val="0"/>
                <w:lang w:val="en-US"/>
                <w14:ligatures w14:val="none"/>
              </w:rPr>
              <w:t xml:space="preserve"> </w:t>
            </w:r>
            <w:proofErr w:type="spellStart"/>
            <w:r w:rsidRPr="000943D1">
              <w:rPr>
                <w:rFonts w:ascii="Times New Roman" w:eastAsia="MS Mincho" w:hAnsi="Times New Roman" w:cs="Times New Roman"/>
                <w:color w:val="333333"/>
                <w:kern w:val="0"/>
                <w:lang w:val="en-US"/>
                <w14:ligatures w14:val="none"/>
              </w:rPr>
              <w:t>posiadanym</w:t>
            </w:r>
            <w:proofErr w:type="spellEnd"/>
            <w:r w:rsidRPr="000943D1">
              <w:rPr>
                <w:rFonts w:ascii="Times New Roman" w:eastAsia="MS Mincho" w:hAnsi="Times New Roman" w:cs="Times New Roman"/>
                <w:color w:val="333333"/>
                <w:kern w:val="0"/>
                <w:lang w:val="en-US"/>
                <w14:ligatures w14:val="none"/>
              </w:rPr>
              <w:t xml:space="preserve"> </w:t>
            </w:r>
            <w:proofErr w:type="spellStart"/>
            <w:r w:rsidRPr="000943D1">
              <w:rPr>
                <w:rFonts w:ascii="Times New Roman" w:eastAsia="MS Mincho" w:hAnsi="Times New Roman" w:cs="Times New Roman"/>
                <w:color w:val="333333"/>
                <w:kern w:val="0"/>
                <w:lang w:val="en-US"/>
                <w14:ligatures w14:val="none"/>
              </w:rPr>
              <w:t>przez</w:t>
            </w:r>
            <w:proofErr w:type="spellEnd"/>
            <w:r w:rsidRPr="000943D1">
              <w:rPr>
                <w:rFonts w:ascii="Times New Roman" w:eastAsia="MS Mincho" w:hAnsi="Times New Roman" w:cs="Times New Roman"/>
                <w:color w:val="333333"/>
                <w:kern w:val="0"/>
                <w:lang w:val="en-US"/>
                <w14:ligatures w14:val="none"/>
              </w:rPr>
              <w:t xml:space="preserve"> </w:t>
            </w:r>
            <w:proofErr w:type="spellStart"/>
            <w:r w:rsidRPr="000943D1">
              <w:rPr>
                <w:rFonts w:ascii="Times New Roman" w:eastAsia="MS Mincho" w:hAnsi="Times New Roman" w:cs="Times New Roman"/>
                <w:color w:val="333333"/>
                <w:kern w:val="0"/>
                <w:lang w:val="en-US"/>
                <w14:ligatures w14:val="none"/>
              </w:rPr>
              <w:t>Zamawiającego</w:t>
            </w:r>
            <w:proofErr w:type="spellEnd"/>
            <w:r w:rsidRPr="000943D1">
              <w:rPr>
                <w:rFonts w:ascii="Times New Roman" w:eastAsia="MS Mincho" w:hAnsi="Times New Roman" w:cs="Times New Roman"/>
                <w:color w:val="333333"/>
                <w:kern w:val="0"/>
                <w:lang w:val="en-US"/>
                <w14:ligatures w14:val="none"/>
              </w:rPr>
              <w:t xml:space="preserve"> </w:t>
            </w:r>
            <w:proofErr w:type="spellStart"/>
            <w:r w:rsidRPr="000943D1">
              <w:rPr>
                <w:rFonts w:ascii="Times New Roman" w:eastAsia="MS Mincho" w:hAnsi="Times New Roman" w:cs="Times New Roman"/>
                <w:color w:val="333333"/>
                <w:kern w:val="0"/>
                <w:lang w:val="en-US"/>
                <w14:ligatures w14:val="none"/>
              </w:rPr>
              <w:t>sprzęcie</w:t>
            </w:r>
            <w:proofErr w:type="spellEnd"/>
            <w:r w:rsidRPr="000943D1">
              <w:rPr>
                <w:rFonts w:ascii="Times New Roman" w:eastAsia="MS Mincho" w:hAnsi="Times New Roman" w:cs="Times New Roman"/>
                <w:color w:val="333333"/>
                <w:kern w:val="0"/>
                <w:lang w:val="en-US"/>
                <w14:ligatures w14:val="none"/>
              </w:rPr>
              <w:t xml:space="preserve"> </w:t>
            </w:r>
            <w:proofErr w:type="spellStart"/>
            <w:r w:rsidRPr="000943D1">
              <w:rPr>
                <w:rFonts w:ascii="Times New Roman" w:eastAsia="MS Mincho" w:hAnsi="Times New Roman" w:cs="Times New Roman"/>
                <w:color w:val="333333"/>
                <w:kern w:val="0"/>
                <w:lang w:val="en-US"/>
                <w14:ligatures w14:val="none"/>
              </w:rPr>
              <w:t>komputerowym</w:t>
            </w:r>
            <w:proofErr w:type="spellEnd"/>
            <w:r w:rsidRPr="000943D1">
              <w:rPr>
                <w:rFonts w:ascii="Times New Roman" w:eastAsia="MS Mincho" w:hAnsi="Times New Roman" w:cs="Times New Roman"/>
                <w:color w:val="333333"/>
                <w:kern w:val="0"/>
                <w:lang w:val="en-US"/>
                <w14:ligatures w14:val="none"/>
              </w:rPr>
              <w:t>.”</w:t>
            </w:r>
          </w:p>
          <w:p w14:paraId="42392D98"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 Wsparcie dla architektury 64-bitowej, modułu TPM 2.0 i </w:t>
            </w:r>
            <w:proofErr w:type="spellStart"/>
            <w:r w:rsidRPr="000943D1">
              <w:rPr>
                <w:rFonts w:ascii="Times New Roman" w:eastAsia="MS Mincho" w:hAnsi="Times New Roman" w:cs="Times New Roman"/>
                <w:color w:val="333333"/>
                <w:kern w:val="0"/>
                <w14:ligatures w14:val="none"/>
              </w:rPr>
              <w:t>Secure</w:t>
            </w:r>
            <w:proofErr w:type="spellEnd"/>
            <w:r w:rsidRPr="000943D1">
              <w:rPr>
                <w:rFonts w:ascii="Times New Roman" w:eastAsia="MS Mincho" w:hAnsi="Times New Roman" w:cs="Times New Roman"/>
                <w:color w:val="333333"/>
                <w:kern w:val="0"/>
                <w14:ligatures w14:val="none"/>
              </w:rPr>
              <w:t xml:space="preserve"> </w:t>
            </w:r>
            <w:proofErr w:type="spellStart"/>
            <w:r w:rsidRPr="000943D1">
              <w:rPr>
                <w:rFonts w:ascii="Times New Roman" w:eastAsia="MS Mincho" w:hAnsi="Times New Roman" w:cs="Times New Roman"/>
                <w:color w:val="333333"/>
                <w:kern w:val="0"/>
                <w14:ligatures w14:val="none"/>
              </w:rPr>
              <w:t>Boot</w:t>
            </w:r>
            <w:proofErr w:type="spellEnd"/>
            <w:r w:rsidRPr="000943D1">
              <w:rPr>
                <w:rFonts w:ascii="Times New Roman" w:eastAsia="MS Mincho" w:hAnsi="Times New Roman" w:cs="Times New Roman"/>
                <w:color w:val="333333"/>
                <w:kern w:val="0"/>
                <w14:ligatures w14:val="none"/>
              </w:rPr>
              <w:t>.</w:t>
            </w:r>
          </w:p>
          <w:p w14:paraId="2696F351"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 Natywna obsługa przyłączenia do domeny Active Directory oraz Microsoft </w:t>
            </w:r>
            <w:proofErr w:type="spellStart"/>
            <w:r w:rsidRPr="000943D1">
              <w:rPr>
                <w:rFonts w:ascii="Times New Roman" w:eastAsia="MS Mincho" w:hAnsi="Times New Roman" w:cs="Times New Roman"/>
                <w:color w:val="333333"/>
                <w:kern w:val="0"/>
                <w14:ligatures w14:val="none"/>
              </w:rPr>
              <w:t>Entra</w:t>
            </w:r>
            <w:proofErr w:type="spellEnd"/>
            <w:r w:rsidRPr="000943D1">
              <w:rPr>
                <w:rFonts w:ascii="Times New Roman" w:eastAsia="MS Mincho" w:hAnsi="Times New Roman" w:cs="Times New Roman"/>
                <w:color w:val="333333"/>
                <w:kern w:val="0"/>
                <w14:ligatures w14:val="none"/>
              </w:rPr>
              <w:t xml:space="preserve"> ID (</w:t>
            </w:r>
            <w:proofErr w:type="spellStart"/>
            <w:r w:rsidRPr="000943D1">
              <w:rPr>
                <w:rFonts w:ascii="Times New Roman" w:eastAsia="MS Mincho" w:hAnsi="Times New Roman" w:cs="Times New Roman"/>
                <w:color w:val="333333"/>
                <w:kern w:val="0"/>
                <w14:ligatures w14:val="none"/>
              </w:rPr>
              <w:t>Azure</w:t>
            </w:r>
            <w:proofErr w:type="spellEnd"/>
            <w:r w:rsidRPr="000943D1">
              <w:rPr>
                <w:rFonts w:ascii="Times New Roman" w:eastAsia="MS Mincho" w:hAnsi="Times New Roman" w:cs="Times New Roman"/>
                <w:color w:val="333333"/>
                <w:kern w:val="0"/>
                <w14:ligatures w14:val="none"/>
              </w:rPr>
              <w:t xml:space="preserve"> AD), obsługa Zasad Grupy (GPO), Zdalnego Pulpitu (Remote Desktop).</w:t>
            </w:r>
          </w:p>
          <w:p w14:paraId="08012EC4"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Wbudowane szyfrowanie dysków (BitLocker) oraz ochrona tożsamości.</w:t>
            </w:r>
          </w:p>
          <w:p w14:paraId="306BBB7E"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 Prawo do </w:t>
            </w:r>
            <w:proofErr w:type="spellStart"/>
            <w:r w:rsidRPr="000943D1">
              <w:rPr>
                <w:rFonts w:ascii="Times New Roman" w:eastAsia="MS Mincho" w:hAnsi="Times New Roman" w:cs="Times New Roman"/>
                <w:color w:val="333333"/>
                <w:kern w:val="0"/>
                <w14:ligatures w14:val="none"/>
              </w:rPr>
              <w:t>downgrade'u</w:t>
            </w:r>
            <w:proofErr w:type="spellEnd"/>
            <w:r w:rsidRPr="000943D1">
              <w:rPr>
                <w:rFonts w:ascii="Times New Roman" w:eastAsia="MS Mincho" w:hAnsi="Times New Roman" w:cs="Times New Roman"/>
                <w:color w:val="333333"/>
                <w:kern w:val="0"/>
                <w14:ligatures w14:val="none"/>
              </w:rPr>
              <w:t xml:space="preserve"> do wcześniejszej wersji (np. Windows 10 Pro).</w:t>
            </w:r>
          </w:p>
        </w:tc>
      </w:tr>
      <w:tr w:rsidR="000943D1" w:rsidRPr="000943D1" w14:paraId="1E589320" w14:textId="77777777" w:rsidTr="00FB3BDC">
        <w:trPr>
          <w:cantSplit/>
          <w:jc w:val="center"/>
        </w:trPr>
        <w:tc>
          <w:tcPr>
            <w:tcW w:w="720" w:type="dxa"/>
            <w:shd w:val="clear" w:color="auto" w:fill="FFFFFF"/>
            <w:tcMar>
              <w:top w:w="100" w:type="dxa"/>
              <w:left w:w="120" w:type="dxa"/>
              <w:bottom w:w="100" w:type="dxa"/>
              <w:right w:w="120" w:type="dxa"/>
            </w:tcMar>
            <w:vAlign w:val="center"/>
          </w:tcPr>
          <w:p w14:paraId="3D06C6BC"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lastRenderedPageBreak/>
              <w:t>4</w:t>
            </w:r>
          </w:p>
        </w:tc>
        <w:tc>
          <w:tcPr>
            <w:tcW w:w="3168" w:type="dxa"/>
            <w:shd w:val="clear" w:color="auto" w:fill="FFFFFF"/>
            <w:tcMar>
              <w:top w:w="100" w:type="dxa"/>
              <w:left w:w="120" w:type="dxa"/>
              <w:bottom w:w="100" w:type="dxa"/>
              <w:right w:w="120" w:type="dxa"/>
            </w:tcMar>
            <w:vAlign w:val="center"/>
          </w:tcPr>
          <w:p w14:paraId="4802F350"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333333"/>
                <w:kern w:val="0"/>
                <w14:ligatures w14:val="none"/>
              </w:rPr>
              <w:t>Microsoft Office 2024 Home &amp; Business PLN</w:t>
            </w:r>
          </w:p>
        </w:tc>
        <w:tc>
          <w:tcPr>
            <w:tcW w:w="1584" w:type="dxa"/>
            <w:shd w:val="clear" w:color="auto" w:fill="FFFFFF"/>
            <w:tcMar>
              <w:top w:w="100" w:type="dxa"/>
              <w:left w:w="120" w:type="dxa"/>
              <w:bottom w:w="100" w:type="dxa"/>
              <w:right w:w="120" w:type="dxa"/>
            </w:tcMar>
            <w:vAlign w:val="center"/>
          </w:tcPr>
          <w:p w14:paraId="343D15CF"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70 szt.</w:t>
            </w:r>
          </w:p>
        </w:tc>
        <w:tc>
          <w:tcPr>
            <w:tcW w:w="3888" w:type="dxa"/>
            <w:shd w:val="clear" w:color="auto" w:fill="FFFFFF"/>
            <w:tcMar>
              <w:top w:w="100" w:type="dxa"/>
              <w:left w:w="120" w:type="dxa"/>
              <w:bottom w:w="100" w:type="dxa"/>
              <w:right w:w="120" w:type="dxa"/>
            </w:tcMar>
            <w:vAlign w:val="center"/>
          </w:tcPr>
          <w:p w14:paraId="267A868F" w14:textId="77777777" w:rsidR="000943D1" w:rsidRPr="000943D1" w:rsidRDefault="000943D1" w:rsidP="000943D1">
            <w:pPr>
              <w:spacing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 Klasyczny pakiet aplikacji biurowych w pełnej polskiej wersji językowej (PLN / </w:t>
            </w:r>
            <w:proofErr w:type="spellStart"/>
            <w:r w:rsidRPr="000943D1">
              <w:rPr>
                <w:rFonts w:ascii="Times New Roman" w:eastAsia="MS Mincho" w:hAnsi="Times New Roman" w:cs="Times New Roman"/>
                <w:color w:val="333333"/>
                <w:kern w:val="0"/>
                <w14:ligatures w14:val="none"/>
              </w:rPr>
              <w:t>Polish</w:t>
            </w:r>
            <w:proofErr w:type="spellEnd"/>
            <w:r w:rsidRPr="000943D1">
              <w:rPr>
                <w:rFonts w:ascii="Times New Roman" w:eastAsia="MS Mincho" w:hAnsi="Times New Roman" w:cs="Times New Roman"/>
                <w:color w:val="333333"/>
                <w:kern w:val="0"/>
                <w14:ligatures w14:val="none"/>
              </w:rPr>
              <w:t>).</w:t>
            </w:r>
          </w:p>
          <w:p w14:paraId="4588E60E"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Bezterminowa licencja na 1 stanowisko komputerowe (PC lub Mac) z prawem do użytku komercyjnego (dla firm i instytucji).</w:t>
            </w:r>
          </w:p>
          <w:p w14:paraId="2FEE7337"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W skład pakietu muszą wchodzić co najmniej pełne wersje aplikacji: Word, Excel, PowerPoint, Outlook oraz OneNote.</w:t>
            </w:r>
          </w:p>
          <w:p w14:paraId="69C6CD6F" w14:textId="5BFD9090"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 Zapewnienie pełnej kompatybilności wstecznej </w:t>
            </w:r>
            <w:r w:rsidR="00E636CA">
              <w:rPr>
                <w:rFonts w:ascii="Times New Roman" w:eastAsia="MS Mincho" w:hAnsi="Times New Roman" w:cs="Times New Roman"/>
                <w:color w:val="333333"/>
                <w:kern w:val="0"/>
                <w14:ligatures w14:val="none"/>
              </w:rPr>
              <w:br/>
            </w:r>
            <w:r w:rsidRPr="000943D1">
              <w:rPr>
                <w:rFonts w:ascii="Times New Roman" w:eastAsia="MS Mincho" w:hAnsi="Times New Roman" w:cs="Times New Roman"/>
                <w:color w:val="333333"/>
                <w:kern w:val="0"/>
                <w14:ligatures w14:val="none"/>
              </w:rPr>
              <w:t>z otwieraniem, edycją i zapisem standardowych formatów plików biurowych (.</w:t>
            </w:r>
            <w:proofErr w:type="spellStart"/>
            <w:r w:rsidRPr="000943D1">
              <w:rPr>
                <w:rFonts w:ascii="Times New Roman" w:eastAsia="MS Mincho" w:hAnsi="Times New Roman" w:cs="Times New Roman"/>
                <w:color w:val="333333"/>
                <w:kern w:val="0"/>
                <w14:ligatures w14:val="none"/>
              </w:rPr>
              <w:t>docx</w:t>
            </w:r>
            <w:proofErr w:type="spellEnd"/>
            <w:r w:rsidRPr="000943D1">
              <w:rPr>
                <w:rFonts w:ascii="Times New Roman" w:eastAsia="MS Mincho" w:hAnsi="Times New Roman" w:cs="Times New Roman"/>
                <w:color w:val="333333"/>
                <w:kern w:val="0"/>
                <w14:ligatures w14:val="none"/>
              </w:rPr>
              <w:t>, .</w:t>
            </w:r>
            <w:proofErr w:type="spellStart"/>
            <w:r w:rsidRPr="000943D1">
              <w:rPr>
                <w:rFonts w:ascii="Times New Roman" w:eastAsia="MS Mincho" w:hAnsi="Times New Roman" w:cs="Times New Roman"/>
                <w:color w:val="333333"/>
                <w:kern w:val="0"/>
                <w14:ligatures w14:val="none"/>
              </w:rPr>
              <w:t>xlsx</w:t>
            </w:r>
            <w:proofErr w:type="spellEnd"/>
            <w:r w:rsidRPr="000943D1">
              <w:rPr>
                <w:rFonts w:ascii="Times New Roman" w:eastAsia="MS Mincho" w:hAnsi="Times New Roman" w:cs="Times New Roman"/>
                <w:color w:val="333333"/>
                <w:kern w:val="0"/>
                <w14:ligatures w14:val="none"/>
              </w:rPr>
              <w:t>, .</w:t>
            </w:r>
            <w:proofErr w:type="spellStart"/>
            <w:r w:rsidRPr="000943D1">
              <w:rPr>
                <w:rFonts w:ascii="Times New Roman" w:eastAsia="MS Mincho" w:hAnsi="Times New Roman" w:cs="Times New Roman"/>
                <w:color w:val="333333"/>
                <w:kern w:val="0"/>
                <w14:ligatures w14:val="none"/>
              </w:rPr>
              <w:t>pptx</w:t>
            </w:r>
            <w:proofErr w:type="spellEnd"/>
            <w:r w:rsidRPr="000943D1">
              <w:rPr>
                <w:rFonts w:ascii="Times New Roman" w:eastAsia="MS Mincho" w:hAnsi="Times New Roman" w:cs="Times New Roman"/>
                <w:color w:val="333333"/>
                <w:kern w:val="0"/>
                <w14:ligatures w14:val="none"/>
              </w:rPr>
              <w:t xml:space="preserve"> itp.).</w:t>
            </w:r>
          </w:p>
          <w:p w14:paraId="0AC40DF8" w14:textId="77777777" w:rsidR="000943D1" w:rsidRPr="000943D1" w:rsidRDefault="000943D1" w:rsidP="000943D1">
            <w:pPr>
              <w:spacing w:before="40" w:after="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 Typ licencji: Pudełkowa (PKC) lub klucz elektroniczny (ESD / </w:t>
            </w:r>
            <w:proofErr w:type="spellStart"/>
            <w:r w:rsidRPr="000943D1">
              <w:rPr>
                <w:rFonts w:ascii="Times New Roman" w:eastAsia="MS Mincho" w:hAnsi="Times New Roman" w:cs="Times New Roman"/>
                <w:color w:val="333333"/>
                <w:kern w:val="0"/>
                <w14:ligatures w14:val="none"/>
              </w:rPr>
              <w:t>Medialess</w:t>
            </w:r>
            <w:proofErr w:type="spellEnd"/>
            <w:r w:rsidRPr="000943D1">
              <w:rPr>
                <w:rFonts w:ascii="Times New Roman" w:eastAsia="MS Mincho" w:hAnsi="Times New Roman" w:cs="Times New Roman"/>
                <w:color w:val="333333"/>
                <w:kern w:val="0"/>
                <w14:ligatures w14:val="none"/>
              </w:rPr>
              <w:t>) z legalnego kanału dystrybucji.</w:t>
            </w:r>
          </w:p>
        </w:tc>
      </w:tr>
    </w:tbl>
    <w:p w14:paraId="4710F6A9" w14:textId="77777777" w:rsidR="000943D1" w:rsidRPr="000943D1" w:rsidRDefault="000943D1" w:rsidP="000943D1">
      <w:pPr>
        <w:spacing w:line="276" w:lineRule="auto"/>
        <w:jc w:val="both"/>
        <w:rPr>
          <w:rFonts w:ascii="Times New Roman" w:eastAsia="MS Mincho" w:hAnsi="Times New Roman" w:cs="Times New Roman"/>
          <w:color w:val="333333"/>
          <w:kern w:val="0"/>
          <w14:ligatures w14:val="none"/>
        </w:rPr>
      </w:pPr>
    </w:p>
    <w:p w14:paraId="70D38889" w14:textId="32ABB534" w:rsidR="000943D1" w:rsidRPr="000943D1" w:rsidRDefault="000943D1" w:rsidP="000943D1">
      <w:pPr>
        <w:keepNext/>
        <w:spacing w:before="320" w:after="12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II. KLAUZULA RÓWNOWAŻNOŚCI (ZGODNIE Z ART. 99 USTAWY PZP)</w:t>
      </w:r>
      <w:r w:rsidR="00E636CA">
        <w:rPr>
          <w:rFonts w:ascii="Times New Roman" w:eastAsia="MS Mincho" w:hAnsi="Times New Roman" w:cs="Times New Roman"/>
          <w:b/>
          <w:color w:val="003366"/>
          <w:kern w:val="0"/>
          <w14:ligatures w14:val="none"/>
        </w:rPr>
        <w:t>.</w:t>
      </w:r>
    </w:p>
    <w:p w14:paraId="7E29D31F"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1. Stosowanie nazw własnych i znaków towarowych:</w:t>
      </w:r>
    </w:p>
    <w:p w14:paraId="25954712"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Wszędzie tam, gdzie w OPZ oraz pozostałej dokumentacji postępowania wskazano nazwy własne, znaki towarowe, patenty, producentów lub typy produktów (np. Microsoft Windows Server 2025 Standard, Windows Server Device CAL, Windows 11 Pro, Microsoft Office 2024 Home &amp; Business), odniesienia te należy traktować wyłącznie jako sprecyzowanie oczekiwanych standardów jakościowych, funkcjonalnych i użytkowych. Zamawiający dopuszcza składanie ofert zawierających rozwiązania równoważne.</w:t>
      </w:r>
    </w:p>
    <w:p w14:paraId="6AD44C49"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2. Kryteria oceny równoważności oprogramowania serwerowego:</w:t>
      </w:r>
    </w:p>
    <w:p w14:paraId="6D7F890C"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Architektura i integracja: Za rozwiązanie równoważne w zakresie oprogramowania serwerowego i licencji CAL Zamawiający uzna system operacyjny i licencje dostępowe oferujące pełną kompatybilność i integrację z posiadanym przez Zamawiającego środowiskiem domeny Active Directory, ustaloną polityką grup (GPO) oraz istniejącymi aplikacjami dziedzinowymi bez konieczności modyfikacji ich kodu źródłowego.</w:t>
      </w:r>
    </w:p>
    <w:p w14:paraId="50B98D5D"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lastRenderedPageBreak/>
        <w:t>Model licencjonowania: Oferowanie licencjonowania bezterminowego (stałego) o modelu nie gorszym niż licencjonowanie oparte na rdzeniach fizycznych serwera oraz licencjach dostępowych przypisanych do urządzeń.</w:t>
      </w:r>
    </w:p>
    <w:p w14:paraId="79711A4C"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Bezpieczeństwo i wsparcie: Udokumentowane wsparcie techniczne producenta w zakresie poprawek bezpieczeństwa i aktualizacji na okres nie krótszy niż rozwiązanie referencyjne oraz obsługa wymogów ochrony danych (RODO).</w:t>
      </w:r>
    </w:p>
    <w:p w14:paraId="030ADCEF"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3. Kryteria oceny równoważności oprogramowania stanowiskowego i biurowego:</w:t>
      </w:r>
    </w:p>
    <w:p w14:paraId="52CA7219"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Wersja językowa: Pełny interfejs użytkownika, pomoc systemowa oraz narzędzia administracyjne w języku polskim.</w:t>
      </w:r>
    </w:p>
    <w:p w14:paraId="3B88088B"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Zarządzanie sieciowe i kompatybilność: Możliwość natywnej integracji z usługą Active Directory oraz zarządzanie ustawieniami poprzez Zasady Grupy (GPO) lub równoważny centralny system zarządzania.</w:t>
      </w:r>
    </w:p>
    <w:p w14:paraId="6CBC96B5" w14:textId="19EBAA51"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Pakiet biurowy: Posiadanie narzędzi stanowiących funkcjonalne odpowiedniki programów do edycji tekstu, arkusza kalkulacyjnego, tworzenia prezentacji multimedialnych oraz obsługi poczty e-mail i kalendarza. Zapewnienie bezproblemowego otwierania, edycji </w:t>
      </w:r>
      <w:r w:rsidR="00E636CA">
        <w:rPr>
          <w:rFonts w:ascii="Times New Roman" w:eastAsia="MS Mincho" w:hAnsi="Times New Roman" w:cs="Times New Roman"/>
          <w:color w:val="333333"/>
          <w:kern w:val="0"/>
          <w14:ligatures w14:val="none"/>
        </w:rPr>
        <w:br/>
      </w:r>
      <w:r w:rsidRPr="000943D1">
        <w:rPr>
          <w:rFonts w:ascii="Times New Roman" w:eastAsia="MS Mincho" w:hAnsi="Times New Roman" w:cs="Times New Roman"/>
          <w:color w:val="333333"/>
          <w:kern w:val="0"/>
          <w14:ligatures w14:val="none"/>
        </w:rPr>
        <w:t>i bezbłędnego zapisu dokumentów w standardowych formatach otwartych i zamkniętych (.</w:t>
      </w:r>
      <w:proofErr w:type="spellStart"/>
      <w:r w:rsidRPr="000943D1">
        <w:rPr>
          <w:rFonts w:ascii="Times New Roman" w:eastAsia="MS Mincho" w:hAnsi="Times New Roman" w:cs="Times New Roman"/>
          <w:color w:val="333333"/>
          <w:kern w:val="0"/>
          <w14:ligatures w14:val="none"/>
        </w:rPr>
        <w:t>docx</w:t>
      </w:r>
      <w:proofErr w:type="spellEnd"/>
      <w:r w:rsidRPr="000943D1">
        <w:rPr>
          <w:rFonts w:ascii="Times New Roman" w:eastAsia="MS Mincho" w:hAnsi="Times New Roman" w:cs="Times New Roman"/>
          <w:color w:val="333333"/>
          <w:kern w:val="0"/>
          <w14:ligatures w14:val="none"/>
        </w:rPr>
        <w:t>, .</w:t>
      </w:r>
      <w:proofErr w:type="spellStart"/>
      <w:r w:rsidRPr="000943D1">
        <w:rPr>
          <w:rFonts w:ascii="Times New Roman" w:eastAsia="MS Mincho" w:hAnsi="Times New Roman" w:cs="Times New Roman"/>
          <w:color w:val="333333"/>
          <w:kern w:val="0"/>
          <w14:ligatures w14:val="none"/>
        </w:rPr>
        <w:t>xlsx</w:t>
      </w:r>
      <w:proofErr w:type="spellEnd"/>
      <w:r w:rsidRPr="000943D1">
        <w:rPr>
          <w:rFonts w:ascii="Times New Roman" w:eastAsia="MS Mincho" w:hAnsi="Times New Roman" w:cs="Times New Roman"/>
          <w:color w:val="333333"/>
          <w:kern w:val="0"/>
          <w14:ligatures w14:val="none"/>
        </w:rPr>
        <w:t>, .</w:t>
      </w:r>
      <w:proofErr w:type="spellStart"/>
      <w:r w:rsidRPr="000943D1">
        <w:rPr>
          <w:rFonts w:ascii="Times New Roman" w:eastAsia="MS Mincho" w:hAnsi="Times New Roman" w:cs="Times New Roman"/>
          <w:color w:val="333333"/>
          <w:kern w:val="0"/>
          <w14:ligatures w14:val="none"/>
        </w:rPr>
        <w:t>pptx</w:t>
      </w:r>
      <w:proofErr w:type="spellEnd"/>
      <w:r w:rsidRPr="000943D1">
        <w:rPr>
          <w:rFonts w:ascii="Times New Roman" w:eastAsia="MS Mincho" w:hAnsi="Times New Roman" w:cs="Times New Roman"/>
          <w:color w:val="333333"/>
          <w:kern w:val="0"/>
          <w14:ligatures w14:val="none"/>
        </w:rPr>
        <w:t>) z zachowaniem pełnego formatowania i makrodefinicji.</w:t>
      </w:r>
    </w:p>
    <w:p w14:paraId="19EE9245"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Ochrona danych: Wbudowane mechanizmy ochrony danych, szyfrowania dokumentów oraz zgodność z wymogami RODO.</w:t>
      </w:r>
    </w:p>
    <w:p w14:paraId="706E25EC"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4. Ciężar dowodu i dokumentacja:</w:t>
      </w:r>
    </w:p>
    <w:p w14:paraId="4CB1CC2A" w14:textId="77777777" w:rsid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Zgodnie z art. 99 ust. 6 ustawy Prawo zamówień publicznych, Wykonawca powołujący się na rozwiązania równoważne zobowiązany jest wykazać w ofercie (dołączając odpowiednią dokumentację techniczną oraz zestawienie porównawcze), że oferowane oprogramowanie spełnia wymogi określone przez Zamawiającego.</w:t>
      </w:r>
    </w:p>
    <w:p w14:paraId="0D38ED8A" w14:textId="77777777" w:rsidR="00E636CA" w:rsidRPr="000943D1" w:rsidRDefault="00E636CA"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p>
    <w:p w14:paraId="5BF243CB" w14:textId="005350C1" w:rsidR="000943D1" w:rsidRPr="000943D1" w:rsidRDefault="000943D1" w:rsidP="000943D1">
      <w:pPr>
        <w:keepNext/>
        <w:spacing w:before="320" w:after="12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III. WARUNKI DOSTAWY, LEGALNOŚĆ I WSPARCIE TECHNICZNE</w:t>
      </w:r>
      <w:r w:rsidR="00E636CA">
        <w:rPr>
          <w:rFonts w:ascii="Times New Roman" w:eastAsia="MS Mincho" w:hAnsi="Times New Roman" w:cs="Times New Roman"/>
          <w:b/>
          <w:color w:val="003366"/>
          <w:kern w:val="0"/>
          <w14:ligatures w14:val="none"/>
        </w:rPr>
        <w:t>.</w:t>
      </w:r>
    </w:p>
    <w:p w14:paraId="781FA918"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1. Legalność i pochodzenie:</w:t>
      </w:r>
    </w:p>
    <w:p w14:paraId="71A70290" w14:textId="174DACD2"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Wszystkie dostarczone licencje muszą być fabrycznie nowe, wolne od wad prawnych </w:t>
      </w:r>
      <w:r w:rsidR="00E636CA">
        <w:rPr>
          <w:rFonts w:ascii="Times New Roman" w:eastAsia="MS Mincho" w:hAnsi="Times New Roman" w:cs="Times New Roman"/>
          <w:color w:val="333333"/>
          <w:kern w:val="0"/>
          <w14:ligatures w14:val="none"/>
        </w:rPr>
        <w:br/>
      </w:r>
      <w:r w:rsidRPr="000943D1">
        <w:rPr>
          <w:rFonts w:ascii="Times New Roman" w:eastAsia="MS Mincho" w:hAnsi="Times New Roman" w:cs="Times New Roman"/>
          <w:color w:val="333333"/>
          <w:kern w:val="0"/>
          <w14:ligatures w14:val="none"/>
        </w:rPr>
        <w:t>i obciążeń na rzecz osób trzecich oraz pochodzić z oficjalnego kanału dystrybucyjnego producenta na rynek Unii Europejskiej.</w:t>
      </w:r>
    </w:p>
    <w:p w14:paraId="2F1A5077"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Wykonawca przekaże dokumentację potwierdzającą legalność oprogramowania (np. certyfikaty autentyczności COA, klucze aktywacyjne, dostęp do portalu licencjonowania producenta lub fakturę z wyszczególnionymi licencjami).</w:t>
      </w:r>
    </w:p>
    <w:p w14:paraId="1F8DAC57"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t>2. Forma i termin dostawy:</w:t>
      </w:r>
    </w:p>
    <w:p w14:paraId="1919478C" w14:textId="00F1A5D9" w:rsid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 xml:space="preserve">Dostawa kluczy licencyjnych/aktywacyjnych nastąpi w formie elektronicznej (ESD / Portal partnerski) lub fizycznej (PKC / Karty z kluczem) na wskazany adres Zamawiającego </w:t>
      </w:r>
      <w:r w:rsidR="00E636CA">
        <w:rPr>
          <w:rFonts w:ascii="Times New Roman" w:eastAsia="MS Mincho" w:hAnsi="Times New Roman" w:cs="Times New Roman"/>
          <w:color w:val="333333"/>
          <w:kern w:val="0"/>
          <w14:ligatures w14:val="none"/>
        </w:rPr>
        <w:br/>
      </w:r>
      <w:r w:rsidRPr="000943D1">
        <w:rPr>
          <w:rFonts w:ascii="Times New Roman" w:eastAsia="MS Mincho" w:hAnsi="Times New Roman" w:cs="Times New Roman"/>
          <w:color w:val="333333"/>
          <w:kern w:val="0"/>
          <w14:ligatures w14:val="none"/>
        </w:rPr>
        <w:t>w terminie do 14 dni roboczych od dnia zawarcia umowy.</w:t>
      </w:r>
    </w:p>
    <w:p w14:paraId="72C519DB" w14:textId="77777777" w:rsidR="00E636CA" w:rsidRPr="000943D1" w:rsidRDefault="00E636CA"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p>
    <w:p w14:paraId="79DA7356" w14:textId="77777777" w:rsidR="000943D1" w:rsidRPr="000943D1" w:rsidRDefault="000943D1" w:rsidP="000943D1">
      <w:pPr>
        <w:keepNext/>
        <w:spacing w:before="240" w:after="80" w:line="276" w:lineRule="auto"/>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b/>
          <w:color w:val="003366"/>
          <w:kern w:val="0"/>
          <w14:ligatures w14:val="none"/>
        </w:rPr>
        <w:lastRenderedPageBreak/>
        <w:t>3. Wsparcie techniczne i aktualizacje:</w:t>
      </w:r>
    </w:p>
    <w:p w14:paraId="4C87B442"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Zamawiane licencje muszą uprawniać do bezpłatnego pobierania aktualizacji bezpieczeństwa oraz poprawek publikowanych przez producenta oprogramowania.</w:t>
      </w:r>
    </w:p>
    <w:p w14:paraId="0D1B384C" w14:textId="77777777" w:rsidR="000943D1" w:rsidRPr="000943D1" w:rsidRDefault="000943D1" w:rsidP="000943D1">
      <w:pPr>
        <w:tabs>
          <w:tab w:val="num" w:pos="360"/>
        </w:tabs>
        <w:spacing w:after="60" w:line="276" w:lineRule="auto"/>
        <w:ind w:left="360" w:hanging="360"/>
        <w:contextualSpacing/>
        <w:jc w:val="both"/>
        <w:rPr>
          <w:rFonts w:ascii="Times New Roman" w:eastAsia="MS Mincho" w:hAnsi="Times New Roman" w:cs="Times New Roman"/>
          <w:color w:val="333333"/>
          <w:kern w:val="0"/>
          <w14:ligatures w14:val="none"/>
        </w:rPr>
      </w:pPr>
      <w:r w:rsidRPr="000943D1">
        <w:rPr>
          <w:rFonts w:ascii="Times New Roman" w:eastAsia="MS Mincho" w:hAnsi="Times New Roman" w:cs="Times New Roman"/>
          <w:color w:val="333333"/>
          <w:kern w:val="0"/>
          <w14:ligatures w14:val="none"/>
        </w:rPr>
        <w:t>Wykonawca zapewni wsparcie techniczno-administracyjne w procesie aktywacji i rejestracji licencji w ciągu 24 godzin od momentu zgłoszenia problemu przez Zamawiającego.</w:t>
      </w:r>
    </w:p>
    <w:p w14:paraId="684B79CC" w14:textId="77777777" w:rsidR="000943D1" w:rsidRPr="000943D1" w:rsidRDefault="000943D1" w:rsidP="000943D1">
      <w:pPr>
        <w:spacing w:after="60" w:line="276" w:lineRule="auto"/>
        <w:ind w:left="360" w:hanging="360"/>
        <w:contextualSpacing/>
        <w:jc w:val="both"/>
        <w:rPr>
          <w:rFonts w:ascii="Times New Roman" w:eastAsia="MS Mincho" w:hAnsi="Times New Roman" w:cs="Times New Roman"/>
          <w:color w:val="333333"/>
          <w:kern w:val="0"/>
          <w14:ligatures w14:val="none"/>
        </w:rPr>
      </w:pPr>
    </w:p>
    <w:p w14:paraId="5E9C31A4" w14:textId="77777777" w:rsidR="000943D1" w:rsidRPr="000943D1" w:rsidRDefault="000943D1" w:rsidP="000943D1">
      <w:pPr>
        <w:spacing w:after="120" w:line="240" w:lineRule="auto"/>
        <w:jc w:val="both"/>
        <w:rPr>
          <w:rFonts w:ascii="Times New Roman" w:eastAsia="Microsoft YaHei" w:hAnsi="Times New Roman" w:cs="Times New Roman"/>
          <w:b/>
          <w:bCs/>
          <w:spacing w:val="20"/>
          <w:kern w:val="0"/>
          <w14:ligatures w14:val="none"/>
        </w:rPr>
      </w:pPr>
    </w:p>
    <w:p w14:paraId="037C41D9" w14:textId="77777777" w:rsidR="00402CE2" w:rsidRDefault="00402CE2" w:rsidP="000943D1">
      <w:pPr>
        <w:jc w:val="both"/>
      </w:pPr>
    </w:p>
    <w:sectPr w:rsidR="00402CE2">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2CE5E" w14:textId="77777777" w:rsidR="000E02FB" w:rsidRDefault="000E02FB" w:rsidP="000943D1">
      <w:pPr>
        <w:spacing w:after="0" w:line="240" w:lineRule="auto"/>
      </w:pPr>
      <w:r>
        <w:separator/>
      </w:r>
    </w:p>
  </w:endnote>
  <w:endnote w:type="continuationSeparator" w:id="0">
    <w:p w14:paraId="099D1AC1" w14:textId="77777777" w:rsidR="000E02FB" w:rsidRDefault="000E02FB" w:rsidP="00094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41209" w14:textId="77777777" w:rsidR="000E02FB" w:rsidRDefault="000E02FB" w:rsidP="000943D1">
      <w:pPr>
        <w:spacing w:after="0" w:line="240" w:lineRule="auto"/>
      </w:pPr>
      <w:r>
        <w:separator/>
      </w:r>
    </w:p>
  </w:footnote>
  <w:footnote w:type="continuationSeparator" w:id="0">
    <w:p w14:paraId="5C5B7D42" w14:textId="77777777" w:rsidR="000E02FB" w:rsidRDefault="000E02FB" w:rsidP="00094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C5C2" w14:textId="5CAEC9CF" w:rsidR="000943D1" w:rsidRPr="000943D1" w:rsidRDefault="000943D1">
    <w:pPr>
      <w:pStyle w:val="Nagwek"/>
      <w:rPr>
        <w:rFonts w:ascii="Times New Roman" w:hAnsi="Times New Roman" w:cs="Times New Roman"/>
        <w:sz w:val="22"/>
        <w:szCs w:val="22"/>
      </w:rPr>
    </w:pPr>
    <w:r w:rsidRPr="000943D1">
      <w:rPr>
        <w:rFonts w:ascii="Times New Roman" w:hAnsi="Times New Roman" w:cs="Times New Roman"/>
        <w:sz w:val="22"/>
        <w:szCs w:val="22"/>
      </w:rPr>
      <w:t>Postępowanie Nr: PS.I.26.1</w:t>
    </w:r>
    <w:r w:rsidR="0067052A">
      <w:rPr>
        <w:rFonts w:ascii="Times New Roman" w:hAnsi="Times New Roman" w:cs="Times New Roman"/>
        <w:sz w:val="22"/>
        <w:szCs w:val="22"/>
      </w:rPr>
      <w:t>6</w:t>
    </w:r>
    <w:r w:rsidRPr="000943D1">
      <w:rPr>
        <w:rFonts w:ascii="Times New Roman" w:hAnsi="Times New Roman" w:cs="Times New Roman"/>
        <w:sz w:val="22"/>
        <w:szCs w:val="22"/>
      </w:rPr>
      <w:t>.2026</w:t>
    </w:r>
  </w:p>
  <w:p w14:paraId="6A18B3C3" w14:textId="77777777" w:rsidR="000943D1" w:rsidRDefault="000943D1">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34"/>
    <w:rsid w:val="00087206"/>
    <w:rsid w:val="000943D1"/>
    <w:rsid w:val="000E02FB"/>
    <w:rsid w:val="003C14A0"/>
    <w:rsid w:val="00402CE2"/>
    <w:rsid w:val="00425F37"/>
    <w:rsid w:val="0048177E"/>
    <w:rsid w:val="004D087D"/>
    <w:rsid w:val="0055218B"/>
    <w:rsid w:val="0067052A"/>
    <w:rsid w:val="00676A74"/>
    <w:rsid w:val="006B1FBB"/>
    <w:rsid w:val="006E2715"/>
    <w:rsid w:val="00707A35"/>
    <w:rsid w:val="00816E63"/>
    <w:rsid w:val="00842EF2"/>
    <w:rsid w:val="008D52A9"/>
    <w:rsid w:val="009E33CF"/>
    <w:rsid w:val="00A51B87"/>
    <w:rsid w:val="00B145EC"/>
    <w:rsid w:val="00C909F7"/>
    <w:rsid w:val="00CD1E9F"/>
    <w:rsid w:val="00E636CA"/>
    <w:rsid w:val="00F626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62E66"/>
  <w15:chartTrackingRefBased/>
  <w15:docId w15:val="{73D7E7C1-DE8D-40DD-BDE7-EF586DEB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145EC"/>
  </w:style>
  <w:style w:type="paragraph" w:styleId="Nagwek1">
    <w:name w:val="heading 1"/>
    <w:basedOn w:val="Normalny"/>
    <w:next w:val="Normalny"/>
    <w:link w:val="Nagwek1Znak"/>
    <w:uiPriority w:val="9"/>
    <w:qFormat/>
    <w:rsid w:val="00F626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626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6263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6263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6263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6263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6263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6263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6263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6263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6263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6263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6263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6263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6263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6263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6263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62634"/>
    <w:rPr>
      <w:rFonts w:eastAsiaTheme="majorEastAsia" w:cstheme="majorBidi"/>
      <w:color w:val="272727" w:themeColor="text1" w:themeTint="D8"/>
    </w:rPr>
  </w:style>
  <w:style w:type="paragraph" w:styleId="Tytu">
    <w:name w:val="Title"/>
    <w:basedOn w:val="Normalny"/>
    <w:next w:val="Normalny"/>
    <w:link w:val="TytuZnak"/>
    <w:uiPriority w:val="10"/>
    <w:qFormat/>
    <w:rsid w:val="00F626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6263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6263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6263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62634"/>
    <w:pPr>
      <w:spacing w:before="160"/>
      <w:jc w:val="center"/>
    </w:pPr>
    <w:rPr>
      <w:i/>
      <w:iCs/>
      <w:color w:val="404040" w:themeColor="text1" w:themeTint="BF"/>
    </w:rPr>
  </w:style>
  <w:style w:type="character" w:customStyle="1" w:styleId="CytatZnak">
    <w:name w:val="Cytat Znak"/>
    <w:basedOn w:val="Domylnaczcionkaakapitu"/>
    <w:link w:val="Cytat"/>
    <w:uiPriority w:val="29"/>
    <w:rsid w:val="00F62634"/>
    <w:rPr>
      <w:i/>
      <w:iCs/>
      <w:color w:val="404040" w:themeColor="text1" w:themeTint="BF"/>
    </w:rPr>
  </w:style>
  <w:style w:type="paragraph" w:styleId="Akapitzlist">
    <w:name w:val="List Paragraph"/>
    <w:basedOn w:val="Normalny"/>
    <w:uiPriority w:val="34"/>
    <w:qFormat/>
    <w:rsid w:val="00F62634"/>
    <w:pPr>
      <w:ind w:left="720"/>
      <w:contextualSpacing/>
    </w:pPr>
  </w:style>
  <w:style w:type="character" w:styleId="Wyrnienieintensywne">
    <w:name w:val="Intense Emphasis"/>
    <w:basedOn w:val="Domylnaczcionkaakapitu"/>
    <w:uiPriority w:val="21"/>
    <w:qFormat/>
    <w:rsid w:val="00F62634"/>
    <w:rPr>
      <w:i/>
      <w:iCs/>
      <w:color w:val="0F4761" w:themeColor="accent1" w:themeShade="BF"/>
    </w:rPr>
  </w:style>
  <w:style w:type="paragraph" w:styleId="Cytatintensywny">
    <w:name w:val="Intense Quote"/>
    <w:basedOn w:val="Normalny"/>
    <w:next w:val="Normalny"/>
    <w:link w:val="CytatintensywnyZnak"/>
    <w:uiPriority w:val="30"/>
    <w:qFormat/>
    <w:rsid w:val="00F626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62634"/>
    <w:rPr>
      <w:i/>
      <w:iCs/>
      <w:color w:val="0F4761" w:themeColor="accent1" w:themeShade="BF"/>
    </w:rPr>
  </w:style>
  <w:style w:type="character" w:styleId="Odwoanieintensywne">
    <w:name w:val="Intense Reference"/>
    <w:basedOn w:val="Domylnaczcionkaakapitu"/>
    <w:uiPriority w:val="32"/>
    <w:qFormat/>
    <w:rsid w:val="00F62634"/>
    <w:rPr>
      <w:b/>
      <w:bCs/>
      <w:smallCaps/>
      <w:color w:val="0F4761" w:themeColor="accent1" w:themeShade="BF"/>
      <w:spacing w:val="5"/>
    </w:rPr>
  </w:style>
  <w:style w:type="paragraph" w:styleId="Nagwek">
    <w:name w:val="header"/>
    <w:basedOn w:val="Normalny"/>
    <w:link w:val="NagwekZnak"/>
    <w:uiPriority w:val="99"/>
    <w:unhideWhenUsed/>
    <w:rsid w:val="000943D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943D1"/>
  </w:style>
  <w:style w:type="paragraph" w:styleId="Stopka">
    <w:name w:val="footer"/>
    <w:basedOn w:val="Normalny"/>
    <w:link w:val="StopkaZnak"/>
    <w:uiPriority w:val="99"/>
    <w:unhideWhenUsed/>
    <w:rsid w:val="000943D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94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1942</Words>
  <Characters>11658</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2026-10-20T10:06:00Z</dcterms:created>
  <dcterms:modified xsi:type="dcterms:W3CDTF">2026-10-27T07:11:00Z</dcterms:modified>
</cp:coreProperties>
</file>